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F4A300"/>
          <w:spacing w:val="30"/>
          <w:sz w:val="22"/>
          <w:szCs w:val="22"/>
        </w:rPr>
        <w:t xml:space="preserve">BUSINESS SALES PERFORMANCE ANALYTICS</w:t>
      </w:r>
    </w:p>
    <w:p>
      <w:pPr>
        <w:spacing w:after="120" w:before="120"/>
      </w:pPr>
      <w:r>
        <w:rPr>
          <w:b/>
          <w:bCs/>
          <w:color w:val="10243E"/>
          <w:sz w:val="56"/>
          <w:szCs w:val="56"/>
        </w:rPr>
        <w:t xml:space="preserve">Sales &amp; Profitability Analysis Report</w:t>
      </w:r>
    </w:p>
    <w:p>
      <w:pPr>
        <w:spacing w:after="600"/>
      </w:pPr>
      <w:r>
        <w:rPr>
          <w:color w:val="6B7A8F"/>
          <w:sz w:val="24"/>
          <w:szCs w:val="24"/>
        </w:rPr>
        <w:t xml:space="preserve">FY2024–2025 · Furniture, Office Supplies &amp; Technology Retail Dataset</w:t>
      </w:r>
    </w:p>
    <w:p>
      <w:pPr>
        <w:pBdr>
          <w:top w:val="single" w:color="2E75B6" w:sz="6" w:space="8"/>
        </w:pBdr>
        <w:spacing w:after="200" w:before="800"/>
      </w:pPr>
    </w:p>
    <w:p>
      <w:pPr>
        <w:spacing w:after="40"/>
      </w:pPr>
      <w:r>
        <w:rPr>
          <w:b/>
          <w:bCs/>
          <w:sz w:val="22"/>
          <w:szCs w:val="22"/>
        </w:rPr>
        <w:t xml:space="preserve">Prepared for: </w:t>
      </w:r>
      <w:r>
        <w:rPr>
          <w:sz w:val="22"/>
          <w:szCs w:val="22"/>
        </w:rPr>
        <w:t xml:space="preserve">Business Owner / Leadership Team</w:t>
      </w:r>
    </w:p>
    <w:p>
      <w:pPr>
        <w:spacing w:after="40"/>
      </w:pPr>
      <w:r>
        <w:rPr>
          <w:b/>
          <w:bCs/>
          <w:sz w:val="22"/>
          <w:szCs w:val="22"/>
        </w:rPr>
        <w:t xml:space="preserve">Prepared by: </w:t>
      </w:r>
      <w:r>
        <w:rPr>
          <w:sz w:val="22"/>
          <w:szCs w:val="22"/>
        </w:rPr>
        <w:t xml:space="preserve">Data Analytics Internship — Task 1</w:t>
      </w:r>
    </w:p>
    <w:p>
      <w:pPr>
        <w:spacing w:after="40"/>
      </w:pPr>
      <w:r>
        <w:rPr>
          <w:b/>
          <w:bCs/>
          <w:sz w:val="22"/>
          <w:szCs w:val="22"/>
        </w:rPr>
        <w:t xml:space="preserve">Reporting Period: </w:t>
      </w:r>
      <w:r>
        <w:rPr>
          <w:sz w:val="22"/>
          <w:szCs w:val="22"/>
        </w:rPr>
        <w:t xml:space="preserve">2024-01-01 to 2025-12-31</w:t>
      </w:r>
    </w:p>
    <w:p>
      <w:pPr>
        <w:spacing w:after="40"/>
      </w:pPr>
      <w:r>
        <w:rPr>
          <w:b/>
          <w:bCs/>
          <w:sz w:val="22"/>
          <w:szCs w:val="22"/>
        </w:rPr>
        <w:t xml:space="preserve">Records Analyzed: </w:t>
      </w:r>
      <w:r>
        <w:rPr>
          <w:sz w:val="22"/>
          <w:szCs w:val="22"/>
        </w:rPr>
        <w:t xml:space="preserve">4,200 cleaned order line items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Across the two-year period (2024-01-01 to 2025-12-31), the business generated total revenue of $3,944,458 from 4,200 orders and 16,669 units sold, at an average order value of $939.16. Overall profit reached $221,707, an overall margin of 5.62%.</w:t>
      </w:r>
    </w:p>
    <w:p>
      <w:pPr>
        <w:spacing w:after="160"/>
      </w:pPr>
      <w:r>
        <w:t xml:space="preserve">Revenue shows a clear upward trajectory with strong seasonal peaks in November and December of both years, driven primarily by the Technology category. However, the analysis surfaces one urgent issue: Furniture, the second-largest category by revenue, is operating at a net loss across every sub-category. This report breaks down where the money is being made, where it is being lost, and what actions would have the highest impact on profitability.</w:t>
      </w:r>
    </w:p>
    <w:p>
      <w:pPr>
        <w:pStyle w:val="Heading2"/>
      </w:pPr>
      <w:r>
        <w:t xml:space="preserve">Top-Line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left"/>
            </w:pPr>
            <w:r>
              <w:rPr>
                <w:b/>
                <w:bCs/>
                <w:color w:val="FFFFFF"/>
                <w:sz w:val="20"/>
                <w:szCs w:val="20"/>
              </w:rPr>
              <w:t xml:space="preserve">Metric</w:t>
            </w:r>
          </w:p>
        </w:tc>
        <w:tc>
          <w:tcPr>
            <w:tcW w:type="dxa" w:w="468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left"/>
            </w:pPr>
            <w:r>
              <w:rPr>
                <w:b/>
                <w:bCs/>
                <w:color w:val="FFFFFF"/>
                <w:sz w:val="20"/>
                <w:szCs w:val="20"/>
              </w:rPr>
              <w:t xml:space="preserve">Value</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Total Revenue</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$3,944,458</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Total Profit</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F9D7C"/>
                <w:sz w:val="20"/>
                <w:szCs w:val="20"/>
              </w:rPr>
              <w:t xml:space="preserve">$221,707</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Overall Profit Margin</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5.62%</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Total Orders</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4,200</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Total Units Sold</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16,669</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Average Order Value</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$939.16</w:t>
            </w:r>
          </w:p>
        </w:tc>
      </w:tr>
    </w:tbl>
    <w:p>
      <w:r>
        <w:br w:type="page"/>
      </w:r>
    </w:p>
    <w:p>
      <w:pPr>
        <w:pStyle w:val="Heading1"/>
      </w:pPr>
      <w:r>
        <w:t xml:space="preserve">2. Data Preparation &amp; Cleaning</w:t>
      </w:r>
    </w:p>
    <w:p>
      <w:pPr>
        <w:spacing w:after="160"/>
      </w:pPr>
      <w:r>
        <w:t xml:space="preserve">Before analysis, the raw transactional dataset was reviewed and cleaned to ensure accurate, trustworthy results. Common real-world data quality issues were identified and resolved:</w:t>
      </w:r>
    </w:p>
    <w:p>
      <w:pPr>
        <w:pStyle w:val="ListParagraph"/>
        <w:numPr>
          <w:ilvl w:val="0"/>
          <w:numId w:val="2"/>
        </w:numPr>
        <w:spacing w:after="80"/>
      </w:pPr>
      <w:r>
        <w:t xml:space="preserve">Removed </w:t>
      </w:r>
      <w:r>
        <w:rPr>
          <w:b/>
          <w:bCs/>
          <w:color w:val="10243E"/>
        </w:rPr>
        <w:t xml:space="preserve">5 duplicate order records</w:t>
      </w:r>
      <w:r>
        <w:t xml:space="preserve"> that had been entered more than once.</w:t>
      </w:r>
    </w:p>
    <w:p>
      <w:pPr>
        <w:pStyle w:val="ListParagraph"/>
        <w:numPr>
          <w:ilvl w:val="0"/>
          <w:numId w:val="2"/>
        </w:numPr>
        <w:spacing w:after="80"/>
      </w:pPr>
      <w:r>
        <w:t xml:space="preserve">Corrected </w:t>
      </w:r>
      <w:r>
        <w:rPr>
          <w:b/>
          <w:bCs/>
          <w:color w:val="10243E"/>
        </w:rPr>
        <w:t xml:space="preserve">5 negative sales values</w:t>
      </w:r>
      <w:r>
        <w:t xml:space="preserve"> caused by data-entry errors (converted to absolute values).</w:t>
      </w:r>
    </w:p>
    <w:p>
      <w:pPr>
        <w:pStyle w:val="ListParagraph"/>
        <w:numPr>
          <w:ilvl w:val="0"/>
          <w:numId w:val="2"/>
        </w:numPr>
        <w:spacing w:after="80"/>
      </w:pPr>
      <w:r>
        <w:t xml:space="preserve">Filled </w:t>
      </w:r>
      <w:r>
        <w:rPr>
          <w:b/>
          <w:bCs/>
          <w:color w:val="10243E"/>
        </w:rPr>
        <w:t xml:space="preserve">15 missing discount values</w:t>
      </w:r>
      <w:r>
        <w:t xml:space="preserve"> using the median discount for the relevant product category.</w:t>
      </w:r>
    </w:p>
    <w:p>
      <w:pPr>
        <w:pStyle w:val="ListParagraph"/>
        <w:numPr>
          <w:ilvl w:val="0"/>
          <w:numId w:val="2"/>
        </w:numPr>
        <w:spacing w:after="80"/>
      </w:pPr>
      <w:r>
        <w:t xml:space="preserve">Standardized text fields (region names, categories, product names) to consistent capitalization — e.g. fixed inconsistent casing such as “north” vs “North”.</w:t>
      </w:r>
    </w:p>
    <w:p>
      <w:pPr>
        <w:pStyle w:val="ListParagraph"/>
        <w:numPr>
          <w:ilvl w:val="0"/>
          <w:numId w:val="2"/>
        </w:numPr>
        <w:spacing w:after="80"/>
      </w:pPr>
      <w:r>
        <w:t xml:space="preserve">Parsed order dates into a proper date format and derived </w:t>
      </w:r>
      <w:r>
        <w:rPr>
          <w:b/>
          <w:bCs/>
          <w:color w:val="10243E"/>
        </w:rPr>
        <w:t xml:space="preserve">Order Month</w:t>
      </w:r>
      <w:r>
        <w:t xml:space="preserve"> and </w:t>
      </w:r>
      <w:r>
        <w:rPr>
          <w:b/>
          <w:bCs/>
          <w:color w:val="10243E"/>
        </w:rPr>
        <w:t xml:space="preserve">Profit Margin %</w:t>
      </w:r>
      <w:r>
        <w:t xml:space="preserve"> fields for trend and profitability analysis.</w:t>
      </w:r>
    </w:p>
    <w:p>
      <w:pPr>
        <w:spacing w:after="160"/>
      </w:pPr>
      <w:r>
        <w:rPr>
          <w:i/>
          <w:iCs/>
        </w:rPr>
        <w:t xml:space="preserve">The dataset started with 4,205 rows and 13 columns. After cleaning, the analysis-ready dataset contains 4,200 rows and 16 columns, covering the period 2024-01-01 to 2025-12-31.</w:t>
      </w:r>
    </w:p>
    <w:p>
      <w:r>
        <w:br w:type="page"/>
      </w:r>
    </w:p>
    <w:p>
      <w:pPr>
        <w:pStyle w:val="Heading1"/>
      </w:pPr>
      <w:r>
        <w:t xml:space="preserve">3. Revenue Trends Over Time</w:t>
      </w:r>
    </w:p>
    <w:p>
      <w:pPr>
        <w:spacing w:after="160"/>
      </w:pPr>
      <w:r>
        <w:t xml:space="preserve">Monthly revenue rose from $133,684 in 2024-01 to $219,889 in 2025-12. The strongest month was 2025-11 at $275,182, while the weakest was 2024-02 at $76,911.</w:t>
      </w:r>
    </w:p>
    <w:p>
      <w:pPr>
        <w:spacing w:after="60" w:before="120"/>
        <w:jc w:val="center"/>
      </w:pPr>
      <w:r>
        <w:drawing>
          <wp:inline distT="0" distB="0" distL="0" distR="0">
            <wp:extent cx="5943600" cy="2924175"/>
            <wp:effectExtent t="0" r="0" b="0" l="0"/>
            <wp:docPr id="1" name="Monthly revenue trend chart" descr="Monthly revenue trend chart" title="Monthly revenue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24175"/>
                    </a:xfrm>
                    <a:prstGeom prst="rect">
                      <a:avLst/>
                    </a:prstGeom>
                  </pic:spPr>
                </pic:pic>
              </a:graphicData>
            </a:graphic>
          </wp:inline>
        </w:drawing>
      </w:r>
    </w:p>
    <w:p>
      <w:pPr>
        <w:spacing w:after="200"/>
        <w:jc w:val="center"/>
      </w:pPr>
      <w:r>
        <w:rPr>
          <w:i/>
          <w:iCs/>
          <w:color w:val="6B7A8F"/>
          <w:sz w:val="18"/>
          <w:szCs w:val="18"/>
        </w:rPr>
        <w:t xml:space="preserve">Figure 1: Monthly revenue trend, Jan 2024 – Dec 2025</w:t>
      </w:r>
    </w:p>
    <w:p>
      <w:pPr>
        <w:spacing w:after="160"/>
      </w:pPr>
      <w:r>
        <w:t xml:space="preserve">A consistent seasonal pattern is visible in both years: revenue dips in January–February, builds steadily through the middle of the year, and peaks sharply in November–December — the typical holiday buying season for office and technology equipment.</w:t>
      </w:r>
    </w:p>
    <w:p>
      <w:pPr>
        <w:spacing w:after="60" w:before="120"/>
        <w:jc w:val="center"/>
      </w:pPr>
      <w:r>
        <w:drawing>
          <wp:inline distT="0" distB="0" distL="0" distR="0">
            <wp:extent cx="5943600" cy="2924175"/>
            <wp:effectExtent t="0" r="0" b="0" l="0"/>
            <wp:docPr id="1" name="Year over year monthly revenue comparison" descr="Year over year monthly revenue comparison" title="Year over year monthly revenu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24175"/>
                    </a:xfrm>
                    <a:prstGeom prst="rect">
                      <a:avLst/>
                    </a:prstGeom>
                  </pic:spPr>
                </pic:pic>
              </a:graphicData>
            </a:graphic>
          </wp:inline>
        </w:drawing>
      </w:r>
    </w:p>
    <w:p>
      <w:pPr>
        <w:spacing w:after="200"/>
        <w:jc w:val="center"/>
      </w:pPr>
      <w:r>
        <w:rPr>
          <w:i/>
          <w:iCs/>
          <w:color w:val="6B7A8F"/>
          <w:sz w:val="18"/>
          <w:szCs w:val="18"/>
        </w:rPr>
        <w:t xml:space="preserve">Figure 2: Year-over-year monthly revenue comparison</w:t>
      </w:r>
    </w:p>
    <w:p>
      <w:pPr>
        <w:spacing w:after="160"/>
      </w:pPr>
      <w:r>
        <w:t xml:space="preserve">Comparing 2024 to 2025 month-by-month, most months in 2025 outperform their 2024 equivalent, particularly from September onward — indicating the business is on a growth trajectory heading into the next holiday season.</w:t>
      </w:r>
    </w:p>
    <w:p>
      <w:pPr>
        <w:pStyle w:val="Heading1"/>
      </w:pPr>
      <w:r>
        <w:t xml:space="preserve">4. Top-Selling Products</w:t>
      </w:r>
    </w:p>
    <w:p>
      <w:pPr>
        <w:spacing w:after="160"/>
      </w:pPr>
      <w:r>
        <w:t xml:space="preserve">The top 10 products by revenue account for a substantial share of total sales. Notably, two of the top five products by revenue — the 2-Seater Sofa and Reception Sofa — are loss-making, generating combined revenue of $681,427 but a combined loss of -$28,300.</w:t>
      </w:r>
    </w:p>
    <w:p>
      <w:pPr>
        <w:spacing w:after="60" w:before="120"/>
        <w:jc w:val="center"/>
      </w:pPr>
      <w:r>
        <w:drawing>
          <wp:inline distT="0" distB="0" distL="0" distR="0">
            <wp:extent cx="5943600" cy="3257550"/>
            <wp:effectExtent t="0" r="0" b="0" l="0"/>
            <wp:docPr id="1" name="Top 10 products by revenue chart" descr="Top 10 products by revenue chart" title="Top 10 products by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57550"/>
                    </a:xfrm>
                    <a:prstGeom prst="rect">
                      <a:avLst/>
                    </a:prstGeom>
                  </pic:spPr>
                </pic:pic>
              </a:graphicData>
            </a:graphic>
          </wp:inline>
        </w:drawing>
      </w:r>
    </w:p>
    <w:p>
      <w:pPr>
        <w:spacing w:after="200"/>
        <w:jc w:val="center"/>
      </w:pPr>
      <w:r>
        <w:rPr>
          <w:i/>
          <w:iCs/>
          <w:color w:val="6B7A8F"/>
          <w:sz w:val="18"/>
          <w:szCs w:val="18"/>
        </w:rPr>
        <w:t xml:space="preserve">Figure 3: Top 10 products ranked by total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1800"/>
        <w:gridCol w:w="1800"/>
        <w:gridCol w:w="1600"/>
      </w:tblGrid>
      <w:tr>
        <w:tc>
          <w:tcPr>
            <w:tcW w:type="dxa" w:w="7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center"/>
            </w:pPr>
            <w:r>
              <w:rPr>
                <w:b/>
                <w:bCs/>
                <w:color w:val="FFFFFF"/>
                <w:sz w:val="20"/>
                <w:szCs w:val="20"/>
              </w:rPr>
              <w:t xml:space="preserve">Rank</w:t>
            </w:r>
          </w:p>
        </w:tc>
        <w:tc>
          <w:tcPr>
            <w:tcW w:type="dxa" w:w="346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left"/>
            </w:pPr>
            <w:r>
              <w:rPr>
                <w:b/>
                <w:bCs/>
                <w:color w:val="FFFFFF"/>
                <w:sz w:val="20"/>
                <w:szCs w:val="20"/>
              </w:rPr>
              <w:t xml:space="preserve">Product</w:t>
            </w:r>
          </w:p>
        </w:tc>
        <w:tc>
          <w:tcPr>
            <w:tcW w:type="dxa" w:w="18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Revenue</w:t>
            </w:r>
          </w:p>
        </w:tc>
        <w:tc>
          <w:tcPr>
            <w:tcW w:type="dxa" w:w="18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Profit</w:t>
            </w:r>
          </w:p>
        </w:tc>
        <w:tc>
          <w:tcPr>
            <w:tcW w:type="dxa" w:w="16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Units Sold</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center"/>
            </w:pPr>
            <w:r>
              <w:rPr>
                <w:b w:val="false"/>
                <w:bCs w:val="false"/>
                <w:color w:val="1A2433"/>
                <w:sz w:val="20"/>
                <w:szCs w:val="20"/>
              </w:rPr>
              <w:t xml:space="preserve">1</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2-Seater Sofa</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$366,573</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C0392B"/>
                <w:sz w:val="20"/>
                <w:szCs w:val="20"/>
              </w:rPr>
              <w:t xml:space="preserve">-$11,792</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536</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b w:val="false"/>
                <w:bCs w:val="false"/>
                <w:color w:val="1A2433"/>
                <w:sz w:val="20"/>
                <w:szCs w:val="20"/>
              </w:rPr>
              <w:t xml:space="preserve">2</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Ultrabook Pro 14</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$366,401</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$46,826</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362</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center"/>
            </w:pPr>
            <w:r>
              <w:rPr>
                <w:b w:val="false"/>
                <w:bCs w:val="false"/>
                <w:color w:val="1A2433"/>
                <w:sz w:val="20"/>
                <w:szCs w:val="20"/>
              </w:rPr>
              <w:t xml:space="preserve">3</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Business Laptop 15</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$364,770</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$40,888</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384</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b w:val="false"/>
                <w:bCs w:val="false"/>
                <w:color w:val="1A2433"/>
                <w:sz w:val="20"/>
                <w:szCs w:val="20"/>
              </w:rPr>
              <w:t xml:space="preserve">4</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Chromebook Edu</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$346,251</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$34,081</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366</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center"/>
            </w:pPr>
            <w:r>
              <w:rPr>
                <w:b w:val="false"/>
                <w:bCs w:val="false"/>
                <w:color w:val="1A2433"/>
                <w:sz w:val="20"/>
                <w:szCs w:val="20"/>
              </w:rPr>
              <w:t xml:space="preserve">5</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Reception Sofa</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$314,854</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C0392B"/>
                <w:sz w:val="20"/>
                <w:szCs w:val="20"/>
              </w:rPr>
              <w:t xml:space="preserve">-$16,508</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470</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b w:val="false"/>
                <w:bCs w:val="false"/>
                <w:color w:val="1A2433"/>
                <w:sz w:val="20"/>
                <w:szCs w:val="20"/>
              </w:rPr>
              <w:t xml:space="preserve">6</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Smartphone Lite</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$228,371</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$24,323</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494</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center"/>
            </w:pPr>
            <w:r>
              <w:rPr>
                <w:b w:val="false"/>
                <w:bCs w:val="false"/>
                <w:color w:val="1A2433"/>
                <w:sz w:val="20"/>
                <w:szCs w:val="20"/>
              </w:rPr>
              <w:t xml:space="preserve">7</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Smartphone X12</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$215,155</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$26,607</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491</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b w:val="false"/>
                <w:bCs w:val="false"/>
                <w:color w:val="1A2433"/>
                <w:sz w:val="20"/>
                <w:szCs w:val="20"/>
              </w:rPr>
              <w:t xml:space="preserve">8</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Office Cordless Phone</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$200,592</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$22,025</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512</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center"/>
            </w:pPr>
            <w:r>
              <w:rPr>
                <w:b w:val="false"/>
                <w:bCs w:val="false"/>
                <w:color w:val="1A2433"/>
                <w:sz w:val="20"/>
                <w:szCs w:val="20"/>
              </w:rPr>
              <w:t xml:space="preserve">9</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Round Meeting Table</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$152,249</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C0392B"/>
                <w:sz w:val="20"/>
                <w:szCs w:val="20"/>
              </w:rPr>
              <w:t xml:space="preserve">-$4,093</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302</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center"/>
            </w:pPr>
            <w:r>
              <w:rPr>
                <w:b w:val="false"/>
                <w:bCs w:val="false"/>
                <w:color w:val="1A2433"/>
                <w:sz w:val="20"/>
                <w:szCs w:val="20"/>
              </w:rPr>
              <w:t xml:space="preserve">10</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Standing Desk</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$146,470</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C0392B"/>
                <w:sz w:val="20"/>
                <w:szCs w:val="20"/>
              </w:rPr>
              <w:t xml:space="preserve">-$6,571</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292</w:t>
            </w:r>
          </w:p>
        </w:tc>
      </w:tr>
    </w:tbl>
    <w:p>
      <w:pPr>
        <w:spacing w:after="200"/>
        <w:jc w:val="center"/>
      </w:pPr>
      <w:r>
        <w:rPr>
          <w:i/>
          <w:iCs/>
          <w:color w:val="6B7A8F"/>
          <w:sz w:val="18"/>
          <w:szCs w:val="18"/>
        </w:rPr>
        <w:t xml:space="preserve">Table 1: Top 10 products — revenue, profit, and units sold (red = loss-making)</w:t>
      </w:r>
    </w:p>
    <w:p>
      <w:r>
        <w:br w:type="page"/>
      </w:r>
    </w:p>
    <w:p>
      <w:pPr>
        <w:pStyle w:val="Heading1"/>
      </w:pPr>
      <w:r>
        <w:t xml:space="preserve">5. Category &amp; Sub-Category Profitability</w:t>
      </w:r>
    </w:p>
    <w:p>
      <w:pPr>
        <w:spacing w:after="160"/>
      </w:pPr>
      <w:r>
        <w:t xml:space="preserve">Technology dominates both revenue and profit, contributing 56% of total revenue and over 100% of total profit (offsetting losses elsewhere). Office Supplies is the smallest category by revenue but has the healthiest profit margin. Furniture, despite being the second-largest category by revenue, is the only category losing money overall.</w:t>
      </w:r>
    </w:p>
    <w:p>
      <w:pPr>
        <w:spacing w:after="60" w:before="120"/>
        <w:jc w:val="center"/>
      </w:pPr>
      <w:r>
        <w:drawing>
          <wp:inline distT="0" distB="0" distL="0" distR="0">
            <wp:extent cx="5943600" cy="2476500"/>
            <wp:effectExtent t="0" r="0" b="0" l="0"/>
            <wp:docPr id="1" name="Category revenue share and profit chart" descr="Category revenue share and profit chart" title="Category revenue share and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76500"/>
                    </a:xfrm>
                    <a:prstGeom prst="rect">
                      <a:avLst/>
                    </a:prstGeom>
                  </pic:spPr>
                </pic:pic>
              </a:graphicData>
            </a:graphic>
          </wp:inline>
        </w:drawing>
      </w:r>
    </w:p>
    <w:p>
      <w:pPr>
        <w:spacing w:after="200"/>
        <w:jc w:val="center"/>
      </w:pPr>
      <w:r>
        <w:rPr>
          <w:i/>
          <w:iCs/>
          <w:color w:val="6B7A8F"/>
          <w:sz w:val="18"/>
          <w:szCs w:val="18"/>
        </w:rPr>
        <w:t xml:space="preserve">Figure 4: Revenue share and profit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left"/>
            </w:pPr>
            <w:r>
              <w:rPr>
                <w:b/>
                <w:bCs/>
                <w:color w:val="FFFFFF"/>
                <w:sz w:val="20"/>
                <w:szCs w:val="20"/>
              </w:rPr>
              <w:t xml:space="preserve">Category</w:t>
            </w:r>
          </w:p>
        </w:tc>
        <w:tc>
          <w:tcPr>
            <w:tcW w:type="dxa" w:w="22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Revenue</w:t>
            </w:r>
          </w:p>
        </w:tc>
        <w:tc>
          <w:tcPr>
            <w:tcW w:type="dxa" w:w="220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Profit</w:t>
            </w:r>
          </w:p>
        </w:tc>
        <w:tc>
          <w:tcPr>
            <w:tcW w:type="dxa" w:w="216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Margin %</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Technology</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$2,213,865</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$247,943</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11.20%</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Furniture</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$1,514,596</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C0392B"/>
                <w:sz w:val="20"/>
                <w:szCs w:val="20"/>
              </w:rPr>
              <w:t xml:space="preserve">-$60,459</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C0392B"/>
                <w:sz w:val="20"/>
                <w:szCs w:val="20"/>
              </w:rPr>
              <w:t xml:space="preserve">-3.99%</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Office Supplies</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$215,997</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$34,223</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15.84%</w:t>
            </w:r>
          </w:p>
        </w:tc>
      </w:tr>
    </w:tbl>
    <w:p>
      <w:pPr>
        <w:spacing w:after="200"/>
        <w:jc w:val="center"/>
      </w:pPr>
      <w:r>
        <w:rPr>
          <w:i/>
          <w:iCs/>
          <w:color w:val="6B7A8F"/>
          <w:sz w:val="18"/>
          <w:szCs w:val="18"/>
        </w:rPr>
        <w:t xml:space="preserve">Table 2: Category-level revenue, profit, and margin</w:t>
      </w:r>
    </w:p>
    <w:p>
      <w:pPr>
        <w:pStyle w:val="Heading2"/>
      </w:pPr>
      <w:r>
        <w:t xml:space="preserve">Sub-Category Margin Breakdown</w:t>
      </w:r>
    </w:p>
    <w:p>
      <w:pPr>
        <w:spacing w:after="160"/>
      </w:pPr>
      <w:r>
        <w:t xml:space="preserve">Drilling into sub-categories reveals the source of the Furniture loss: all four Furniture sub-categories — Chairs (-5.28%), Sofas (-4.15%), Bookcases (-3.60%), and Tables (-3.27%) — operate at negative margins. By contrast, every Technology and Office Supplies sub-category is profitable, with Storage (16.70%) the strongest performer.</w:t>
      </w:r>
    </w:p>
    <w:p>
      <w:pPr>
        <w:spacing w:after="60" w:before="120"/>
        <w:jc w:val="center"/>
      </w:pPr>
      <w:r>
        <w:drawing>
          <wp:inline distT="0" distB="0" distL="0" distR="0">
            <wp:extent cx="5943600" cy="3257550"/>
            <wp:effectExtent t="0" r="0" b="0" l="0"/>
            <wp:docPr id="1" name="Sub-category profit margin chart" descr="Sub-category profit margin chart" title="Sub-category profit margi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57550"/>
                    </a:xfrm>
                    <a:prstGeom prst="rect">
                      <a:avLst/>
                    </a:prstGeom>
                  </pic:spPr>
                </pic:pic>
              </a:graphicData>
            </a:graphic>
          </wp:inline>
        </w:drawing>
      </w:r>
    </w:p>
    <w:p>
      <w:pPr>
        <w:spacing w:after="200"/>
        <w:jc w:val="center"/>
      </w:pPr>
      <w:r>
        <w:rPr>
          <w:i/>
          <w:iCs/>
          <w:color w:val="6B7A8F"/>
          <w:sz w:val="18"/>
          <w:szCs w:val="18"/>
        </w:rPr>
        <w:t xml:space="preserve">Figure 5: Profit margin % by sub-category (red = loss-making)</w:t>
      </w:r>
    </w:p>
    <w:p>
      <w:r>
        <w:br w:type="page"/>
      </w:r>
    </w:p>
    <w:p>
      <w:pPr>
        <w:pStyle w:val="Heading1"/>
      </w:pPr>
      <w:r>
        <w:t xml:space="preserve">6. Regional Performance</w:t>
      </w:r>
    </w:p>
    <w:p>
      <w:pPr>
        <w:spacing w:after="160"/>
      </w:pPr>
      <w:r>
        <w:t xml:space="preserve">West is the highest-revenue region at $915,907, closely followed by East and South. East has the best profit margin at 6.64%, while Central trails both in revenue ($507,901) and margin (4.01%).</w:t>
      </w:r>
    </w:p>
    <w:p>
      <w:pPr>
        <w:spacing w:after="60" w:before="120"/>
        <w:jc w:val="center"/>
      </w:pPr>
      <w:r>
        <w:drawing>
          <wp:inline distT="0" distB="0" distL="0" distR="0">
            <wp:extent cx="5943600" cy="2390775"/>
            <wp:effectExtent t="0" r="0" b="0" l="0"/>
            <wp:docPr id="1" name="Regional revenue and margin chart" descr="Regional revenue and margin chart" title="Regional revenue and margi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90775"/>
                    </a:xfrm>
                    <a:prstGeom prst="rect">
                      <a:avLst/>
                    </a:prstGeom>
                  </pic:spPr>
                </pic:pic>
              </a:graphicData>
            </a:graphic>
          </wp:inline>
        </w:drawing>
      </w:r>
    </w:p>
    <w:p>
      <w:pPr>
        <w:spacing w:after="200"/>
        <w:jc w:val="center"/>
      </w:pPr>
      <w:r>
        <w:rPr>
          <w:i/>
          <w:iCs/>
          <w:color w:val="6B7A8F"/>
          <w:sz w:val="18"/>
          <w:szCs w:val="18"/>
        </w:rPr>
        <w:t xml:space="preserve">Figure 6: Revenue and profit margin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left"/>
            </w:pPr>
            <w:r>
              <w:rPr>
                <w:b/>
                <w:bCs/>
                <w:color w:val="FFFFFF"/>
                <w:sz w:val="20"/>
                <w:szCs w:val="20"/>
              </w:rPr>
              <w:t xml:space="preserve">Region</w:t>
            </w:r>
          </w:p>
        </w:tc>
        <w:tc>
          <w:tcPr>
            <w:tcW w:type="dxa" w:w="234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Revenue</w:t>
            </w:r>
          </w:p>
        </w:tc>
        <w:tc>
          <w:tcPr>
            <w:tcW w:type="dxa" w:w="234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Profit</w:t>
            </w:r>
          </w:p>
        </w:tc>
        <w:tc>
          <w:tcPr>
            <w:tcW w:type="dxa" w:w="2340"/>
            <w:tcBorders>
              <w:top w:val="single" w:color="E2E8F0" w:sz="1"/>
              <w:left w:val="single" w:color="E2E8F0" w:sz="1"/>
              <w:bottom w:val="single" w:color="E2E8F0" w:sz="1"/>
              <w:right w:val="single" w:color="E2E8F0" w:sz="1"/>
            </w:tcBorders>
            <w:shd w:fill="10243E" w:val="clear"/>
            <w:tcMar>
              <w:top w:type="dxa" w:w="60"/>
              <w:left w:type="dxa" w:w="100"/>
              <w:bottom w:type="dxa" w:w="60"/>
              <w:right w:type="dxa" w:w="100"/>
            </w:tcMar>
            <w:vAlign w:val="center"/>
          </w:tcPr>
          <w:p>
            <w:pPr>
              <w:jc w:val="right"/>
            </w:pPr>
            <w:r>
              <w:rPr>
                <w:b/>
                <w:bCs/>
                <w:color w:val="FFFFFF"/>
                <w:sz w:val="20"/>
                <w:szCs w:val="20"/>
              </w:rPr>
              <w:t xml:space="preserve">Margin %</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West</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$915,907</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$52,349</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5.72%</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East</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$903,907</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$59,997</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6.64%</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South</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$871,317</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$48,618</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5.58%</w:t>
            </w:r>
          </w:p>
        </w:tc>
      </w:tr>
      <w:tr>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b w:val="false"/>
                <w:bCs w:val="false"/>
                <w:color w:val="1A2433"/>
                <w:sz w:val="20"/>
                <w:szCs w:val="20"/>
              </w:rPr>
              <w:t xml:space="preserve">North</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$745,425</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$40,356</w:t>
            </w:r>
          </w:p>
        </w:tc>
        <w:tc>
          <w:tcPr>
            <w:tcW w:type="dxa" w:w="1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right"/>
            </w:pPr>
            <w:r>
              <w:rPr>
                <w:b w:val="false"/>
                <w:bCs w:val="false"/>
                <w:color w:val="1A2433"/>
                <w:sz w:val="20"/>
                <w:szCs w:val="20"/>
              </w:rPr>
              <w:t xml:space="preserve">5.41%</w:t>
            </w:r>
          </w:p>
        </w:tc>
      </w:tr>
      <w:tr>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left"/>
            </w:pPr>
            <w:r>
              <w:rPr>
                <w:b w:val="false"/>
                <w:bCs w:val="false"/>
                <w:color w:val="1A2433"/>
                <w:sz w:val="20"/>
                <w:szCs w:val="20"/>
              </w:rPr>
              <w:t xml:space="preserve">Central</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$507,901</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$20,388</w:t>
            </w:r>
          </w:p>
        </w:tc>
        <w:tc>
          <w:tcPr>
            <w:tcW w:type="dxa" w:w="1560"/>
            <w:tcBorders>
              <w:top w:val="single" w:color="E2E8F0" w:sz="1"/>
              <w:left w:val="single" w:color="E2E8F0" w:sz="1"/>
              <w:bottom w:val="single" w:color="E2E8F0" w:sz="1"/>
              <w:right w:val="single" w:color="E2E8F0" w:sz="1"/>
            </w:tcBorders>
            <w:shd w:fill="EAF2FA" w:val="clear"/>
            <w:tcMar>
              <w:top w:type="dxa" w:w="60"/>
              <w:left w:type="dxa" w:w="100"/>
              <w:bottom w:type="dxa" w:w="60"/>
              <w:right w:type="dxa" w:w="100"/>
            </w:tcMar>
            <w:vAlign w:val="center"/>
          </w:tcPr>
          <w:p>
            <w:pPr>
              <w:jc w:val="right"/>
            </w:pPr>
            <w:r>
              <w:rPr>
                <w:b w:val="false"/>
                <w:bCs w:val="false"/>
                <w:color w:val="1A2433"/>
                <w:sz w:val="20"/>
                <w:szCs w:val="20"/>
              </w:rPr>
              <w:t xml:space="preserve">4.01%</w:t>
            </w:r>
          </w:p>
        </w:tc>
      </w:tr>
    </w:tbl>
    <w:p>
      <w:pPr>
        <w:spacing w:after="200"/>
        <w:jc w:val="center"/>
      </w:pPr>
      <w:r>
        <w:rPr>
          <w:i/>
          <w:iCs/>
          <w:color w:val="6B7A8F"/>
          <w:sz w:val="18"/>
          <w:szCs w:val="18"/>
        </w:rPr>
        <w:t xml:space="preserve">Table 3: Regional revenue, profit, and margin</w:t>
      </w:r>
    </w:p>
    <w:p>
      <w:r>
        <w:br w:type="page"/>
      </w:r>
    </w:p>
    <w:p>
      <w:pPr>
        <w:pStyle w:val="Heading1"/>
      </w:pPr>
      <w:r>
        <w:t xml:space="preserve">7. Customer Segment Analysis</w:t>
      </w:r>
    </w:p>
    <w:p>
      <w:pPr>
        <w:spacing w:after="160"/>
      </w:pPr>
      <w:r>
        <w:t xml:space="preserve">The Consumer segment is the largest, generating $1,956,684 in revenue and $117,768 in profit from 2,065 orders (AOV $947.55). Corporate and Home Office follow with broadly similar margin profiles, suggesting an opportunity for targeted bundles (e.g., Technology accessories) to lift order value in these segments.</w:t>
      </w:r>
    </w:p>
    <w:p>
      <w:pPr>
        <w:spacing w:after="60" w:before="120"/>
        <w:jc w:val="center"/>
      </w:pPr>
      <w:r>
        <w:drawing>
          <wp:inline distT="0" distB="0" distL="0" distR="0">
            <wp:extent cx="5943600" cy="3305175"/>
            <wp:effectExtent t="0" r="0" b="0" l="0"/>
            <wp:docPr id="1" name="Customer segment revenue chart" descr="Customer segment revenue chart" title="Customer segment revenu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05175"/>
                    </a:xfrm>
                    <a:prstGeom prst="rect">
                      <a:avLst/>
                    </a:prstGeom>
                  </pic:spPr>
                </pic:pic>
              </a:graphicData>
            </a:graphic>
          </wp:inline>
        </w:drawing>
      </w:r>
    </w:p>
    <w:p>
      <w:pPr>
        <w:spacing w:after="200"/>
        <w:jc w:val="center"/>
      </w:pPr>
      <w:r>
        <w:rPr>
          <w:i/>
          <w:iCs/>
          <w:color w:val="6B7A8F"/>
          <w:sz w:val="18"/>
          <w:szCs w:val="18"/>
        </w:rPr>
        <w:t xml:space="preserve">Figure 7: Revenue by customer segment (with average order value)</w:t>
      </w:r>
    </w:p>
    <w:p>
      <w:r>
        <w:br w:type="page"/>
      </w:r>
    </w:p>
    <w:p>
      <w:pPr>
        <w:pStyle w:val="Heading1"/>
      </w:pPr>
      <w:r>
        <w:t xml:space="preserve">8. Discounting Strategy &amp; Margin Impact</w:t>
      </w:r>
    </w:p>
    <w:p>
      <w:pPr>
        <w:spacing w:after="160"/>
      </w:pPr>
      <w:r>
        <w:t xml:space="preserve">Discounting has a direct and measurable effect on profitability. Orders with no discount or modest discounts (up to 20%) remain profitable on average, but margins turn negative once discounts exceed 20% — meaning every sale at that discount level currently costs the business money after accounting for cost of goods.</w:t>
      </w:r>
    </w:p>
    <w:p>
      <w:pPr>
        <w:spacing w:after="60" w:before="120"/>
        <w:jc w:val="center"/>
      </w:pPr>
      <w:r>
        <w:drawing>
          <wp:inline distT="0" distB="0" distL="0" distR="0">
            <wp:extent cx="5943600" cy="3305175"/>
            <wp:effectExtent t="0" r="0" b="0" l="0"/>
            <wp:docPr id="1" name="Discount band vs average profit margin chart" descr="Discount band vs average profit margin chart" title="Discount band vs average profit margi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05175"/>
                    </a:xfrm>
                    <a:prstGeom prst="rect">
                      <a:avLst/>
                    </a:prstGeom>
                  </pic:spPr>
                </pic:pic>
              </a:graphicData>
            </a:graphic>
          </wp:inline>
        </w:drawing>
      </w:r>
    </w:p>
    <w:p>
      <w:pPr>
        <w:spacing w:after="200"/>
        <w:jc w:val="center"/>
      </w:pPr>
      <w:r>
        <w:rPr>
          <w:i/>
          <w:iCs/>
          <w:color w:val="6B7A8F"/>
          <w:sz w:val="18"/>
          <w:szCs w:val="18"/>
        </w:rPr>
        <w:t xml:space="preserve">Figure 8: Average profit margin % by discount band</w:t>
      </w:r>
    </w:p>
    <w:p>
      <w:pPr>
        <w:spacing w:after="160"/>
      </w:pPr>
      <w:r>
        <w:t xml:space="preserve">Specifically: 0% discount orders average 14.05% margin, while orders discounted above 30% average -3.35% margin. This establishes a practical ceiling of roughly 20% for promotional discounting without eroding profitability.</w:t>
      </w:r>
    </w:p>
    <w:p>
      <w:r>
        <w:br w:type="page"/>
      </w:r>
    </w:p>
    <w:p>
      <w:pPr>
        <w:pStyle w:val="Heading1"/>
      </w:pPr>
      <w:r>
        <w:t xml:space="preserve">9. Key Insights &amp; Recommendations</w:t>
      </w:r>
    </w:p>
    <w:p>
      <w:pPr>
        <w:pStyle w:val="Heading2"/>
      </w:pPr>
      <w:r>
        <w:t xml:space="preserve">Insight 1 — Furniture is a structural loss-maker</w:t>
      </w:r>
    </w:p>
    <w:p>
      <w:pPr>
        <w:spacing w:after="160"/>
      </w:pPr>
      <w:r>
        <w:t xml:space="preserve">Every Furniture sub-category (Chairs, Sofas, Bookcases, Tables) operates at a negative margin, costing the business roughly $60,500 over two years despite contributing 38% of revenue.</w:t>
      </w:r>
    </w:p>
    <w:p>
      <w:pPr>
        <w:pStyle w:val="ListParagraph"/>
        <w:numPr>
          <w:ilvl w:val="0"/>
          <w:numId w:val="2"/>
        </w:numPr>
        <w:spacing w:after="80"/>
      </w:pPr>
      <w:r>
        <w:t xml:space="preserve">Recommendation: </w:t>
      </w:r>
      <w:r>
        <w:rPr>
          <w:b/>
          <w:bCs/>
          <w:color w:val="10243E"/>
        </w:rPr>
        <w:t xml:space="preserve">Review supplier costs and pricing for Furniture.</w:t>
      </w:r>
      <w:r>
        <w:t xml:space="preserve"> Even a modest price increase (3-5%) or renegotiated supplier costs could move this category to breakeven or profitability.</w:t>
      </w:r>
    </w:p>
    <w:p>
      <w:pPr>
        <w:pStyle w:val="ListParagraph"/>
        <w:numPr>
          <w:ilvl w:val="0"/>
          <w:numId w:val="2"/>
        </w:numPr>
        <w:spacing w:after="80"/>
      </w:pPr>
      <w:r>
        <w:t xml:space="preserve">Recommendation: </w:t>
      </w:r>
      <w:r>
        <w:rPr>
          <w:b/>
          <w:bCs/>
          <w:color w:val="10243E"/>
        </w:rPr>
        <w:t xml:space="preserve">Audit Furniture discounting policy</w:t>
      </w:r>
      <w:r>
        <w:t xml:space="preserve"> — combined with Insight 3 below, Furniture items may be over-discounted relative to their margin structure.</w:t>
      </w:r>
    </w:p>
    <w:p>
      <w:pPr>
        <w:pStyle w:val="Heading2"/>
      </w:pPr>
      <w:r>
        <w:t xml:space="preserve">Insight 2 — Technology is the business's profit engine</w:t>
      </w:r>
    </w:p>
    <w:p>
      <w:pPr>
        <w:spacing w:after="160"/>
      </w:pPr>
      <w:r>
        <w:t xml:space="preserve">Technology contributes 56% of revenue and effectively all of the company's net profit (Furniture losses are offset by Technology and Office Supplies gains). Laptops alone generated over $121,000 in profit.</w:t>
      </w:r>
    </w:p>
    <w:p>
      <w:pPr>
        <w:pStyle w:val="ListParagraph"/>
        <w:numPr>
          <w:ilvl w:val="0"/>
          <w:numId w:val="2"/>
        </w:numPr>
        <w:spacing w:after="80"/>
      </w:pPr>
      <w:r>
        <w:t xml:space="preserve">Recommendation: </w:t>
      </w:r>
      <w:r>
        <w:rPr>
          <w:b/>
          <w:bCs/>
          <w:color w:val="10243E"/>
        </w:rPr>
        <w:t xml:space="preserve">Increase marketing spend and inventory investment in Technology</w:t>
      </w:r>
      <w:r>
        <w:t xml:space="preserve">, particularly Laptops and Phones, which show both high revenue and strong margins.</w:t>
      </w:r>
    </w:p>
    <w:p>
      <w:pPr>
        <w:pStyle w:val="ListParagraph"/>
        <w:numPr>
          <w:ilvl w:val="0"/>
          <w:numId w:val="2"/>
        </w:numPr>
        <w:spacing w:after="80"/>
      </w:pPr>
      <w:r>
        <w:t xml:space="preserve">Recommendation: </w:t>
      </w:r>
      <w:r>
        <w:rPr>
          <w:b/>
          <w:bCs/>
          <w:color w:val="10243E"/>
        </w:rPr>
        <w:t xml:space="preserve">Bundle Technology accessories with Laptop/Phone purchases</w:t>
      </w:r>
      <w:r>
        <w:t xml:space="preserve"> to lift average order value across all customer segments.</w:t>
      </w:r>
    </w:p>
    <w:p>
      <w:pPr>
        <w:pStyle w:val="Heading2"/>
      </w:pPr>
      <w:r>
        <w:t xml:space="preserve">Insight 3 — Discounts above 20% are unprofitable</w:t>
      </w:r>
    </w:p>
    <w:p>
      <w:pPr>
        <w:spacing w:after="160"/>
      </w:pPr>
      <w:r>
        <w:t xml:space="preserve">Average profit margin turns negative once discounts exceed 20%, and worsens further beyond 30%.</w:t>
      </w:r>
    </w:p>
    <w:p>
      <w:pPr>
        <w:pStyle w:val="ListParagraph"/>
        <w:numPr>
          <w:ilvl w:val="0"/>
          <w:numId w:val="2"/>
        </w:numPr>
        <w:spacing w:after="80"/>
      </w:pPr>
      <w:r>
        <w:t xml:space="preserve">Recommendation: </w:t>
      </w:r>
      <w:r>
        <w:rPr>
          <w:b/>
          <w:bCs/>
          <w:color w:val="10243E"/>
        </w:rPr>
        <w:t xml:space="preserve">Cap standard promotional discounts at 20%</w:t>
      </w:r>
      <w:r>
        <w:t xml:space="preserve">, and require manager approval for any discount above this threshold.</w:t>
      </w:r>
    </w:p>
    <w:p>
      <w:pPr>
        <w:pStyle w:val="ListParagraph"/>
        <w:numPr>
          <w:ilvl w:val="0"/>
          <w:numId w:val="2"/>
        </w:numPr>
        <w:spacing w:after="80"/>
      </w:pPr>
      <w:r>
        <w:t xml:space="preserve">Recommendation: </w:t>
      </w:r>
      <w:r>
        <w:rPr>
          <w:b/>
          <w:bCs/>
          <w:color w:val="10243E"/>
        </w:rPr>
        <w:t xml:space="preserve">Replace deep discounts with value-adds</w:t>
      </w:r>
      <w:r>
        <w:t xml:space="preserve"> (e.g., free shipping, bundled accessories) that drive sales without directly eroding the price.</w:t>
      </w:r>
    </w:p>
    <w:p>
      <w:pPr>
        <w:pStyle w:val="Heading2"/>
      </w:pPr>
      <w:r>
        <w:t xml:space="preserve">Insight 4 — Revenue is growing but seasonal</w:t>
      </w:r>
    </w:p>
    <w:p>
      <w:pPr>
        <w:spacing w:after="160"/>
      </w:pPr>
      <w:r>
        <w:t xml:space="preserve">Revenue grew year-over-year for most months, with sharp peaks in November-December and consistent dips in January-February.</w:t>
      </w:r>
    </w:p>
    <w:p>
      <w:pPr>
        <w:pStyle w:val="ListParagraph"/>
        <w:numPr>
          <w:ilvl w:val="0"/>
          <w:numId w:val="2"/>
        </w:numPr>
        <w:spacing w:after="80"/>
      </w:pPr>
      <w:r>
        <w:t xml:space="preserve">Recommendation: </w:t>
      </w:r>
      <w:r>
        <w:rPr>
          <w:b/>
          <w:bCs/>
          <w:color w:val="10243E"/>
        </w:rPr>
        <w:t xml:space="preserve">Plan inventory and staffing around the Nov-Dec peak</w:t>
      </w:r>
      <w:r>
        <w:t xml:space="preserve"> to avoid stockouts during the highest-revenue period.</w:t>
      </w:r>
    </w:p>
    <w:p>
      <w:pPr>
        <w:pStyle w:val="ListParagraph"/>
        <w:numPr>
          <w:ilvl w:val="0"/>
          <w:numId w:val="2"/>
        </w:numPr>
        <w:spacing w:after="80"/>
      </w:pPr>
      <w:r>
        <w:t xml:space="preserve">Recommendation: </w:t>
      </w:r>
      <w:r>
        <w:rPr>
          <w:b/>
          <w:bCs/>
          <w:color w:val="10243E"/>
        </w:rPr>
        <w:t xml:space="preserve">Run targeted Q1 promotions</w:t>
      </w:r>
      <w:r>
        <w:t xml:space="preserve"> (within the 20% discount cap) to smooth the January-February revenue dip.</w:t>
      </w:r>
    </w:p>
    <w:p>
      <w:pPr>
        <w:pStyle w:val="Heading2"/>
      </w:pPr>
      <w:r>
        <w:t xml:space="preserve">Insight 5 — Central region underperforms</w:t>
      </w:r>
    </w:p>
    <w:p>
      <w:pPr>
        <w:spacing w:after="160"/>
      </w:pPr>
      <w:r>
        <w:t xml:space="preserve">Central has both the lowest revenue ($507,900) and the lowest profit margin (4.0%) of all five regions, while East achieves the best margin (6.6%) without leading on revenue.</w:t>
      </w:r>
    </w:p>
    <w:p>
      <w:pPr>
        <w:pStyle w:val="ListParagraph"/>
        <w:numPr>
          <w:ilvl w:val="0"/>
          <w:numId w:val="2"/>
        </w:numPr>
        <w:spacing w:after="80"/>
      </w:pPr>
      <w:r>
        <w:t xml:space="preserve">Recommendation: </w:t>
      </w:r>
      <w:r>
        <w:rPr>
          <w:b/>
          <w:bCs/>
          <w:color w:val="10243E"/>
        </w:rPr>
        <w:t xml:space="preserve">Investigate Central region operations</w:t>
      </w:r>
      <w:r>
        <w:t xml:space="preserve"> — review pricing, shipping costs, and sales coverage to understand the margin gap versus East.</w:t>
      </w:r>
    </w:p>
    <w:p>
      <w:pPr>
        <w:pStyle w:val="ListParagraph"/>
        <w:numPr>
          <w:ilvl w:val="0"/>
          <w:numId w:val="2"/>
        </w:numPr>
        <w:spacing w:after="80"/>
      </w:pPr>
      <w:r>
        <w:t xml:space="preserve">Recommendation: </w:t>
      </w:r>
      <w:r>
        <w:rPr>
          <w:b/>
          <w:bCs/>
          <w:color w:val="10243E"/>
        </w:rPr>
        <w:t xml:space="preserve">Apply East region's pricing/discount discipline</w:t>
      </w:r>
      <w:r>
        <w:t xml:space="preserve"> as a benchmark for other regions.</w:t>
      </w:r>
    </w:p>
    <w:p>
      <w:pPr>
        <w:pStyle w:val="Heading1"/>
      </w:pPr>
      <w:r>
        <w:t xml:space="preserve">10. Methodology &amp; Notes</w:t>
      </w:r>
    </w:p>
    <w:p>
      <w:pPr>
        <w:pStyle w:val="Heading2"/>
      </w:pPr>
      <w:r>
        <w:t xml:space="preserve">Data Source</w:t>
      </w:r>
    </w:p>
    <w:p>
      <w:pPr>
        <w:spacing w:after="160"/>
      </w:pPr>
      <w:r>
        <w:t xml:space="preserve">This analysis uses a simulated retail sales dataset (2024-2025) modeled on the structure of common public sales datasets (e.g., Superstore-style: Order Date, Region, Category, Sub-Category, Product, Sales, Profit, Discount, Customer Segment). The dataset was generated to reflect realistic seasonal patterns, category mixes, and profitability dynamics for demonstration purposes. The same cleaning and analysis workflow applies directly to real business data — simply replace the source file with actual sales records.</w:t>
      </w:r>
    </w:p>
    <w:p>
      <w:pPr>
        <w:pStyle w:val="Heading2"/>
      </w:pPr>
      <w:r>
        <w:t xml:space="preserve">Tools Used</w:t>
      </w:r>
    </w:p>
    <w:p>
      <w:pPr>
        <w:pStyle w:val="ListParagraph"/>
        <w:numPr>
          <w:ilvl w:val="0"/>
          <w:numId w:val="2"/>
        </w:numPr>
        <w:spacing w:after="80"/>
      </w:pPr>
      <w:r>
        <w:t xml:space="preserve">Python (pandas) for data cleaning, aggregation, and KPI calculation</w:t>
      </w:r>
    </w:p>
    <w:p>
      <w:pPr>
        <w:pStyle w:val="ListParagraph"/>
        <w:numPr>
          <w:ilvl w:val="0"/>
          <w:numId w:val="2"/>
        </w:numPr>
        <w:spacing w:after="80"/>
      </w:pPr>
      <w:r>
        <w:t xml:space="preserve">Matplotlib for static chart generation</w:t>
      </w:r>
    </w:p>
    <w:p>
      <w:pPr>
        <w:pStyle w:val="ListParagraph"/>
        <w:numPr>
          <w:ilvl w:val="0"/>
          <w:numId w:val="2"/>
        </w:numPr>
        <w:spacing w:after="80"/>
      </w:pPr>
      <w:r>
        <w:t xml:space="preserve">HTML/JavaScript (Chart.js) for the interactive dashboard</w:t>
      </w:r>
    </w:p>
    <w:p>
      <w:pPr>
        <w:pStyle w:val="ListParagraph"/>
        <w:numPr>
          <w:ilvl w:val="0"/>
          <w:numId w:val="2"/>
        </w:numPr>
        <w:spacing w:after="80"/>
      </w:pPr>
      <w:r>
        <w:t xml:space="preserve">docx for this report</w:t>
      </w:r>
    </w:p>
    <w:p>
      <w:pPr>
        <w:pStyle w:val="Heading2"/>
      </w:pPr>
      <w:r>
        <w:t xml:space="preserve">Key Definitions</w:t>
      </w:r>
    </w:p>
    <w:p>
      <w:pPr>
        <w:pStyle w:val="ListParagraph"/>
        <w:numPr>
          <w:ilvl w:val="0"/>
          <w:numId w:val="2"/>
        </w:numPr>
        <w:spacing w:after="80"/>
      </w:pPr>
      <w:r>
        <w:t xml:space="preserve">Revenue / Sales: Total sale amount after discount, before cost of goods</w:t>
      </w:r>
    </w:p>
    <w:p>
      <w:pPr>
        <w:pStyle w:val="ListParagraph"/>
        <w:numPr>
          <w:ilvl w:val="0"/>
          <w:numId w:val="2"/>
        </w:numPr>
        <w:spacing w:after="80"/>
      </w:pPr>
      <w:r>
        <w:t xml:space="preserve">Profit: Revenue minus cost of goods (can be negative)</w:t>
      </w:r>
    </w:p>
    <w:p>
      <w:pPr>
        <w:pStyle w:val="ListParagraph"/>
        <w:numPr>
          <w:ilvl w:val="0"/>
          <w:numId w:val="2"/>
        </w:numPr>
        <w:spacing w:after="80"/>
      </w:pPr>
      <w:r>
        <w:t xml:space="preserve">Profit Margin %: Profit ÷ Revenue × 100</w:t>
      </w:r>
    </w:p>
    <w:p>
      <w:pPr>
        <w:pStyle w:val="ListParagraph"/>
        <w:numPr>
          <w:ilvl w:val="0"/>
          <w:numId w:val="2"/>
        </w:numPr>
        <w:spacing w:after="80"/>
      </w:pPr>
      <w:r>
        <w:t xml:space="preserve">AOV (Average Order Value): Total revenue ÷ number of unique orders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F"/>
        <w:sz w:val="16"/>
        <w:szCs w:val="16"/>
      </w:rPr>
      <w:t xml:space="preserve">Page </w:t>
    </w:r>
    <w:r>
      <w:rPr>
        <w:color w:val="6B7A8F"/>
        <w:sz w:val="16"/>
        <w:szCs w:val="16"/>
      </w:rPr>
      <w:fldChar w:fldCharType="begin"/>
      <w:instrText xml:space="preserve">PAGE</w:instrText>
      <w:fldChar w:fldCharType="separate"/>
      <w:fldChar w:fldCharType="end"/>
    </w:r>
    <w:r>
      <w:rPr>
        <w:color w:val="6B7A8F"/>
        <w:sz w:val="16"/>
        <w:szCs w:val="16"/>
      </w:rPr>
      <w:t xml:space="preserve"> of </w:t>
    </w:r>
    <w:r>
      <w:rPr>
        <w:color w:val="6B7A8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6B7A8F"/>
        <w:sz w:val="16"/>
        <w:szCs w:val="16"/>
      </w:rPr>
      <w:t xml:space="preserve">Sales Performance Analytics</w:t>
    </w:r>
    <w:r>
      <w:rPr>
        <w:color w:val="6B7A8F"/>
        <w:sz w:val="16"/>
        <w:szCs w:val="16"/>
      </w:rPr>
      <w:t xml:space="preserve">	FY2024–2025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0243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d4b1f1b681432af7e60cb3b132339e075ca223.png"/><Relationship Id="rId10" Type="http://schemas.openxmlformats.org/officeDocument/2006/relationships/image" Target="media/b7c3e0309ee35468e1dc03d28acf861720f6bbde.png"/><Relationship Id="rId11" Type="http://schemas.openxmlformats.org/officeDocument/2006/relationships/image" Target="media/8f65f087759ed27fcee1e28b8dae40258f3d8426.png"/><Relationship Id="rId12" Type="http://schemas.openxmlformats.org/officeDocument/2006/relationships/image" Target="media/a7dcb8e5603fe08383e3318ec8d9bbfa36ed4d7d.png"/><Relationship Id="rId13" Type="http://schemas.openxmlformats.org/officeDocument/2006/relationships/image" Target="media/f88cc4f9122e682b1fd125b240c95b785ead17f9.png"/><Relationship Id="rId14" Type="http://schemas.openxmlformats.org/officeDocument/2006/relationships/image" Target="media/1f705bcf94f138c5b7d0438465d4d6344347d529.png"/><Relationship Id="rId15" Type="http://schemas.openxmlformats.org/officeDocument/2006/relationships/image" Target="media/6ce16963b5adc47a0ac42255bf26c1da1bb2c148.png"/><Relationship Id="rId16" Type="http://schemas.openxmlformats.org/officeDocument/2006/relationships/image" Target="media/e0180e86831c800025a425cd5a86ced2e056953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Sales Performance Analytics Report</dc:title>
  <dc:creator>Data Analytics Internship</dc:creator>
  <cp:lastModifiedBy>Un-named</cp:lastModifiedBy>
  <cp:revision>1</cp:revision>
  <dcterms:created xsi:type="dcterms:W3CDTF">2026-06-13T05:48:07.527Z</dcterms:created>
  <dcterms:modified xsi:type="dcterms:W3CDTF">2026-06-13T05:48:07.527Z</dcterms:modified>
</cp:coreProperties>
</file>

<file path=docProps/custom.xml><?xml version="1.0" encoding="utf-8"?>
<Properties xmlns="http://schemas.openxmlformats.org/officeDocument/2006/custom-properties" xmlns:vt="http://schemas.openxmlformats.org/officeDocument/2006/docPropsVTypes"/>
</file>