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5EE" w:rsidRDefault="00E62A89">
      <w:pPr>
        <w:pStyle w:val="Heading1"/>
        <w:keepNext w:val="0"/>
        <w:keepLines w:val="0"/>
        <w:spacing w:before="480"/>
        <w:rPr>
          <w:b/>
          <w:sz w:val="46"/>
          <w:szCs w:val="46"/>
        </w:rPr>
      </w:pPr>
      <w:bookmarkStart w:id="0" w:name="_tgmb8h4if3uz" w:colFirst="0" w:colLast="0"/>
      <w:bookmarkEnd w:id="0"/>
      <w:r>
        <w:rPr>
          <w:b/>
          <w:sz w:val="46"/>
          <w:szCs w:val="46"/>
        </w:rPr>
        <w:t>Churn Prediction with a Deep Neural Network on Telco Customer Data: A Comprehensive Tutorial</w:t>
      </w:r>
    </w:p>
    <w:p w:rsidR="009655EE" w:rsidRDefault="00E62A89">
      <w:pPr>
        <w:pStyle w:val="Heading2"/>
        <w:keepNext w:val="0"/>
        <w:keepLines w:val="0"/>
        <w:spacing w:after="80"/>
        <w:rPr>
          <w:b/>
          <w:sz w:val="34"/>
          <w:szCs w:val="34"/>
        </w:rPr>
      </w:pPr>
      <w:bookmarkStart w:id="1" w:name="_nqhryo7e6w0" w:colFirst="0" w:colLast="0"/>
      <w:bookmarkEnd w:id="1"/>
      <w:r>
        <w:rPr>
          <w:b/>
          <w:sz w:val="34"/>
          <w:szCs w:val="34"/>
        </w:rPr>
        <w:t>1. Introduction</w:t>
      </w:r>
    </w:p>
    <w:p w:rsidR="009655EE" w:rsidRDefault="00E62A89">
      <w:pPr>
        <w:spacing w:before="240" w:after="240"/>
      </w:pPr>
      <w:r>
        <w:t xml:space="preserve">Since the market is competitive, it makes it much more cost effective to retain existing customers rather than acquiring new ones. The rate at </w:t>
      </w:r>
      <w:r>
        <w:t xml:space="preserve">which customers discontinue the product or service from the company will have a huge impact on the revenue of the company. The ability to accurately predict churn models allows businesses to target at risk customers with customized incentives and diminish </w:t>
      </w:r>
      <w:r>
        <w:t>the probability of churn and enhance the resulting length of customer value.</w:t>
      </w:r>
    </w:p>
    <w:p w:rsidR="009655EE" w:rsidRDefault="00E62A89">
      <w:pPr>
        <w:spacing w:before="240" w:after="240"/>
      </w:pPr>
      <w:r>
        <w:t>This tutorial tries to introduce how to use a Deep Neural Network (DNN) for churn prediction using the Telco Customer Churn dataset. We cover from data preprocessing to exploratio</w:t>
      </w:r>
      <w:r>
        <w:t>n, model building, evaluation, visualization in the whole pipeline. Our objective is to offer a rigorous and educational tutor that also matches academic and business criteria.</w:t>
      </w:r>
      <w:sdt>
        <w:sdtPr>
          <w:id w:val="280627105"/>
          <w:citation/>
        </w:sdtPr>
        <w:sdtContent>
          <w:r>
            <w:fldChar w:fldCharType="begin"/>
          </w:r>
          <w:r>
            <w:instrText xml:space="preserve"> CITATION Ped11 \l 1033 </w:instrText>
          </w:r>
          <w:r>
            <w:fldChar w:fldCharType="separate"/>
          </w:r>
          <w:r>
            <w:rPr>
              <w:noProof/>
            </w:rPr>
            <w:t xml:space="preserve"> (Pedregosa, 2011)</w:t>
          </w:r>
          <w:r>
            <w:fldChar w:fldCharType="end"/>
          </w:r>
        </w:sdtContent>
      </w:sdt>
    </w:p>
    <w:p w:rsidR="009655EE" w:rsidRDefault="00E62A89">
      <w:pPr>
        <w:spacing w:before="240" w:after="240"/>
      </w:pPr>
      <w:r>
        <w:rPr>
          <w:b/>
        </w:rPr>
        <w:t>Key Topics Covered</w:t>
      </w:r>
      <w:r>
        <w:t>:</w:t>
      </w:r>
    </w:p>
    <w:p w:rsidR="009655EE" w:rsidRDefault="00E62A89">
      <w:pPr>
        <w:numPr>
          <w:ilvl w:val="0"/>
          <w:numId w:val="1"/>
        </w:numPr>
        <w:spacing w:before="240"/>
      </w:pPr>
      <w:r>
        <w:rPr>
          <w:b/>
        </w:rPr>
        <w:t>Dataset Overview</w:t>
      </w:r>
      <w:r>
        <w:t xml:space="preserve"> and </w:t>
      </w:r>
      <w:r>
        <w:rPr>
          <w:b/>
        </w:rPr>
        <w:t>Preprocessing</w:t>
      </w:r>
    </w:p>
    <w:p w:rsidR="009655EE" w:rsidRDefault="00E62A89">
      <w:pPr>
        <w:numPr>
          <w:ilvl w:val="0"/>
          <w:numId w:val="1"/>
        </w:numPr>
      </w:pPr>
      <w:r>
        <w:rPr>
          <w:b/>
        </w:rPr>
        <w:t>DNN Construction</w:t>
      </w:r>
      <w:r>
        <w:t xml:space="preserve"> with </w:t>
      </w:r>
      <w:proofErr w:type="spellStart"/>
      <w:r>
        <w:t>Ke</w:t>
      </w:r>
      <w:r>
        <w:t>ras</w:t>
      </w:r>
      <w:proofErr w:type="spellEnd"/>
    </w:p>
    <w:p w:rsidR="009655EE" w:rsidRDefault="00E62A89">
      <w:pPr>
        <w:numPr>
          <w:ilvl w:val="0"/>
          <w:numId w:val="1"/>
        </w:numPr>
      </w:pPr>
      <w:r>
        <w:rPr>
          <w:b/>
        </w:rPr>
        <w:t>Training</w:t>
      </w:r>
      <w:r>
        <w:t xml:space="preserve"> (with early stopping)</w:t>
      </w:r>
    </w:p>
    <w:p w:rsidR="009655EE" w:rsidRDefault="00E62A89">
      <w:pPr>
        <w:numPr>
          <w:ilvl w:val="0"/>
          <w:numId w:val="1"/>
        </w:numPr>
      </w:pPr>
      <w:r>
        <w:rPr>
          <w:b/>
        </w:rPr>
        <w:t>Evaluation Metrics</w:t>
      </w:r>
      <w:r>
        <w:t xml:space="preserve"> (accuracy, precision, recall, F1, ROC AUC)</w:t>
      </w:r>
    </w:p>
    <w:p w:rsidR="009655EE" w:rsidRDefault="00E62A89">
      <w:pPr>
        <w:numPr>
          <w:ilvl w:val="0"/>
          <w:numId w:val="1"/>
        </w:numPr>
        <w:spacing w:after="240"/>
      </w:pPr>
      <w:r>
        <w:rPr>
          <w:b/>
        </w:rPr>
        <w:t>Advanced Visuals</w:t>
      </w:r>
      <w:r>
        <w:t xml:space="preserve"> (Interactive ROC, Radar Chart for Feature Importance, Violin Plot, 3D Scatter, Smoothed Learning Curve, Correlation Heatmap)</w:t>
      </w:r>
    </w:p>
    <w:p w:rsidR="009655EE" w:rsidRDefault="00E62A89">
      <w:pPr>
        <w:spacing w:before="240" w:after="240"/>
      </w:pPr>
      <w:r>
        <w:t>By following thes</w:t>
      </w:r>
      <w:r>
        <w:t>e steps, you’ll gain both theoretical and practical insights into building and interpreting deep learning models for churn prediction.</w:t>
      </w:r>
    </w:p>
    <w:p w:rsidR="009655EE" w:rsidRDefault="00E62A89">
      <w:pPr>
        <w:pStyle w:val="Heading2"/>
        <w:keepNext w:val="0"/>
        <w:keepLines w:val="0"/>
        <w:spacing w:after="80"/>
        <w:rPr>
          <w:b/>
          <w:sz w:val="34"/>
          <w:szCs w:val="34"/>
        </w:rPr>
      </w:pPr>
      <w:bookmarkStart w:id="2" w:name="_cdvd15ut84z2" w:colFirst="0" w:colLast="0"/>
      <w:bookmarkEnd w:id="2"/>
      <w:r>
        <w:rPr>
          <w:b/>
          <w:sz w:val="34"/>
          <w:szCs w:val="34"/>
        </w:rPr>
        <w:t>2. Why Churn Prediction Matters</w:t>
      </w:r>
    </w:p>
    <w:p w:rsidR="009655EE" w:rsidRDefault="00E62A89">
      <w:pPr>
        <w:numPr>
          <w:ilvl w:val="0"/>
          <w:numId w:val="16"/>
        </w:numPr>
        <w:spacing w:before="240"/>
      </w:pPr>
      <w:r>
        <w:rPr>
          <w:b/>
        </w:rPr>
        <w:t>Revenue Preservation</w:t>
      </w:r>
      <w:r>
        <w:t xml:space="preserve">: </w:t>
      </w:r>
      <w:r>
        <w:t xml:space="preserve">It is estimated that it costs 5 times — or more — to acquire a new </w:t>
      </w:r>
      <w:r>
        <w:t>customer than to retain one. Churn model allows companies to intervene by finding customers susceptible to leaving.</w:t>
      </w:r>
    </w:p>
    <w:p w:rsidR="009655EE" w:rsidRDefault="00E62A89">
      <w:pPr>
        <w:numPr>
          <w:ilvl w:val="0"/>
          <w:numId w:val="16"/>
        </w:numPr>
      </w:pPr>
      <w:r>
        <w:rPr>
          <w:b/>
        </w:rPr>
        <w:t>Targeted Retention Strategies</w:t>
      </w:r>
      <w:r>
        <w:t>: With a reliable churn score, marketing teams can design special offers, loyalty programs, or personalized ser</w:t>
      </w:r>
      <w:r>
        <w:t>vices to keep at-risk customers engaged.</w:t>
      </w:r>
    </w:p>
    <w:p w:rsidR="009655EE" w:rsidRDefault="00E62A89">
      <w:pPr>
        <w:numPr>
          <w:ilvl w:val="0"/>
          <w:numId w:val="16"/>
        </w:numPr>
        <w:spacing w:after="240"/>
      </w:pPr>
      <w:r>
        <w:rPr>
          <w:b/>
        </w:rPr>
        <w:t>Data-Driven Insights</w:t>
      </w:r>
      <w:r>
        <w:t>: By analyzing which features are most predictive of churn, businesses can refine their products, pricing, and support processes.</w:t>
      </w:r>
    </w:p>
    <w:p w:rsidR="009655EE" w:rsidRDefault="00E62A89">
      <w:pPr>
        <w:pStyle w:val="Heading2"/>
        <w:keepNext w:val="0"/>
        <w:keepLines w:val="0"/>
        <w:spacing w:after="80"/>
        <w:rPr>
          <w:b/>
          <w:sz w:val="34"/>
          <w:szCs w:val="34"/>
        </w:rPr>
      </w:pPr>
      <w:bookmarkStart w:id="3" w:name="_3m39e2di0kyo" w:colFirst="0" w:colLast="0"/>
      <w:bookmarkEnd w:id="3"/>
      <w:r>
        <w:rPr>
          <w:b/>
          <w:sz w:val="34"/>
          <w:szCs w:val="34"/>
        </w:rPr>
        <w:lastRenderedPageBreak/>
        <w:t>3. Dataset Overview</w:t>
      </w:r>
    </w:p>
    <w:p w:rsidR="009655EE" w:rsidRDefault="00E62A89">
      <w:pPr>
        <w:pStyle w:val="Heading3"/>
        <w:keepNext w:val="0"/>
        <w:keepLines w:val="0"/>
        <w:spacing w:before="280"/>
        <w:rPr>
          <w:b/>
          <w:color w:val="000000"/>
          <w:sz w:val="26"/>
          <w:szCs w:val="26"/>
        </w:rPr>
      </w:pPr>
      <w:bookmarkStart w:id="4" w:name="_yt3ojzs0gl26" w:colFirst="0" w:colLast="0"/>
      <w:bookmarkEnd w:id="4"/>
      <w:r>
        <w:rPr>
          <w:b/>
          <w:color w:val="000000"/>
          <w:sz w:val="26"/>
          <w:szCs w:val="26"/>
        </w:rPr>
        <w:t>3.1. Telco Customer Churn Dataset</w:t>
      </w:r>
    </w:p>
    <w:p w:rsidR="009655EE" w:rsidRDefault="00E62A89">
      <w:pPr>
        <w:spacing w:before="240" w:after="240"/>
      </w:pPr>
      <w:r>
        <w:t>The dataset</w:t>
      </w:r>
      <w:r>
        <w:t xml:space="preserve"> consists of </w:t>
      </w:r>
      <w:r>
        <w:rPr>
          <w:b/>
        </w:rPr>
        <w:t>7043 records</w:t>
      </w:r>
      <w:r>
        <w:t xml:space="preserve"> (rows) and </w:t>
      </w:r>
      <w:r>
        <w:rPr>
          <w:b/>
        </w:rPr>
        <w:t>21 features</w:t>
      </w:r>
      <w:r>
        <w:t>, each representing a customer’s demographic, account, and usage information. Key columns include:</w:t>
      </w:r>
    </w:p>
    <w:p w:rsidR="009655EE" w:rsidRDefault="00E62A89">
      <w:pPr>
        <w:numPr>
          <w:ilvl w:val="0"/>
          <w:numId w:val="8"/>
        </w:numPr>
        <w:spacing w:before="240"/>
      </w:pPr>
      <w:proofErr w:type="spellStart"/>
      <w:proofErr w:type="gramStart"/>
      <w:r>
        <w:rPr>
          <w:b/>
        </w:rPr>
        <w:t>customerID</w:t>
      </w:r>
      <w:proofErr w:type="spellEnd"/>
      <w:proofErr w:type="gramEnd"/>
      <w:r>
        <w:t>: Unique identifier for each customer.</w:t>
      </w:r>
    </w:p>
    <w:p w:rsidR="009655EE" w:rsidRDefault="00E62A89">
      <w:pPr>
        <w:numPr>
          <w:ilvl w:val="0"/>
          <w:numId w:val="8"/>
        </w:numPr>
      </w:pPr>
      <w:proofErr w:type="gramStart"/>
      <w:r>
        <w:rPr>
          <w:b/>
        </w:rPr>
        <w:t>gender</w:t>
      </w:r>
      <w:proofErr w:type="gramEnd"/>
      <w:r>
        <w:t>: Whether the customer is male or female.</w:t>
      </w:r>
    </w:p>
    <w:p w:rsidR="009655EE" w:rsidRDefault="00E62A89">
      <w:pPr>
        <w:numPr>
          <w:ilvl w:val="0"/>
          <w:numId w:val="8"/>
        </w:numPr>
      </w:pPr>
      <w:proofErr w:type="spellStart"/>
      <w:r>
        <w:rPr>
          <w:b/>
        </w:rPr>
        <w:t>SeniorCitizen</w:t>
      </w:r>
      <w:proofErr w:type="spellEnd"/>
      <w:r>
        <w:t>: Indicator if the customer is 65+.</w:t>
      </w:r>
    </w:p>
    <w:p w:rsidR="009655EE" w:rsidRDefault="00E62A89">
      <w:pPr>
        <w:numPr>
          <w:ilvl w:val="0"/>
          <w:numId w:val="8"/>
        </w:numPr>
      </w:pPr>
      <w:r>
        <w:rPr>
          <w:b/>
        </w:rPr>
        <w:t>Partner, Dependents</w:t>
      </w:r>
      <w:r>
        <w:t>: Family status.</w:t>
      </w:r>
    </w:p>
    <w:p w:rsidR="009655EE" w:rsidRDefault="00E62A89">
      <w:pPr>
        <w:numPr>
          <w:ilvl w:val="0"/>
          <w:numId w:val="8"/>
        </w:numPr>
      </w:pPr>
      <w:proofErr w:type="gramStart"/>
      <w:r>
        <w:rPr>
          <w:b/>
        </w:rPr>
        <w:t>tenure</w:t>
      </w:r>
      <w:proofErr w:type="gramEnd"/>
      <w:r>
        <w:t>: Number of months the customer has stayed.</w:t>
      </w:r>
    </w:p>
    <w:p w:rsidR="009655EE" w:rsidRDefault="00E62A89">
      <w:pPr>
        <w:numPr>
          <w:ilvl w:val="0"/>
          <w:numId w:val="8"/>
        </w:numPr>
      </w:pPr>
      <w:proofErr w:type="spellStart"/>
      <w:r>
        <w:rPr>
          <w:b/>
        </w:rPr>
        <w:t>PhoneService</w:t>
      </w:r>
      <w:proofErr w:type="spellEnd"/>
      <w:r>
        <w:rPr>
          <w:b/>
        </w:rPr>
        <w:t xml:space="preserve">, </w:t>
      </w:r>
      <w:proofErr w:type="spellStart"/>
      <w:r>
        <w:rPr>
          <w:b/>
        </w:rPr>
        <w:t>MultipleLines</w:t>
      </w:r>
      <w:proofErr w:type="spellEnd"/>
      <w:r>
        <w:t>: Telephone usage details.</w:t>
      </w:r>
    </w:p>
    <w:p w:rsidR="009655EE" w:rsidRDefault="00E62A89">
      <w:pPr>
        <w:numPr>
          <w:ilvl w:val="0"/>
          <w:numId w:val="8"/>
        </w:numPr>
      </w:pPr>
      <w:proofErr w:type="spellStart"/>
      <w:r>
        <w:rPr>
          <w:b/>
        </w:rPr>
        <w:t>InternetService</w:t>
      </w:r>
      <w:proofErr w:type="spellEnd"/>
      <w:r>
        <w:t>: DSL, Fiber optic, or No internet.</w:t>
      </w:r>
    </w:p>
    <w:p w:rsidR="009655EE" w:rsidRDefault="00E62A89">
      <w:pPr>
        <w:numPr>
          <w:ilvl w:val="0"/>
          <w:numId w:val="8"/>
        </w:numPr>
      </w:pPr>
      <w:proofErr w:type="spellStart"/>
      <w:r>
        <w:rPr>
          <w:b/>
        </w:rPr>
        <w:t>OnlineSecurity</w:t>
      </w:r>
      <w:proofErr w:type="spellEnd"/>
      <w:r>
        <w:rPr>
          <w:b/>
        </w:rPr>
        <w:t xml:space="preserve">, </w:t>
      </w:r>
      <w:proofErr w:type="spellStart"/>
      <w:r>
        <w:rPr>
          <w:b/>
        </w:rPr>
        <w:t>OnlineBackup</w:t>
      </w:r>
      <w:proofErr w:type="spellEnd"/>
      <w:r>
        <w:rPr>
          <w:b/>
        </w:rPr>
        <w:t xml:space="preserve">, </w:t>
      </w:r>
      <w:proofErr w:type="spellStart"/>
      <w:r>
        <w:rPr>
          <w:b/>
        </w:rPr>
        <w:t>DeviceProtection</w:t>
      </w:r>
      <w:proofErr w:type="spellEnd"/>
      <w:r>
        <w:rPr>
          <w:b/>
        </w:rPr>
        <w:t xml:space="preserve">, </w:t>
      </w:r>
      <w:proofErr w:type="spellStart"/>
      <w:r>
        <w:rPr>
          <w:b/>
        </w:rPr>
        <w:t>TechSupport</w:t>
      </w:r>
      <w:proofErr w:type="spellEnd"/>
      <w:r>
        <w:t>: Additional internet-based services.</w:t>
      </w:r>
    </w:p>
    <w:p w:rsidR="009655EE" w:rsidRDefault="00E62A89">
      <w:pPr>
        <w:numPr>
          <w:ilvl w:val="0"/>
          <w:numId w:val="8"/>
        </w:numPr>
      </w:pPr>
      <w:proofErr w:type="spellStart"/>
      <w:r>
        <w:rPr>
          <w:b/>
        </w:rPr>
        <w:t>StreamingTV</w:t>
      </w:r>
      <w:proofErr w:type="spellEnd"/>
      <w:r>
        <w:rPr>
          <w:b/>
        </w:rPr>
        <w:t xml:space="preserve">, </w:t>
      </w:r>
      <w:proofErr w:type="spellStart"/>
      <w:r>
        <w:rPr>
          <w:b/>
        </w:rPr>
        <w:t>StreamingMovies</w:t>
      </w:r>
      <w:proofErr w:type="spellEnd"/>
      <w:r>
        <w:t>: Entertainment service usage.</w:t>
      </w:r>
    </w:p>
    <w:p w:rsidR="009655EE" w:rsidRDefault="00E62A89">
      <w:pPr>
        <w:numPr>
          <w:ilvl w:val="0"/>
          <w:numId w:val="8"/>
        </w:numPr>
      </w:pPr>
      <w:r>
        <w:rPr>
          <w:b/>
        </w:rPr>
        <w:t>Contract</w:t>
      </w:r>
      <w:r>
        <w:t>: Month-to-month, one-year, or two-year plan.</w:t>
      </w:r>
    </w:p>
    <w:p w:rsidR="009655EE" w:rsidRDefault="00E62A89">
      <w:pPr>
        <w:numPr>
          <w:ilvl w:val="0"/>
          <w:numId w:val="8"/>
        </w:numPr>
      </w:pPr>
      <w:proofErr w:type="spellStart"/>
      <w:r>
        <w:rPr>
          <w:b/>
        </w:rPr>
        <w:t>PaperlessBilling</w:t>
      </w:r>
      <w:proofErr w:type="spellEnd"/>
      <w:r>
        <w:t>: Whether billing is paperless.</w:t>
      </w:r>
    </w:p>
    <w:p w:rsidR="009655EE" w:rsidRDefault="00E62A89">
      <w:pPr>
        <w:numPr>
          <w:ilvl w:val="0"/>
          <w:numId w:val="8"/>
        </w:numPr>
      </w:pPr>
      <w:proofErr w:type="spellStart"/>
      <w:r>
        <w:rPr>
          <w:b/>
        </w:rPr>
        <w:t>PaymentMethod</w:t>
      </w:r>
      <w:proofErr w:type="spellEnd"/>
      <w:r>
        <w:t>:</w:t>
      </w:r>
      <w:r>
        <w:t xml:space="preserve"> e.g., Electronic check, Mailed check.</w:t>
      </w:r>
    </w:p>
    <w:p w:rsidR="009655EE" w:rsidRDefault="00E62A89">
      <w:pPr>
        <w:numPr>
          <w:ilvl w:val="0"/>
          <w:numId w:val="8"/>
        </w:numPr>
      </w:pPr>
      <w:r>
        <w:rPr>
          <w:b/>
        </w:rPr>
        <w:t>MonthlyCharges, TotalCharges</w:t>
      </w:r>
      <w:r>
        <w:t>: Monthly and total billing amounts.</w:t>
      </w:r>
    </w:p>
    <w:p w:rsidR="009655EE" w:rsidRDefault="00E62A89">
      <w:pPr>
        <w:numPr>
          <w:ilvl w:val="0"/>
          <w:numId w:val="8"/>
        </w:numPr>
        <w:spacing w:after="240"/>
      </w:pPr>
      <w:r>
        <w:rPr>
          <w:b/>
        </w:rPr>
        <w:t>Churn</w:t>
      </w:r>
      <w:r>
        <w:t>: Target variable (Yes = churn, No = no churn).</w:t>
      </w:r>
    </w:p>
    <w:p w:rsidR="009655EE" w:rsidRDefault="00E62A89">
      <w:pPr>
        <w:pStyle w:val="Heading3"/>
        <w:keepNext w:val="0"/>
        <w:keepLines w:val="0"/>
        <w:spacing w:before="280"/>
        <w:rPr>
          <w:b/>
          <w:color w:val="000000"/>
          <w:sz w:val="26"/>
          <w:szCs w:val="26"/>
        </w:rPr>
      </w:pPr>
      <w:bookmarkStart w:id="5" w:name="_ook4b69ao25z" w:colFirst="0" w:colLast="0"/>
      <w:bookmarkEnd w:id="5"/>
      <w:r>
        <w:rPr>
          <w:b/>
          <w:color w:val="000000"/>
          <w:sz w:val="26"/>
          <w:szCs w:val="26"/>
        </w:rPr>
        <w:t>3.2. Basic Statistics</w:t>
      </w:r>
    </w:p>
    <w:p w:rsidR="009655EE" w:rsidRDefault="00E62A89">
      <w:pPr>
        <w:numPr>
          <w:ilvl w:val="0"/>
          <w:numId w:val="13"/>
        </w:numPr>
        <w:spacing w:before="240"/>
      </w:pPr>
      <w:r>
        <w:rPr>
          <w:b/>
        </w:rPr>
        <w:t>Shape</w:t>
      </w:r>
      <w:r>
        <w:t>: (7043, 21).</w:t>
      </w:r>
    </w:p>
    <w:p w:rsidR="009655EE" w:rsidRDefault="00E62A89">
      <w:pPr>
        <w:numPr>
          <w:ilvl w:val="0"/>
          <w:numId w:val="13"/>
        </w:numPr>
      </w:pPr>
      <w:r>
        <w:rPr>
          <w:b/>
        </w:rPr>
        <w:t>Target Distribution</w:t>
      </w:r>
      <w:r>
        <w:t>: 5174 “No” (approx. 73.4%) and 1869 “Y</w:t>
      </w:r>
      <w:r>
        <w:t>es” (approx. 26.6%). This indicates a moderate class imbalance.</w:t>
      </w:r>
    </w:p>
    <w:p w:rsidR="009655EE" w:rsidRDefault="00E62A89">
      <w:pPr>
        <w:numPr>
          <w:ilvl w:val="0"/>
          <w:numId w:val="13"/>
        </w:numPr>
        <w:spacing w:after="240"/>
      </w:pPr>
      <w:r>
        <w:rPr>
          <w:b/>
        </w:rPr>
        <w:t>Data Types</w:t>
      </w:r>
      <w:r>
        <w:t xml:space="preserve">: 2 integer, 1 float, 18 object. Some columns (e.g., </w:t>
      </w:r>
      <w:r>
        <w:rPr>
          <w:rFonts w:ascii="Roboto Mono" w:eastAsia="Roboto Mono" w:hAnsi="Roboto Mono" w:cs="Roboto Mono"/>
          <w:color w:val="188038"/>
        </w:rPr>
        <w:t>TotalCharges</w:t>
      </w:r>
      <w:r>
        <w:t>) may need conversion from string to numeric.</w:t>
      </w:r>
    </w:p>
    <w:p w:rsidR="009655EE" w:rsidRDefault="00E62A89">
      <w:pPr>
        <w:pStyle w:val="Heading3"/>
        <w:keepNext w:val="0"/>
        <w:keepLines w:val="0"/>
        <w:spacing w:before="280"/>
        <w:rPr>
          <w:b/>
          <w:color w:val="000000"/>
          <w:sz w:val="26"/>
          <w:szCs w:val="26"/>
        </w:rPr>
      </w:pPr>
      <w:bookmarkStart w:id="6" w:name="_9mkd1lwk3gyf" w:colFirst="0" w:colLast="0"/>
      <w:bookmarkEnd w:id="6"/>
      <w:r>
        <w:rPr>
          <w:b/>
          <w:color w:val="000000"/>
          <w:sz w:val="26"/>
          <w:szCs w:val="26"/>
        </w:rPr>
        <w:t>3.3. Data Splitting</w:t>
      </w:r>
    </w:p>
    <w:p w:rsidR="009655EE" w:rsidRDefault="00E62A89">
      <w:pPr>
        <w:spacing w:before="240" w:after="240"/>
      </w:pPr>
      <w:r>
        <w:t>After encoding, the dataset grows to 31 columns, wi</w:t>
      </w:r>
      <w:r>
        <w:t>th the final shapes:</w:t>
      </w:r>
    </w:p>
    <w:p w:rsidR="009655EE" w:rsidRDefault="00E62A89">
      <w:pPr>
        <w:numPr>
          <w:ilvl w:val="0"/>
          <w:numId w:val="5"/>
        </w:numPr>
        <w:spacing w:before="240"/>
      </w:pPr>
      <w:r>
        <w:rPr>
          <w:b/>
        </w:rPr>
        <w:t>Train</w:t>
      </w:r>
      <w:r>
        <w:t>: (5634, 30)</w:t>
      </w:r>
    </w:p>
    <w:p w:rsidR="009655EE" w:rsidRDefault="00E62A89">
      <w:pPr>
        <w:numPr>
          <w:ilvl w:val="0"/>
          <w:numId w:val="5"/>
        </w:numPr>
        <w:spacing w:after="240"/>
      </w:pPr>
      <w:r>
        <w:rPr>
          <w:b/>
        </w:rPr>
        <w:t>Test</w:t>
      </w:r>
      <w:r>
        <w:t>: (1409, 30)</w:t>
      </w:r>
    </w:p>
    <w:p w:rsidR="009655EE" w:rsidRDefault="00E62A89">
      <w:pPr>
        <w:spacing w:before="240" w:after="240"/>
      </w:pPr>
      <w:r>
        <w:t xml:space="preserve">We used an </w:t>
      </w:r>
      <w:r>
        <w:rPr>
          <w:b/>
        </w:rPr>
        <w:t>80:20</w:t>
      </w:r>
      <w:r>
        <w:t xml:space="preserve"> split, stratifying on </w:t>
      </w:r>
      <w:r>
        <w:rPr>
          <w:rFonts w:ascii="Roboto Mono" w:eastAsia="Roboto Mono" w:hAnsi="Roboto Mono" w:cs="Roboto Mono"/>
          <w:color w:val="188038"/>
        </w:rPr>
        <w:t>Churn</w:t>
      </w:r>
      <w:r>
        <w:t xml:space="preserve"> to maintain the proportion of yes/no churn across sets.</w:t>
      </w:r>
    </w:p>
    <w:p w:rsidR="009655EE" w:rsidRDefault="00E62A89">
      <w:pPr>
        <w:pStyle w:val="Heading2"/>
        <w:keepNext w:val="0"/>
        <w:keepLines w:val="0"/>
        <w:spacing w:after="80"/>
        <w:rPr>
          <w:b/>
          <w:sz w:val="34"/>
          <w:szCs w:val="34"/>
        </w:rPr>
      </w:pPr>
      <w:bookmarkStart w:id="7" w:name="_82fxqfqadjkl" w:colFirst="0" w:colLast="0"/>
      <w:bookmarkEnd w:id="7"/>
      <w:r>
        <w:rPr>
          <w:b/>
          <w:sz w:val="34"/>
          <w:szCs w:val="34"/>
        </w:rPr>
        <w:t>4. Data Preprocessing</w:t>
      </w:r>
    </w:p>
    <w:p w:rsidR="009655EE" w:rsidRDefault="00E62A89">
      <w:pPr>
        <w:numPr>
          <w:ilvl w:val="0"/>
          <w:numId w:val="19"/>
        </w:numPr>
        <w:spacing w:before="240"/>
      </w:pPr>
      <w:r>
        <w:rPr>
          <w:b/>
        </w:rPr>
        <w:t xml:space="preserve">Convert </w:t>
      </w:r>
      <w:r w:rsidRPr="002D47DC">
        <w:rPr>
          <w:b/>
        </w:rPr>
        <w:t>TotalCharges</w:t>
      </w:r>
      <w:r w:rsidRPr="002D47DC">
        <w:rPr>
          <w:b/>
        </w:rPr>
        <w:t>:</w:t>
      </w:r>
      <w:r>
        <w:t xml:space="preserve"> We convert from string to float. Missing or invalid </w:t>
      </w:r>
      <w:r>
        <w:t>values can be set to the median.</w:t>
      </w:r>
    </w:p>
    <w:p w:rsidR="009655EE" w:rsidRDefault="00E62A89">
      <w:pPr>
        <w:numPr>
          <w:ilvl w:val="0"/>
          <w:numId w:val="19"/>
        </w:numPr>
      </w:pPr>
      <w:r w:rsidRPr="002D47DC">
        <w:rPr>
          <w:b/>
        </w:rPr>
        <w:lastRenderedPageBreak/>
        <w:t>Encode Categorical Variables</w:t>
      </w:r>
      <w:r w:rsidRPr="002D47DC">
        <w:rPr>
          <w:b/>
        </w:rPr>
        <w:t>:</w:t>
      </w:r>
      <w:r>
        <w:t xml:space="preserve"> </w:t>
      </w:r>
      <w:r w:rsidRPr="002D47DC">
        <w:t>gender</w:t>
      </w:r>
      <w:r>
        <w:t xml:space="preserve">, </w:t>
      </w:r>
      <w:r w:rsidRPr="002D47DC">
        <w:t>Partner</w:t>
      </w:r>
      <w:r>
        <w:t xml:space="preserve">, </w:t>
      </w:r>
      <w:r w:rsidRPr="002D47DC">
        <w:t>Dependents</w:t>
      </w:r>
      <w:r>
        <w:t xml:space="preserve">, and so forth are turned into binary or multi-class dummy variables. For instance, </w:t>
      </w:r>
      <w:r w:rsidRPr="002D47DC">
        <w:t>gender</w:t>
      </w:r>
      <w:r>
        <w:t xml:space="preserve"> becomes </w:t>
      </w:r>
      <w:r w:rsidRPr="002D47DC">
        <w:t>gender_Male</w:t>
      </w:r>
      <w:r>
        <w:t xml:space="preserve">, </w:t>
      </w:r>
      <w:proofErr w:type="spellStart"/>
      <w:r w:rsidRPr="002D47DC">
        <w:t>InternetService</w:t>
      </w:r>
      <w:proofErr w:type="spellEnd"/>
      <w:r>
        <w:t xml:space="preserve"> might become </w:t>
      </w:r>
      <w:r w:rsidRPr="002D47DC">
        <w:t>[InternetService_Fiber op</w:t>
      </w:r>
      <w:r w:rsidRPr="002D47DC">
        <w:t>tic, InternetService_No]</w:t>
      </w:r>
      <w:r>
        <w:t>.</w:t>
      </w:r>
    </w:p>
    <w:p w:rsidR="009655EE" w:rsidRDefault="00E62A89">
      <w:pPr>
        <w:numPr>
          <w:ilvl w:val="0"/>
          <w:numId w:val="19"/>
        </w:numPr>
        <w:spacing w:after="240"/>
      </w:pPr>
      <w:r w:rsidRPr="002D47DC">
        <w:rPr>
          <w:b/>
        </w:rPr>
        <w:t>Scale Numerical Features</w:t>
      </w:r>
      <w:r w:rsidRPr="002D47DC">
        <w:rPr>
          <w:b/>
        </w:rPr>
        <w:t>:</w:t>
      </w:r>
      <w:r>
        <w:t xml:space="preserve"> </w:t>
      </w:r>
      <w:r w:rsidRPr="002D47DC">
        <w:t>MonthlyCharges</w:t>
      </w:r>
      <w:r>
        <w:t xml:space="preserve">, </w:t>
      </w:r>
      <w:r w:rsidRPr="002D47DC">
        <w:t>TotalCharges</w:t>
      </w:r>
      <w:r>
        <w:t xml:space="preserve">, and </w:t>
      </w:r>
      <w:r w:rsidRPr="002D47DC">
        <w:t>tenure</w:t>
      </w:r>
      <w:r>
        <w:t xml:space="preserve"> are scaled via </w:t>
      </w:r>
      <w:proofErr w:type="spellStart"/>
      <w:r w:rsidRPr="002D47DC">
        <w:t>StandardScaler</w:t>
      </w:r>
      <w:proofErr w:type="spellEnd"/>
      <w:r>
        <w:t>. This ensures the DNN’s gradient-based optimization converges more smoothly.</w:t>
      </w:r>
    </w:p>
    <w:p w:rsidR="009655EE" w:rsidRDefault="00E62A89">
      <w:pPr>
        <w:spacing w:before="240" w:after="240"/>
      </w:pPr>
      <w:r>
        <w:t xml:space="preserve">By carefully handling each column, we create a clean </w:t>
      </w:r>
      <w:r>
        <w:t>dataset for modeling.</w:t>
      </w:r>
    </w:p>
    <w:p w:rsidR="009655EE" w:rsidRDefault="00E62A89">
      <w:pPr>
        <w:pStyle w:val="Heading2"/>
        <w:keepNext w:val="0"/>
        <w:keepLines w:val="0"/>
        <w:spacing w:after="80"/>
        <w:rPr>
          <w:b/>
          <w:sz w:val="34"/>
          <w:szCs w:val="34"/>
        </w:rPr>
      </w:pPr>
      <w:bookmarkStart w:id="8" w:name="_8qhwjgf8rep8" w:colFirst="0" w:colLast="0"/>
      <w:bookmarkEnd w:id="8"/>
      <w:r>
        <w:rPr>
          <w:b/>
          <w:sz w:val="34"/>
          <w:szCs w:val="34"/>
        </w:rPr>
        <w:t xml:space="preserve">5. Building a Deep Neural Network with </w:t>
      </w:r>
      <w:proofErr w:type="spellStart"/>
      <w:r>
        <w:rPr>
          <w:b/>
          <w:sz w:val="34"/>
          <w:szCs w:val="34"/>
        </w:rPr>
        <w:t>Keras</w:t>
      </w:r>
      <w:proofErr w:type="spellEnd"/>
    </w:p>
    <w:p w:rsidR="009655EE" w:rsidRDefault="00E62A89">
      <w:pPr>
        <w:pStyle w:val="Heading3"/>
        <w:keepNext w:val="0"/>
        <w:keepLines w:val="0"/>
        <w:spacing w:before="280"/>
        <w:rPr>
          <w:b/>
          <w:color w:val="000000"/>
          <w:sz w:val="26"/>
          <w:szCs w:val="26"/>
        </w:rPr>
      </w:pPr>
      <w:bookmarkStart w:id="9" w:name="_6fz01fhycumn" w:colFirst="0" w:colLast="0"/>
      <w:bookmarkEnd w:id="9"/>
      <w:r>
        <w:rPr>
          <w:b/>
          <w:color w:val="000000"/>
          <w:sz w:val="26"/>
          <w:szCs w:val="26"/>
        </w:rPr>
        <w:t>5.1. Model Architecture</w:t>
      </w:r>
    </w:p>
    <w:p w:rsidR="009655EE" w:rsidRDefault="00E62A89">
      <w:pPr>
        <w:spacing w:before="240" w:after="240"/>
      </w:pPr>
      <w:r>
        <w:t xml:space="preserve">We use a </w:t>
      </w:r>
      <w:r>
        <w:rPr>
          <w:b/>
        </w:rPr>
        <w:t>sequential</w:t>
      </w:r>
      <w:r>
        <w:t xml:space="preserve"> architecture with several dense layers:</w:t>
      </w:r>
    </w:p>
    <w:p w:rsidR="009655EE" w:rsidRDefault="00E62A89">
      <w:pPr>
        <w:numPr>
          <w:ilvl w:val="0"/>
          <w:numId w:val="2"/>
        </w:numPr>
        <w:spacing w:before="240"/>
      </w:pPr>
      <w:r>
        <w:rPr>
          <w:b/>
        </w:rPr>
        <w:t>Input Layer</w:t>
      </w:r>
      <w:r>
        <w:t>: Accepts 30 features (after encoding).</w:t>
      </w:r>
    </w:p>
    <w:p w:rsidR="009655EE" w:rsidRDefault="00E62A89">
      <w:pPr>
        <w:numPr>
          <w:ilvl w:val="0"/>
          <w:numId w:val="2"/>
        </w:numPr>
      </w:pPr>
      <w:r>
        <w:rPr>
          <w:b/>
        </w:rPr>
        <w:t>Dense(128, ReLU)</w:t>
      </w:r>
      <w:r>
        <w:t xml:space="preserve">: Large hidden layer to learn complex </w:t>
      </w:r>
      <w:r>
        <w:t>interactions.</w:t>
      </w:r>
    </w:p>
    <w:p w:rsidR="009655EE" w:rsidRDefault="00E62A89">
      <w:pPr>
        <w:numPr>
          <w:ilvl w:val="0"/>
          <w:numId w:val="2"/>
        </w:numPr>
      </w:pPr>
      <w:r>
        <w:rPr>
          <w:b/>
        </w:rPr>
        <w:t>BatchNormalization</w:t>
      </w:r>
      <w:r>
        <w:t>: Normalizes activations, improving stability.</w:t>
      </w:r>
      <w:sdt>
        <w:sdtPr>
          <w:id w:val="-1544740177"/>
          <w:citation/>
        </w:sdtPr>
        <w:sdtContent>
          <w:r>
            <w:fldChar w:fldCharType="begin"/>
          </w:r>
          <w:r>
            <w:instrText xml:space="preserve"> CITATION Lun17 \l 1033 </w:instrText>
          </w:r>
          <w:r>
            <w:fldChar w:fldCharType="separate"/>
          </w:r>
          <w:r>
            <w:rPr>
              <w:noProof/>
            </w:rPr>
            <w:t xml:space="preserve"> (Lundberg, 2017)</w:t>
          </w:r>
          <w:r>
            <w:fldChar w:fldCharType="end"/>
          </w:r>
        </w:sdtContent>
      </w:sdt>
    </w:p>
    <w:p w:rsidR="009655EE" w:rsidRDefault="00E62A89">
      <w:pPr>
        <w:numPr>
          <w:ilvl w:val="0"/>
          <w:numId w:val="2"/>
        </w:numPr>
      </w:pPr>
      <w:proofErr w:type="gramStart"/>
      <w:r>
        <w:rPr>
          <w:b/>
        </w:rPr>
        <w:t>Dropout(</w:t>
      </w:r>
      <w:proofErr w:type="gramEnd"/>
      <w:r>
        <w:rPr>
          <w:b/>
        </w:rPr>
        <w:t>0.3)</w:t>
      </w:r>
      <w:r>
        <w:t>: Randomly zeroes 30% of neurons, reducing overfitting.</w:t>
      </w:r>
    </w:p>
    <w:p w:rsidR="009655EE" w:rsidRDefault="00E62A89">
      <w:pPr>
        <w:numPr>
          <w:ilvl w:val="0"/>
          <w:numId w:val="2"/>
        </w:numPr>
      </w:pPr>
      <w:r>
        <w:rPr>
          <w:b/>
        </w:rPr>
        <w:t>Dense(64, ReLU)</w:t>
      </w:r>
      <w:r>
        <w:t>: Additional hidden layer for refined feature extraction.</w:t>
      </w:r>
    </w:p>
    <w:p w:rsidR="009655EE" w:rsidRDefault="00E62A89">
      <w:pPr>
        <w:numPr>
          <w:ilvl w:val="0"/>
          <w:numId w:val="2"/>
        </w:numPr>
      </w:pPr>
      <w:r>
        <w:rPr>
          <w:b/>
        </w:rPr>
        <w:t>BatchNormalization</w:t>
      </w:r>
      <w:r>
        <w:t xml:space="preserve"> and </w:t>
      </w:r>
      <w:r>
        <w:rPr>
          <w:b/>
        </w:rPr>
        <w:t>Dropout(0.3)</w:t>
      </w:r>
      <w:r>
        <w:t xml:space="preserve"> </w:t>
      </w:r>
      <w:r>
        <w:t>repeated for further regularization.</w:t>
      </w:r>
    </w:p>
    <w:p w:rsidR="009655EE" w:rsidRDefault="00E62A89">
      <w:pPr>
        <w:numPr>
          <w:ilvl w:val="0"/>
          <w:numId w:val="2"/>
        </w:numPr>
      </w:pPr>
      <w:r>
        <w:rPr>
          <w:b/>
        </w:rPr>
        <w:t>Dense(32, ReLU)</w:t>
      </w:r>
      <w:r>
        <w:t xml:space="preserve"> + </w:t>
      </w:r>
      <w:r>
        <w:rPr>
          <w:b/>
        </w:rPr>
        <w:t>BatchNormalization</w:t>
      </w:r>
      <w:r>
        <w:t xml:space="preserve"> + </w:t>
      </w:r>
      <w:r>
        <w:rPr>
          <w:b/>
        </w:rPr>
        <w:t>Dropout(0.2)</w:t>
      </w:r>
      <w:r>
        <w:t xml:space="preserve"> for final transformations.</w:t>
      </w:r>
    </w:p>
    <w:p w:rsidR="009655EE" w:rsidRDefault="00E62A89">
      <w:pPr>
        <w:numPr>
          <w:ilvl w:val="0"/>
          <w:numId w:val="2"/>
        </w:numPr>
        <w:spacing w:after="240"/>
      </w:pPr>
      <w:r>
        <w:rPr>
          <w:b/>
        </w:rPr>
        <w:t>Dense(1, Sigmoid)</w:t>
      </w:r>
      <w:r>
        <w:t>: Outputs a single probability for churn (Yes=1, No=0).</w:t>
      </w:r>
    </w:p>
    <w:p w:rsidR="009655EE" w:rsidRDefault="00E62A89">
      <w:pPr>
        <w:spacing w:before="240" w:after="240"/>
        <w:rPr>
          <w:b/>
        </w:rPr>
      </w:pPr>
      <w:r>
        <w:rPr>
          <w:b/>
        </w:rPr>
        <w:t>Why This Setup?</w:t>
      </w:r>
    </w:p>
    <w:p w:rsidR="009655EE" w:rsidRDefault="00E62A89">
      <w:pPr>
        <w:numPr>
          <w:ilvl w:val="0"/>
          <w:numId w:val="12"/>
        </w:numPr>
        <w:spacing w:before="240"/>
      </w:pPr>
      <w:r>
        <w:rPr>
          <w:b/>
        </w:rPr>
        <w:t>Multiple Layers</w:t>
      </w:r>
      <w:r>
        <w:t>: Depth helps capture subtle pattern</w:t>
      </w:r>
      <w:r>
        <w:t>s in user behavior and billing data.</w:t>
      </w:r>
    </w:p>
    <w:p w:rsidR="009655EE" w:rsidRDefault="00E62A89">
      <w:pPr>
        <w:numPr>
          <w:ilvl w:val="0"/>
          <w:numId w:val="12"/>
        </w:numPr>
      </w:pPr>
      <w:r>
        <w:rPr>
          <w:b/>
        </w:rPr>
        <w:t>Dropout</w:t>
      </w:r>
      <w:r>
        <w:t>: Vital for controlling overfitting, especially with a modest dataset (~7000 rows).</w:t>
      </w:r>
    </w:p>
    <w:p w:rsidR="009655EE" w:rsidRDefault="00E62A89">
      <w:pPr>
        <w:numPr>
          <w:ilvl w:val="0"/>
          <w:numId w:val="12"/>
        </w:numPr>
        <w:spacing w:after="240"/>
      </w:pPr>
      <w:r>
        <w:rPr>
          <w:b/>
        </w:rPr>
        <w:t>Batch Normalization</w:t>
      </w:r>
      <w:r>
        <w:t>: Speeds up training and reduces sensitivity to initial weights.</w:t>
      </w:r>
    </w:p>
    <w:p w:rsidR="009655EE" w:rsidRDefault="00E62A89" w:rsidP="002D47DC">
      <w:pPr>
        <w:pStyle w:val="Heading3"/>
        <w:keepNext w:val="0"/>
        <w:keepLines w:val="0"/>
        <w:spacing w:before="280" w:after="0"/>
      </w:pPr>
      <w:bookmarkStart w:id="10" w:name="_wlk4e3erdq5w" w:colFirst="0" w:colLast="0"/>
      <w:bookmarkEnd w:id="10"/>
      <w:r>
        <w:rPr>
          <w:b/>
          <w:color w:val="000000"/>
          <w:sz w:val="26"/>
          <w:szCs w:val="26"/>
        </w:rPr>
        <w:t>5.2. Model Summary</w:t>
      </w:r>
    </w:p>
    <w:p w:rsidR="009655EE" w:rsidRDefault="002D47DC" w:rsidP="002D47DC">
      <w:pPr>
        <w:spacing w:after="240"/>
      </w:pPr>
      <w:r w:rsidRPr="002D47DC">
        <w:drawing>
          <wp:anchor distT="0" distB="0" distL="114300" distR="114300" simplePos="0" relativeHeight="251659264" behindDoc="0" locked="0" layoutInCell="1" allowOverlap="1" wp14:anchorId="66210F94" wp14:editId="49A7305A">
            <wp:simplePos x="0" y="0"/>
            <wp:positionH relativeFrom="margin">
              <wp:align>left</wp:align>
            </wp:positionH>
            <wp:positionV relativeFrom="paragraph">
              <wp:posOffset>212090</wp:posOffset>
            </wp:positionV>
            <wp:extent cx="5877560" cy="240982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7560" cy="2409825"/>
                    </a:xfrm>
                    <a:prstGeom prst="rect">
                      <a:avLst/>
                    </a:prstGeom>
                  </pic:spPr>
                </pic:pic>
              </a:graphicData>
            </a:graphic>
            <wp14:sizeRelV relativeFrom="margin">
              <wp14:pctHeight>0</wp14:pctHeight>
            </wp14:sizeRelV>
          </wp:anchor>
        </w:drawing>
      </w:r>
      <w:r w:rsidR="00E62A89">
        <w:t>This indicates a moderate</w:t>
      </w:r>
      <w:r w:rsidR="00E62A89">
        <w:t xml:space="preserve"> network size, suitable for a dataset with a few thousand samples.</w:t>
      </w:r>
      <w:r w:rsidRPr="002D47DC">
        <w:rPr>
          <w:noProof/>
        </w:rPr>
        <w:t xml:space="preserve"> </w:t>
      </w:r>
    </w:p>
    <w:p w:rsidR="009655EE" w:rsidRDefault="00E62A89">
      <w:pPr>
        <w:pStyle w:val="Heading2"/>
        <w:keepNext w:val="0"/>
        <w:keepLines w:val="0"/>
        <w:spacing w:after="80"/>
        <w:rPr>
          <w:b/>
          <w:sz w:val="34"/>
          <w:szCs w:val="34"/>
        </w:rPr>
      </w:pPr>
      <w:bookmarkStart w:id="11" w:name="_1kk83pi195bf" w:colFirst="0" w:colLast="0"/>
      <w:bookmarkEnd w:id="11"/>
      <w:r>
        <w:rPr>
          <w:b/>
          <w:sz w:val="34"/>
          <w:szCs w:val="34"/>
        </w:rPr>
        <w:lastRenderedPageBreak/>
        <w:t>6. Training and Early Stopping</w:t>
      </w:r>
    </w:p>
    <w:p w:rsidR="009655EE" w:rsidRDefault="00E62A89">
      <w:pPr>
        <w:pStyle w:val="Heading3"/>
        <w:keepNext w:val="0"/>
        <w:keepLines w:val="0"/>
        <w:spacing w:before="280"/>
        <w:rPr>
          <w:b/>
          <w:color w:val="000000"/>
          <w:sz w:val="26"/>
          <w:szCs w:val="26"/>
        </w:rPr>
      </w:pPr>
      <w:bookmarkStart w:id="12" w:name="_iqe8oztfzod8" w:colFirst="0" w:colLast="0"/>
      <w:bookmarkEnd w:id="12"/>
      <w:r>
        <w:rPr>
          <w:b/>
          <w:color w:val="000000"/>
          <w:sz w:val="26"/>
          <w:szCs w:val="26"/>
        </w:rPr>
        <w:t>6.1. Configuration</w:t>
      </w:r>
    </w:p>
    <w:p w:rsidR="009655EE" w:rsidRDefault="00E62A89">
      <w:pPr>
        <w:spacing w:before="240" w:after="240"/>
      </w:pPr>
      <w:r>
        <w:t>We compile the model with:</w:t>
      </w:r>
    </w:p>
    <w:p w:rsidR="009655EE" w:rsidRDefault="00E62A89">
      <w:pPr>
        <w:numPr>
          <w:ilvl w:val="0"/>
          <w:numId w:val="15"/>
        </w:numPr>
        <w:spacing w:before="240"/>
      </w:pPr>
      <w:proofErr w:type="gramStart"/>
      <w:r>
        <w:rPr>
          <w:b/>
        </w:rPr>
        <w:t>optimizer</w:t>
      </w:r>
      <w:proofErr w:type="gramEnd"/>
      <w:r>
        <w:rPr>
          <w:b/>
        </w:rPr>
        <w:t>='</w:t>
      </w:r>
      <w:proofErr w:type="spellStart"/>
      <w:r>
        <w:rPr>
          <w:b/>
        </w:rPr>
        <w:t>adam</w:t>
      </w:r>
      <w:proofErr w:type="spellEnd"/>
      <w:r>
        <w:rPr>
          <w:b/>
        </w:rPr>
        <w:t>'</w:t>
      </w:r>
      <w:r>
        <w:t>: Adaptive moment estimation for gradient updates.</w:t>
      </w:r>
    </w:p>
    <w:p w:rsidR="009655EE" w:rsidRDefault="00E62A89">
      <w:pPr>
        <w:numPr>
          <w:ilvl w:val="0"/>
          <w:numId w:val="15"/>
        </w:numPr>
      </w:pPr>
      <w:proofErr w:type="gramStart"/>
      <w:r>
        <w:rPr>
          <w:b/>
        </w:rPr>
        <w:t>loss</w:t>
      </w:r>
      <w:proofErr w:type="gramEnd"/>
      <w:r>
        <w:rPr>
          <w:b/>
        </w:rPr>
        <w:t>='</w:t>
      </w:r>
      <w:proofErr w:type="spellStart"/>
      <w:r>
        <w:rPr>
          <w:b/>
        </w:rPr>
        <w:t>binary_crossentropy</w:t>
      </w:r>
      <w:proofErr w:type="spellEnd"/>
      <w:r>
        <w:rPr>
          <w:b/>
        </w:rPr>
        <w:t>'</w:t>
      </w:r>
      <w:r>
        <w:t>: Standard for bina</w:t>
      </w:r>
      <w:r>
        <w:t>ry classification.</w:t>
      </w:r>
    </w:p>
    <w:p w:rsidR="009655EE" w:rsidRDefault="00E62A89">
      <w:pPr>
        <w:numPr>
          <w:ilvl w:val="0"/>
          <w:numId w:val="15"/>
        </w:numPr>
        <w:spacing w:after="240"/>
      </w:pPr>
      <w:proofErr w:type="gramStart"/>
      <w:r>
        <w:rPr>
          <w:b/>
        </w:rPr>
        <w:t>metrics</w:t>
      </w:r>
      <w:proofErr w:type="gramEnd"/>
      <w:r>
        <w:rPr>
          <w:b/>
        </w:rPr>
        <w:t>=['accuracy']</w:t>
      </w:r>
      <w:r>
        <w:t>: Basic performance measure.</w:t>
      </w:r>
    </w:p>
    <w:p w:rsidR="009655EE" w:rsidRDefault="00E62A89">
      <w:pPr>
        <w:pStyle w:val="Heading3"/>
        <w:keepNext w:val="0"/>
        <w:keepLines w:val="0"/>
        <w:spacing w:before="280"/>
        <w:rPr>
          <w:b/>
          <w:color w:val="000000"/>
          <w:sz w:val="26"/>
          <w:szCs w:val="26"/>
        </w:rPr>
      </w:pPr>
      <w:bookmarkStart w:id="13" w:name="_fk6rwohpckuu" w:colFirst="0" w:colLast="0"/>
      <w:bookmarkEnd w:id="13"/>
      <w:r>
        <w:rPr>
          <w:b/>
          <w:color w:val="000000"/>
          <w:sz w:val="26"/>
          <w:szCs w:val="26"/>
        </w:rPr>
        <w:t>6.2. EarlyStopping Callback</w:t>
      </w:r>
    </w:p>
    <w:p w:rsidR="002D47DC" w:rsidRDefault="002D47DC">
      <w:pPr>
        <w:spacing w:before="240" w:after="240"/>
      </w:pPr>
      <w:r w:rsidRPr="002D47DC">
        <w:drawing>
          <wp:anchor distT="0" distB="0" distL="114300" distR="114300" simplePos="0" relativeHeight="251661312" behindDoc="0" locked="0" layoutInCell="1" allowOverlap="1" wp14:anchorId="2CF052E8" wp14:editId="1E5F27EF">
            <wp:simplePos x="0" y="0"/>
            <wp:positionH relativeFrom="margin">
              <wp:align>right</wp:align>
            </wp:positionH>
            <wp:positionV relativeFrom="paragraph">
              <wp:posOffset>417830</wp:posOffset>
            </wp:positionV>
            <wp:extent cx="5943600" cy="3390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090"/>
                    </a:xfrm>
                    <a:prstGeom prst="rect">
                      <a:avLst/>
                    </a:prstGeom>
                  </pic:spPr>
                </pic:pic>
              </a:graphicData>
            </a:graphic>
          </wp:anchor>
        </w:drawing>
      </w:r>
      <w:r w:rsidR="00E62A89">
        <w:t xml:space="preserve">We monitor </w:t>
      </w:r>
      <w:proofErr w:type="spellStart"/>
      <w:r w:rsidR="00E62A89" w:rsidRPr="002D47DC">
        <w:t>val_loss</w:t>
      </w:r>
      <w:proofErr w:type="spellEnd"/>
      <w:r w:rsidR="00E62A89">
        <w:t xml:space="preserve"> with a patience of 15 epochs:</w:t>
      </w:r>
    </w:p>
    <w:p w:rsidR="009655EE" w:rsidRDefault="00E62A89">
      <w:pPr>
        <w:spacing w:before="240" w:after="240"/>
      </w:pPr>
      <w:r>
        <w:t xml:space="preserve">This halts training when the validation loss stops improving, reverting to the best weights. Our logs show </w:t>
      </w:r>
      <w:r>
        <w:t>training often stabilizes around 40–50 epochs.</w:t>
      </w:r>
    </w:p>
    <w:p w:rsidR="009655EE" w:rsidRDefault="00E62A89">
      <w:pPr>
        <w:pStyle w:val="Heading3"/>
        <w:keepNext w:val="0"/>
        <w:keepLines w:val="0"/>
        <w:spacing w:before="280"/>
        <w:rPr>
          <w:b/>
          <w:color w:val="000000"/>
          <w:sz w:val="26"/>
          <w:szCs w:val="26"/>
        </w:rPr>
      </w:pPr>
      <w:bookmarkStart w:id="14" w:name="_ob5mb2o3706t" w:colFirst="0" w:colLast="0"/>
      <w:bookmarkEnd w:id="14"/>
      <w:r>
        <w:rPr>
          <w:b/>
          <w:color w:val="000000"/>
          <w:sz w:val="26"/>
          <w:szCs w:val="26"/>
        </w:rPr>
        <w:t>6.3. Observed Training Logs</w:t>
      </w:r>
    </w:p>
    <w:p w:rsidR="009655EE" w:rsidRDefault="00E62A89">
      <w:pPr>
        <w:numPr>
          <w:ilvl w:val="0"/>
          <w:numId w:val="20"/>
        </w:numPr>
        <w:spacing w:before="240"/>
      </w:pPr>
      <w:r>
        <w:rPr>
          <w:b/>
        </w:rPr>
        <w:t>Training accuracy</w:t>
      </w:r>
      <w:r>
        <w:t>: ~0.82</w:t>
      </w:r>
    </w:p>
    <w:p w:rsidR="009655EE" w:rsidRDefault="00E62A89">
      <w:pPr>
        <w:numPr>
          <w:ilvl w:val="0"/>
          <w:numId w:val="20"/>
        </w:numPr>
      </w:pPr>
      <w:r>
        <w:rPr>
          <w:b/>
        </w:rPr>
        <w:t>Validation accuracy</w:t>
      </w:r>
      <w:r>
        <w:t>: ~0.78–0.79</w:t>
      </w:r>
    </w:p>
    <w:p w:rsidR="009655EE" w:rsidRDefault="00E62A89">
      <w:pPr>
        <w:numPr>
          <w:ilvl w:val="0"/>
          <w:numId w:val="20"/>
        </w:numPr>
        <w:spacing w:after="240"/>
      </w:pPr>
      <w:r>
        <w:rPr>
          <w:b/>
        </w:rPr>
        <w:t>Loss</w:t>
      </w:r>
      <w:r>
        <w:t>: Decreases steadily, but the gap between training and validation suggests mild overfitting.</w:t>
      </w:r>
      <w:sdt>
        <w:sdtPr>
          <w:id w:val="-47765793"/>
          <w:citation/>
        </w:sdtPr>
        <w:sdtContent>
          <w:r>
            <w:fldChar w:fldCharType="begin"/>
          </w:r>
          <w:r>
            <w:instrText xml:space="preserve"> CITATION Lun17 \l 1033 </w:instrText>
          </w:r>
          <w:r>
            <w:fldChar w:fldCharType="separate"/>
          </w:r>
          <w:r>
            <w:rPr>
              <w:noProof/>
            </w:rPr>
            <w:t xml:space="preserve"> (Lundberg, 2017)</w:t>
          </w:r>
          <w:r>
            <w:fldChar w:fldCharType="end"/>
          </w:r>
        </w:sdtContent>
      </w:sdt>
    </w:p>
    <w:p w:rsidR="009655EE" w:rsidRDefault="00E62A89">
      <w:pPr>
        <w:pStyle w:val="Heading2"/>
        <w:keepNext w:val="0"/>
        <w:keepLines w:val="0"/>
        <w:spacing w:after="80"/>
        <w:rPr>
          <w:b/>
          <w:sz w:val="34"/>
          <w:szCs w:val="34"/>
        </w:rPr>
      </w:pPr>
      <w:bookmarkStart w:id="15" w:name="_dms91cytmhut" w:colFirst="0" w:colLast="0"/>
      <w:bookmarkEnd w:id="15"/>
      <w:r>
        <w:rPr>
          <w:b/>
          <w:sz w:val="34"/>
          <w:szCs w:val="34"/>
        </w:rPr>
        <w:t>7. Model Evaluation</w:t>
      </w:r>
    </w:p>
    <w:p w:rsidR="009655EE" w:rsidRDefault="00E62A89">
      <w:pPr>
        <w:pStyle w:val="Heading3"/>
        <w:keepNext w:val="0"/>
        <w:keepLines w:val="0"/>
        <w:spacing w:before="280"/>
        <w:rPr>
          <w:b/>
          <w:color w:val="000000"/>
          <w:sz w:val="26"/>
          <w:szCs w:val="26"/>
        </w:rPr>
      </w:pPr>
      <w:bookmarkStart w:id="16" w:name="_iv5pcgen46hq" w:colFirst="0" w:colLast="0"/>
      <w:bookmarkEnd w:id="16"/>
      <w:r>
        <w:rPr>
          <w:b/>
          <w:color w:val="000000"/>
          <w:sz w:val="26"/>
          <w:szCs w:val="26"/>
        </w:rPr>
        <w:t>7.1. Fi</w:t>
      </w:r>
      <w:r>
        <w:rPr>
          <w:b/>
          <w:color w:val="000000"/>
          <w:sz w:val="26"/>
          <w:szCs w:val="26"/>
        </w:rPr>
        <w:t>nal Test Performance</w:t>
      </w:r>
    </w:p>
    <w:p w:rsidR="009655EE" w:rsidRDefault="00E62A89">
      <w:pPr>
        <w:spacing w:before="240" w:after="240"/>
      </w:pPr>
      <w:r>
        <w:t>On the test set (1,409 samples), we observe:</w:t>
      </w:r>
    </w:p>
    <w:p w:rsidR="009655EE" w:rsidRDefault="00E62A89">
      <w:pPr>
        <w:spacing w:before="240" w:after="240"/>
      </w:pPr>
      <w:r>
        <w:rPr>
          <w:b/>
        </w:rPr>
        <w:t>Interpretation</w:t>
      </w:r>
      <w:r>
        <w:t>:</w:t>
      </w:r>
    </w:p>
    <w:p w:rsidR="009655EE" w:rsidRDefault="00E62A89">
      <w:pPr>
        <w:numPr>
          <w:ilvl w:val="0"/>
          <w:numId w:val="3"/>
        </w:numPr>
        <w:spacing w:before="240"/>
      </w:pPr>
      <w:r>
        <w:t>The model is correct ~79% of the time.</w:t>
      </w:r>
    </w:p>
    <w:p w:rsidR="009655EE" w:rsidRDefault="00E62A89">
      <w:pPr>
        <w:numPr>
          <w:ilvl w:val="0"/>
          <w:numId w:val="3"/>
        </w:numPr>
      </w:pPr>
      <w:r>
        <w:t>Class 0 (no churn) has high recall (0.89), meaning we rarely misclassify stable customers.</w:t>
      </w:r>
    </w:p>
    <w:p w:rsidR="009655EE" w:rsidRDefault="00E62A89">
      <w:pPr>
        <w:numPr>
          <w:ilvl w:val="0"/>
          <w:numId w:val="3"/>
        </w:numPr>
        <w:spacing w:after="240"/>
      </w:pPr>
      <w:r>
        <w:t xml:space="preserve">Class 1 (churn) recall is 0.50, meaning we </w:t>
      </w:r>
      <w:r>
        <w:t>capture about half the churners. A bank or telecom might want a higher recall if preventing churn is a priority.</w:t>
      </w:r>
    </w:p>
    <w:p w:rsidR="009655EE" w:rsidRDefault="00E62A89">
      <w:pPr>
        <w:pStyle w:val="Heading3"/>
        <w:keepNext w:val="0"/>
        <w:keepLines w:val="0"/>
        <w:spacing w:before="280"/>
        <w:rPr>
          <w:b/>
          <w:color w:val="000000"/>
          <w:sz w:val="26"/>
          <w:szCs w:val="26"/>
        </w:rPr>
      </w:pPr>
      <w:bookmarkStart w:id="17" w:name="_8z5wse4yqx81" w:colFirst="0" w:colLast="0"/>
      <w:bookmarkEnd w:id="17"/>
      <w:r>
        <w:rPr>
          <w:b/>
          <w:color w:val="000000"/>
          <w:sz w:val="26"/>
          <w:szCs w:val="26"/>
        </w:rPr>
        <w:t>7.2. Confusion Matrix</w:t>
      </w:r>
    </w:p>
    <w:p w:rsidR="009655EE" w:rsidRDefault="002D47DC">
      <w:r w:rsidRPr="002D47DC">
        <w:drawing>
          <wp:anchor distT="0" distB="0" distL="114300" distR="114300" simplePos="0" relativeHeight="251663360" behindDoc="0" locked="0" layoutInCell="1" allowOverlap="1" wp14:anchorId="28103713" wp14:editId="082F3E3A">
            <wp:simplePos x="0" y="0"/>
            <wp:positionH relativeFrom="margin">
              <wp:posOffset>2324100</wp:posOffset>
            </wp:positionH>
            <wp:positionV relativeFrom="paragraph">
              <wp:posOffset>50800</wp:posOffset>
            </wp:positionV>
            <wp:extent cx="1285875" cy="781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875" cy="781050"/>
                    </a:xfrm>
                    <a:prstGeom prst="rect">
                      <a:avLst/>
                    </a:prstGeom>
                  </pic:spPr>
                </pic:pic>
              </a:graphicData>
            </a:graphic>
            <wp14:sizeRelV relativeFrom="margin">
              <wp14:pctHeight>0</wp14:pctHeight>
            </wp14:sizeRelV>
          </wp:anchor>
        </w:drawing>
      </w:r>
    </w:p>
    <w:p w:rsidR="002D47DC" w:rsidRPr="002D47DC" w:rsidRDefault="002D47DC" w:rsidP="002D47DC">
      <w:pPr>
        <w:spacing w:before="240"/>
        <w:ind w:left="720"/>
      </w:pPr>
    </w:p>
    <w:p w:rsidR="002D47DC" w:rsidRPr="002D47DC" w:rsidRDefault="002D47DC" w:rsidP="002D47DC">
      <w:pPr>
        <w:spacing w:before="240"/>
        <w:ind w:left="720"/>
      </w:pPr>
    </w:p>
    <w:p w:rsidR="009655EE" w:rsidRDefault="00E62A89">
      <w:pPr>
        <w:numPr>
          <w:ilvl w:val="0"/>
          <w:numId w:val="14"/>
        </w:numPr>
        <w:spacing w:before="240"/>
      </w:pPr>
      <w:r>
        <w:rPr>
          <w:b/>
        </w:rPr>
        <w:lastRenderedPageBreak/>
        <w:t>TN (922)</w:t>
      </w:r>
      <w:r>
        <w:t>: Correctly predicted no churn.</w:t>
      </w:r>
    </w:p>
    <w:p w:rsidR="009655EE" w:rsidRDefault="00E62A89">
      <w:pPr>
        <w:numPr>
          <w:ilvl w:val="0"/>
          <w:numId w:val="14"/>
        </w:numPr>
      </w:pPr>
      <w:r>
        <w:rPr>
          <w:b/>
        </w:rPr>
        <w:t>FP (113)</w:t>
      </w:r>
      <w:r>
        <w:t>: Predicted churn but actually no churn.</w:t>
      </w:r>
    </w:p>
    <w:p w:rsidR="009655EE" w:rsidRDefault="00E62A89">
      <w:pPr>
        <w:numPr>
          <w:ilvl w:val="0"/>
          <w:numId w:val="14"/>
        </w:numPr>
      </w:pPr>
      <w:r>
        <w:rPr>
          <w:b/>
        </w:rPr>
        <w:t>FN (187)</w:t>
      </w:r>
      <w:r>
        <w:t>: Missed churners.</w:t>
      </w:r>
    </w:p>
    <w:p w:rsidR="009655EE" w:rsidRDefault="00E62A89">
      <w:pPr>
        <w:numPr>
          <w:ilvl w:val="0"/>
          <w:numId w:val="14"/>
        </w:numPr>
        <w:spacing w:after="240"/>
      </w:pPr>
      <w:r>
        <w:rPr>
          <w:b/>
        </w:rPr>
        <w:t>TP (187)</w:t>
      </w:r>
      <w:r>
        <w:t>: Correctly predicted churners.</w:t>
      </w:r>
    </w:p>
    <w:p w:rsidR="009655EE" w:rsidRDefault="00E62A89">
      <w:pPr>
        <w:pStyle w:val="Heading3"/>
        <w:keepNext w:val="0"/>
        <w:keepLines w:val="0"/>
        <w:spacing w:before="280"/>
        <w:rPr>
          <w:b/>
          <w:color w:val="000000"/>
          <w:sz w:val="26"/>
          <w:szCs w:val="26"/>
        </w:rPr>
      </w:pPr>
      <w:bookmarkStart w:id="18" w:name="_b63zz1450nks" w:colFirst="0" w:colLast="0"/>
      <w:bookmarkEnd w:id="18"/>
      <w:r>
        <w:rPr>
          <w:b/>
          <w:color w:val="000000"/>
          <w:sz w:val="26"/>
          <w:szCs w:val="26"/>
        </w:rPr>
        <w:t>7.3. ROC AUC Score</w:t>
      </w:r>
    </w:p>
    <w:p w:rsidR="009655EE" w:rsidRDefault="00E62A89" w:rsidP="002D47DC">
      <w:pPr>
        <w:spacing w:before="240" w:after="240"/>
        <w:jc w:val="left"/>
      </w:pPr>
      <w:r>
        <w:rPr>
          <w:b/>
        </w:rPr>
        <w:t>AUC = 0.835</w:t>
      </w:r>
      <w:r>
        <w:rPr>
          <w:b/>
        </w:rPr>
        <w:br/>
      </w:r>
      <w:r>
        <w:t xml:space="preserve"> </w:t>
      </w:r>
      <w:r>
        <w:t>A higher AUC (</w:t>
      </w:r>
      <w:proofErr w:type="spellStart"/>
      <w:r>
        <w:t>clser</w:t>
      </w:r>
      <w:proofErr w:type="spellEnd"/>
      <w:r>
        <w:t xml:space="preserve"> to 1.0) implies better discrimination between churners and </w:t>
      </w:r>
      <w:r w:rsidR="002D47DC">
        <w:t>anti-churners</w:t>
      </w:r>
      <w:r>
        <w:t>. The model can separate the two classes fairly well at 0.835.</w:t>
      </w:r>
    </w:p>
    <w:p w:rsidR="009655EE" w:rsidRDefault="00E62A89">
      <w:pPr>
        <w:pStyle w:val="Heading2"/>
        <w:keepNext w:val="0"/>
        <w:keepLines w:val="0"/>
        <w:spacing w:after="80"/>
        <w:rPr>
          <w:b/>
          <w:sz w:val="34"/>
          <w:szCs w:val="34"/>
        </w:rPr>
      </w:pPr>
      <w:bookmarkStart w:id="19" w:name="_wz8g1abr23c4" w:colFirst="0" w:colLast="0"/>
      <w:bookmarkEnd w:id="19"/>
      <w:r>
        <w:rPr>
          <w:b/>
          <w:sz w:val="34"/>
          <w:szCs w:val="34"/>
        </w:rPr>
        <w:t>8</w:t>
      </w:r>
      <w:r>
        <w:rPr>
          <w:b/>
          <w:sz w:val="34"/>
          <w:szCs w:val="34"/>
        </w:rPr>
        <w:t>. Advanced Visual Explorations</w:t>
      </w:r>
    </w:p>
    <w:p w:rsidR="009655EE" w:rsidRDefault="00E62A89">
      <w:pPr>
        <w:pStyle w:val="Heading3"/>
        <w:keepNext w:val="0"/>
        <w:keepLines w:val="0"/>
        <w:spacing w:before="280"/>
        <w:rPr>
          <w:b/>
          <w:color w:val="000000"/>
          <w:sz w:val="26"/>
          <w:szCs w:val="26"/>
        </w:rPr>
      </w:pPr>
      <w:bookmarkStart w:id="20" w:name="_78y8zn6vcejb" w:colFirst="0" w:colLast="0"/>
      <w:bookmarkEnd w:id="20"/>
      <w:r>
        <w:rPr>
          <w:b/>
          <w:color w:val="000000"/>
          <w:sz w:val="26"/>
          <w:szCs w:val="26"/>
        </w:rPr>
        <w:t xml:space="preserve">8.1. Interactive </w:t>
      </w:r>
      <w:proofErr w:type="spellStart"/>
      <w:r>
        <w:rPr>
          <w:b/>
          <w:color w:val="000000"/>
          <w:sz w:val="26"/>
          <w:szCs w:val="26"/>
        </w:rPr>
        <w:t>Plotly</w:t>
      </w:r>
      <w:proofErr w:type="spellEnd"/>
      <w:r>
        <w:rPr>
          <w:b/>
          <w:color w:val="000000"/>
          <w:sz w:val="26"/>
          <w:szCs w:val="26"/>
        </w:rPr>
        <w:t xml:space="preserve"> ROC Curve</w:t>
      </w:r>
    </w:p>
    <w:p w:rsidR="009655EE" w:rsidRDefault="00E62A89">
      <w:pPr>
        <w:spacing w:before="240" w:after="240"/>
      </w:pPr>
      <w:r>
        <w:t>This curve plots TPR (y-axis) vs. FPR (x-axis) at various thresholds. The AUC ~ 0.835. Hovering over the points in the interactive chart reveals exact TPR-FPR pairs.</w:t>
      </w:r>
    </w:p>
    <w:p w:rsidR="009655EE" w:rsidRDefault="00E62A89">
      <w:pPr>
        <w:spacing w:before="240" w:after="240"/>
      </w:pPr>
      <w:r>
        <w:rPr>
          <w:b/>
        </w:rPr>
        <w:t>Why It Matters</w:t>
      </w:r>
      <w:r>
        <w:t>:</w:t>
      </w:r>
    </w:p>
    <w:p w:rsidR="009655EE" w:rsidRDefault="00E62A89">
      <w:pPr>
        <w:numPr>
          <w:ilvl w:val="0"/>
          <w:numId w:val="17"/>
        </w:numPr>
        <w:spacing w:before="240"/>
      </w:pPr>
      <w:r>
        <w:t xml:space="preserve">We can </w:t>
      </w:r>
      <w:r>
        <w:t>identify thresholds that yield an acceptable trade-off between recall (TPR) and fallout (FPR).</w:t>
      </w:r>
    </w:p>
    <w:p w:rsidR="002D47DC" w:rsidRDefault="002D47DC" w:rsidP="002D47DC">
      <w:pPr>
        <w:numPr>
          <w:ilvl w:val="0"/>
          <w:numId w:val="17"/>
        </w:numPr>
        <w:spacing w:after="240"/>
      </w:pPr>
      <w:r w:rsidRPr="002D47DC">
        <w:drawing>
          <wp:anchor distT="0" distB="0" distL="114300" distR="114300" simplePos="0" relativeHeight="251665408" behindDoc="0" locked="0" layoutInCell="1" allowOverlap="1" wp14:anchorId="5D0E178F" wp14:editId="0CFD2F21">
            <wp:simplePos x="0" y="0"/>
            <wp:positionH relativeFrom="margin">
              <wp:align>right</wp:align>
            </wp:positionH>
            <wp:positionV relativeFrom="paragraph">
              <wp:posOffset>466725</wp:posOffset>
            </wp:positionV>
            <wp:extent cx="5943600" cy="20396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9620"/>
                    </a:xfrm>
                    <a:prstGeom prst="rect">
                      <a:avLst/>
                    </a:prstGeom>
                  </pic:spPr>
                </pic:pic>
              </a:graphicData>
            </a:graphic>
          </wp:anchor>
        </w:drawing>
      </w:r>
      <w:r w:rsidR="00E62A89">
        <w:t>In churn scenarios, businesses might shift the threshold to catch more churners at the expense of some false alarms.</w:t>
      </w:r>
    </w:p>
    <w:p w:rsidR="009655EE" w:rsidRDefault="00E62A89">
      <w:pPr>
        <w:pStyle w:val="Heading3"/>
        <w:keepNext w:val="0"/>
        <w:keepLines w:val="0"/>
        <w:spacing w:before="280"/>
        <w:rPr>
          <w:b/>
          <w:color w:val="000000"/>
          <w:sz w:val="26"/>
          <w:szCs w:val="26"/>
        </w:rPr>
      </w:pPr>
      <w:bookmarkStart w:id="21" w:name="_ahevp06vj7vz" w:colFirst="0" w:colLast="0"/>
      <w:bookmarkEnd w:id="21"/>
      <w:r>
        <w:rPr>
          <w:b/>
          <w:color w:val="000000"/>
          <w:sz w:val="26"/>
          <w:szCs w:val="26"/>
        </w:rPr>
        <w:t>8.2. Radar Chart for Permutation Feature Imp</w:t>
      </w:r>
      <w:r>
        <w:rPr>
          <w:b/>
          <w:color w:val="000000"/>
          <w:sz w:val="26"/>
          <w:szCs w:val="26"/>
        </w:rPr>
        <w:t>ortance</w:t>
      </w:r>
    </w:p>
    <w:p w:rsidR="009655EE" w:rsidRDefault="00E62A89">
      <w:pPr>
        <w:spacing w:before="240" w:after="240"/>
      </w:pPr>
      <w:r>
        <w:t xml:space="preserve">Using </w:t>
      </w:r>
      <w:proofErr w:type="spellStart"/>
      <w:r w:rsidRPr="002D47DC">
        <w:t>permutation_importance</w:t>
      </w:r>
      <w:proofErr w:type="spellEnd"/>
      <w:r>
        <w:t xml:space="preserve">, we measure how each feature’s random shuffling affects accuracy. A radar (spider) chart normalizes these </w:t>
      </w:r>
      <w:proofErr w:type="spellStart"/>
      <w:r>
        <w:t>importances</w:t>
      </w:r>
      <w:proofErr w:type="spellEnd"/>
      <w:r>
        <w:t xml:space="preserve"> (range 0–1). Features with large radial extents are the most predictive.</w:t>
      </w:r>
    </w:p>
    <w:p w:rsidR="009655EE" w:rsidRDefault="00E62A89">
      <w:pPr>
        <w:spacing w:before="240" w:after="240"/>
      </w:pPr>
      <w:r>
        <w:rPr>
          <w:b/>
        </w:rPr>
        <w:t>Possible Key Features</w:t>
      </w:r>
      <w:r>
        <w:t>:</w:t>
      </w:r>
    </w:p>
    <w:p w:rsidR="009655EE" w:rsidRDefault="00E62A89">
      <w:pPr>
        <w:numPr>
          <w:ilvl w:val="0"/>
          <w:numId w:val="9"/>
        </w:numPr>
        <w:spacing w:before="240"/>
      </w:pPr>
      <w:proofErr w:type="gramStart"/>
      <w:r>
        <w:rPr>
          <w:b/>
        </w:rPr>
        <w:t>tenure</w:t>
      </w:r>
      <w:proofErr w:type="gramEnd"/>
      <w:r>
        <w:t>: Long-standing customers are less likely to churn.</w:t>
      </w:r>
    </w:p>
    <w:p w:rsidR="009655EE" w:rsidRDefault="00E62A89">
      <w:pPr>
        <w:numPr>
          <w:ilvl w:val="0"/>
          <w:numId w:val="9"/>
        </w:numPr>
      </w:pPr>
      <w:proofErr w:type="spellStart"/>
      <w:r>
        <w:rPr>
          <w:b/>
        </w:rPr>
        <w:lastRenderedPageBreak/>
        <w:t>Contract_Two</w:t>
      </w:r>
      <w:proofErr w:type="spellEnd"/>
      <w:r>
        <w:rPr>
          <w:b/>
        </w:rPr>
        <w:t xml:space="preserve"> year</w:t>
      </w:r>
      <w:r>
        <w:t>: Multi-year contracts typically reduce churn.</w:t>
      </w:r>
    </w:p>
    <w:p w:rsidR="009655EE" w:rsidRDefault="002D47DC" w:rsidP="002D47DC">
      <w:pPr>
        <w:numPr>
          <w:ilvl w:val="0"/>
          <w:numId w:val="9"/>
        </w:numPr>
        <w:spacing w:after="240"/>
      </w:pPr>
      <w:r w:rsidRPr="002D47DC">
        <w:drawing>
          <wp:anchor distT="0" distB="0" distL="114300" distR="114300" simplePos="0" relativeHeight="251669504" behindDoc="0" locked="0" layoutInCell="1" allowOverlap="1" wp14:anchorId="2D0988D4" wp14:editId="4170E273">
            <wp:simplePos x="0" y="0"/>
            <wp:positionH relativeFrom="margin">
              <wp:align>right</wp:align>
            </wp:positionH>
            <wp:positionV relativeFrom="paragraph">
              <wp:posOffset>499745</wp:posOffset>
            </wp:positionV>
            <wp:extent cx="5943600" cy="5105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05400"/>
                    </a:xfrm>
                    <a:prstGeom prst="rect">
                      <a:avLst/>
                    </a:prstGeom>
                  </pic:spPr>
                </pic:pic>
              </a:graphicData>
            </a:graphic>
            <wp14:sizeRelV relativeFrom="margin">
              <wp14:pctHeight>0</wp14:pctHeight>
            </wp14:sizeRelV>
          </wp:anchor>
        </w:drawing>
      </w:r>
      <w:r w:rsidR="00E62A89">
        <w:rPr>
          <w:b/>
        </w:rPr>
        <w:t>MonthlyCharges</w:t>
      </w:r>
      <w:r w:rsidR="00E62A89">
        <w:t>: Higher monthly fees might correlate with dissatisfaction, increasing churn risk.</w:t>
      </w:r>
      <w:r w:rsidRPr="002D47DC">
        <w:rPr>
          <w:noProof/>
        </w:rPr>
        <w:t xml:space="preserve"> </w:t>
      </w:r>
    </w:p>
    <w:p w:rsidR="009655EE" w:rsidRDefault="00E62A89">
      <w:pPr>
        <w:pStyle w:val="Heading3"/>
        <w:keepNext w:val="0"/>
        <w:keepLines w:val="0"/>
        <w:spacing w:before="280"/>
        <w:rPr>
          <w:b/>
          <w:color w:val="000000"/>
          <w:sz w:val="26"/>
          <w:szCs w:val="26"/>
        </w:rPr>
      </w:pPr>
      <w:bookmarkStart w:id="22" w:name="_206imeqqy9f4" w:colFirst="0" w:colLast="0"/>
      <w:bookmarkEnd w:id="22"/>
      <w:r>
        <w:rPr>
          <w:b/>
          <w:color w:val="000000"/>
          <w:sz w:val="26"/>
          <w:szCs w:val="26"/>
        </w:rPr>
        <w:t>8</w:t>
      </w:r>
      <w:r>
        <w:rPr>
          <w:b/>
          <w:color w:val="000000"/>
          <w:sz w:val="26"/>
          <w:szCs w:val="26"/>
        </w:rPr>
        <w:t>.3</w:t>
      </w:r>
      <w:r>
        <w:rPr>
          <w:b/>
          <w:color w:val="000000"/>
          <w:sz w:val="26"/>
          <w:szCs w:val="26"/>
        </w:rPr>
        <w:t>. Violin Plot of Predicted Churn P</w:t>
      </w:r>
      <w:r>
        <w:rPr>
          <w:b/>
          <w:color w:val="000000"/>
          <w:sz w:val="26"/>
          <w:szCs w:val="26"/>
        </w:rPr>
        <w:t>robabilities</w:t>
      </w:r>
    </w:p>
    <w:p w:rsidR="009655EE" w:rsidRPr="002747A7" w:rsidRDefault="00E62A89" w:rsidP="002747A7">
      <w:pPr>
        <w:spacing w:before="240" w:after="240"/>
      </w:pPr>
      <w:r>
        <w:t>The violin plot is used to plot the predicted churn probability distributions for the actual classes (0 vs. 1). The “no churn” distribution clusters near lower probabilities and the “yes churn” near higher probabilities. Some overlap indicates</w:t>
      </w:r>
      <w:r>
        <w:t xml:space="preserve"> borderline predictions.</w:t>
      </w:r>
    </w:p>
    <w:p w:rsidR="009655EE" w:rsidRDefault="00E62A89">
      <w:pPr>
        <w:spacing w:before="240" w:after="240"/>
      </w:pPr>
      <w:r>
        <w:lastRenderedPageBreak/>
        <w:t>Violin plots are a teaching tip and a combination of a boxplot with a kernel density estimate for a fuller picture of the distribution than a standard boxplot.</w:t>
      </w:r>
      <w:r w:rsidR="002D47DC" w:rsidRPr="002D47DC">
        <w:rPr>
          <w:noProof/>
        </w:rPr>
        <w:t xml:space="preserve"> </w:t>
      </w:r>
      <w:r w:rsidR="002D47DC" w:rsidRPr="002D47DC">
        <w:drawing>
          <wp:anchor distT="0" distB="0" distL="114300" distR="114300" simplePos="0" relativeHeight="251667456" behindDoc="0" locked="0" layoutInCell="1" allowOverlap="1" wp14:anchorId="62C736BA" wp14:editId="000E0CD2">
            <wp:simplePos x="0" y="0"/>
            <wp:positionH relativeFrom="column">
              <wp:posOffset>0</wp:posOffset>
            </wp:positionH>
            <wp:positionV relativeFrom="paragraph">
              <wp:posOffset>499745</wp:posOffset>
            </wp:positionV>
            <wp:extent cx="5943600" cy="3527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27425"/>
                    </a:xfrm>
                    <a:prstGeom prst="rect">
                      <a:avLst/>
                    </a:prstGeom>
                  </pic:spPr>
                </pic:pic>
              </a:graphicData>
            </a:graphic>
          </wp:anchor>
        </w:drawing>
      </w:r>
    </w:p>
    <w:p w:rsidR="009655EE" w:rsidRDefault="00E62A89">
      <w:pPr>
        <w:pStyle w:val="Heading3"/>
        <w:keepNext w:val="0"/>
        <w:keepLines w:val="0"/>
        <w:spacing w:before="280"/>
        <w:rPr>
          <w:b/>
          <w:color w:val="000000"/>
          <w:sz w:val="26"/>
          <w:szCs w:val="26"/>
        </w:rPr>
      </w:pPr>
      <w:bookmarkStart w:id="23" w:name="_xowxbm9nocky" w:colFirst="0" w:colLast="0"/>
      <w:bookmarkEnd w:id="23"/>
      <w:r>
        <w:rPr>
          <w:b/>
          <w:color w:val="000000"/>
          <w:sz w:val="26"/>
          <w:szCs w:val="26"/>
        </w:rPr>
        <w:t>8.4</w:t>
      </w:r>
      <w:r>
        <w:rPr>
          <w:b/>
          <w:color w:val="000000"/>
          <w:sz w:val="26"/>
          <w:szCs w:val="26"/>
        </w:rPr>
        <w:t>. 3D Scatter Plot: Actual vs. Predicted vs. Residual</w:t>
      </w:r>
    </w:p>
    <w:p w:rsidR="009655EE" w:rsidRDefault="00E62A89">
      <w:pPr>
        <w:spacing w:before="240" w:after="240"/>
      </w:pPr>
      <w:r>
        <w:t>We create an in</w:t>
      </w:r>
      <w:r>
        <w:t>teractive 3D plot:</w:t>
      </w:r>
    </w:p>
    <w:p w:rsidR="009655EE" w:rsidRDefault="00E62A89">
      <w:pPr>
        <w:numPr>
          <w:ilvl w:val="0"/>
          <w:numId w:val="10"/>
        </w:numPr>
        <w:spacing w:before="240"/>
      </w:pPr>
      <w:r>
        <w:rPr>
          <w:b/>
        </w:rPr>
        <w:t>x-axis</w:t>
      </w:r>
      <w:r>
        <w:t xml:space="preserve"> = actual churn label (0 or 1)</w:t>
      </w:r>
    </w:p>
    <w:p w:rsidR="009655EE" w:rsidRDefault="00E62A89">
      <w:pPr>
        <w:numPr>
          <w:ilvl w:val="0"/>
          <w:numId w:val="10"/>
        </w:numPr>
      </w:pPr>
      <w:r>
        <w:rPr>
          <w:b/>
        </w:rPr>
        <w:t>y-axis</w:t>
      </w:r>
      <w:r>
        <w:t xml:space="preserve"> = predicted churn probability</w:t>
      </w:r>
    </w:p>
    <w:p w:rsidR="009655EE" w:rsidRDefault="00E62A89">
      <w:pPr>
        <w:numPr>
          <w:ilvl w:val="0"/>
          <w:numId w:val="10"/>
        </w:numPr>
        <w:spacing w:after="240"/>
      </w:pPr>
      <w:r>
        <w:rPr>
          <w:b/>
        </w:rPr>
        <w:t>z-axis</w:t>
      </w:r>
      <w:r>
        <w:t xml:space="preserve"> = residual (actual – predicted)</w:t>
      </w:r>
    </w:p>
    <w:p w:rsidR="009655EE" w:rsidRDefault="00E62A89">
      <w:pPr>
        <w:spacing w:before="240" w:after="240"/>
      </w:pPr>
      <w:r>
        <w:t>Color-coded by residual magnitude, points near z=0 are accurate predictions. Large positive z-values indicate actual=1 but p</w:t>
      </w:r>
      <w:r>
        <w:t>redicted&lt;0.5, i.e., missed churners.</w:t>
      </w:r>
      <w:r w:rsidR="002D47DC" w:rsidRPr="002D47DC">
        <w:rPr>
          <w:noProof/>
        </w:rPr>
        <w:t xml:space="preserve"> </w:t>
      </w:r>
      <w:r w:rsidR="002D47DC" w:rsidRPr="002D47DC">
        <w:drawing>
          <wp:anchor distT="0" distB="0" distL="114300" distR="114300" simplePos="0" relativeHeight="251671552" behindDoc="0" locked="0" layoutInCell="1" allowOverlap="1" wp14:anchorId="0B88F5C9" wp14:editId="61EBC623">
            <wp:simplePos x="0" y="0"/>
            <wp:positionH relativeFrom="column">
              <wp:posOffset>0</wp:posOffset>
            </wp:positionH>
            <wp:positionV relativeFrom="paragraph">
              <wp:posOffset>499745</wp:posOffset>
            </wp:positionV>
            <wp:extent cx="5943600" cy="21031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3120"/>
                    </a:xfrm>
                    <a:prstGeom prst="rect">
                      <a:avLst/>
                    </a:prstGeom>
                  </pic:spPr>
                </pic:pic>
              </a:graphicData>
            </a:graphic>
          </wp:anchor>
        </w:drawing>
      </w:r>
    </w:p>
    <w:p w:rsidR="009655EE" w:rsidRDefault="00E62A89">
      <w:pPr>
        <w:pStyle w:val="Heading3"/>
        <w:keepNext w:val="0"/>
        <w:keepLines w:val="0"/>
        <w:spacing w:before="280"/>
        <w:rPr>
          <w:b/>
          <w:color w:val="000000"/>
          <w:sz w:val="26"/>
          <w:szCs w:val="26"/>
        </w:rPr>
      </w:pPr>
      <w:bookmarkStart w:id="24" w:name="_456nd7jem7lo" w:colFirst="0" w:colLast="0"/>
      <w:bookmarkEnd w:id="24"/>
      <w:r>
        <w:rPr>
          <w:b/>
          <w:color w:val="000000"/>
          <w:sz w:val="26"/>
          <w:szCs w:val="26"/>
        </w:rPr>
        <w:lastRenderedPageBreak/>
        <w:t>8.5. Smoothed Learning Curve (EMA)</w:t>
      </w:r>
    </w:p>
    <w:p w:rsidR="009655EE" w:rsidRDefault="002D47DC">
      <w:pPr>
        <w:spacing w:before="240" w:after="240"/>
      </w:pPr>
      <w:r w:rsidRPr="002D47DC">
        <w:drawing>
          <wp:anchor distT="0" distB="0" distL="114300" distR="114300" simplePos="0" relativeHeight="251673600" behindDoc="0" locked="0" layoutInCell="1" allowOverlap="1" wp14:anchorId="41A328C3" wp14:editId="081B21BE">
            <wp:simplePos x="0" y="0"/>
            <wp:positionH relativeFrom="margin">
              <wp:align>right</wp:align>
            </wp:positionH>
            <wp:positionV relativeFrom="paragraph">
              <wp:posOffset>778510</wp:posOffset>
            </wp:positionV>
            <wp:extent cx="5943600" cy="31146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4675"/>
                    </a:xfrm>
                    <a:prstGeom prst="rect">
                      <a:avLst/>
                    </a:prstGeom>
                  </pic:spPr>
                </pic:pic>
              </a:graphicData>
            </a:graphic>
            <wp14:sizeRelV relativeFrom="margin">
              <wp14:pctHeight>0</wp14:pctHeight>
            </wp14:sizeRelV>
          </wp:anchor>
        </w:drawing>
      </w:r>
      <w:r w:rsidR="00E62A89">
        <w:t>We take an exponential moving average of training and validation loss on epochs. Validation decrements off around 0.44-0.45, with training curve dipping below 0.40, indicating a mild o</w:t>
      </w:r>
      <w:r w:rsidR="00E62A89">
        <w:t>verfitting. Early stopping prevents divergence further.</w:t>
      </w:r>
      <w:r w:rsidRPr="002D47DC">
        <w:rPr>
          <w:noProof/>
        </w:rPr>
        <w:t xml:space="preserve"> </w:t>
      </w:r>
    </w:p>
    <w:p w:rsidR="009655EE" w:rsidRDefault="00E62A89">
      <w:pPr>
        <w:pStyle w:val="Heading3"/>
        <w:keepNext w:val="0"/>
        <w:keepLines w:val="0"/>
        <w:spacing w:before="280"/>
        <w:rPr>
          <w:b/>
          <w:color w:val="000000"/>
          <w:sz w:val="26"/>
          <w:szCs w:val="26"/>
        </w:rPr>
      </w:pPr>
      <w:bookmarkStart w:id="25" w:name="_e2dsvxmfb42" w:colFirst="0" w:colLast="0"/>
      <w:bookmarkEnd w:id="25"/>
      <w:r>
        <w:rPr>
          <w:b/>
          <w:color w:val="000000"/>
          <w:sz w:val="26"/>
          <w:szCs w:val="26"/>
        </w:rPr>
        <w:t>8.6. Correlation Heatmap of Test Features</w:t>
      </w:r>
    </w:p>
    <w:p w:rsidR="009655EE" w:rsidRDefault="00E62A89">
      <w:pPr>
        <w:spacing w:before="240" w:after="240"/>
      </w:pPr>
      <w:r>
        <w:t>A color-coded matrix shows pairwise correlations among the 30 test features. For instance:</w:t>
      </w:r>
    </w:p>
    <w:p w:rsidR="009655EE" w:rsidRDefault="002D47DC">
      <w:pPr>
        <w:numPr>
          <w:ilvl w:val="0"/>
          <w:numId w:val="6"/>
        </w:numPr>
        <w:spacing w:before="240"/>
      </w:pPr>
      <w:r>
        <w:rPr>
          <w:b/>
        </w:rPr>
        <w:t>Tenure</w:t>
      </w:r>
      <w:r w:rsidR="00E62A89">
        <w:t xml:space="preserve"> might be negatively correlated with </w:t>
      </w:r>
      <w:r w:rsidR="00E62A89" w:rsidRPr="002747A7">
        <w:t>Churn</w:t>
      </w:r>
      <w:r w:rsidR="00E62A89">
        <w:t xml:space="preserve"> (longer tenure =&gt; </w:t>
      </w:r>
      <w:r w:rsidR="00E62A89">
        <w:t>less churn).</w:t>
      </w:r>
    </w:p>
    <w:p w:rsidR="009655EE" w:rsidRDefault="00E62A89">
      <w:pPr>
        <w:numPr>
          <w:ilvl w:val="0"/>
          <w:numId w:val="6"/>
        </w:numPr>
        <w:spacing w:after="240"/>
      </w:pPr>
      <w:r>
        <w:t xml:space="preserve">Some dummy variables (like </w:t>
      </w:r>
      <w:r w:rsidRPr="002747A7">
        <w:t>InternetService_No</w:t>
      </w:r>
      <w:r>
        <w:t>) can be strongly negatively correlated with others (</w:t>
      </w:r>
      <w:proofErr w:type="spellStart"/>
      <w:r w:rsidRPr="002747A7">
        <w:t>InternetService_Fiber</w:t>
      </w:r>
      <w:proofErr w:type="spellEnd"/>
      <w:r w:rsidRPr="002747A7">
        <w:t xml:space="preserve"> optic</w:t>
      </w:r>
      <w:r>
        <w:t>).</w:t>
      </w:r>
    </w:p>
    <w:p w:rsidR="009655EE" w:rsidRDefault="00E62A89">
      <w:pPr>
        <w:spacing w:before="240" w:after="240"/>
      </w:pPr>
      <w:r>
        <w:rPr>
          <w:b/>
        </w:rPr>
        <w:t>Tip</w:t>
      </w:r>
      <w:r>
        <w:t>: Rotating x-axis labels, adjusting figure size, and controlling annotation font helps clarity, as the chart can</w:t>
      </w:r>
      <w:r>
        <w:t xml:space="preserve"> be busy with many features.</w:t>
      </w:r>
    </w:p>
    <w:p w:rsidR="009655EE" w:rsidRDefault="00E62A89">
      <w:pPr>
        <w:pStyle w:val="Heading2"/>
        <w:keepNext w:val="0"/>
        <w:keepLines w:val="0"/>
        <w:spacing w:after="80"/>
        <w:rPr>
          <w:b/>
          <w:sz w:val="34"/>
          <w:szCs w:val="34"/>
        </w:rPr>
      </w:pPr>
      <w:bookmarkStart w:id="26" w:name="_t68nemzhf433" w:colFirst="0" w:colLast="0"/>
      <w:bookmarkEnd w:id="26"/>
      <w:r>
        <w:rPr>
          <w:b/>
          <w:sz w:val="34"/>
          <w:szCs w:val="34"/>
        </w:rPr>
        <w:t>9. Key Observations and Insights</w:t>
      </w:r>
    </w:p>
    <w:p w:rsidR="009655EE" w:rsidRDefault="00E62A89">
      <w:pPr>
        <w:numPr>
          <w:ilvl w:val="0"/>
          <w:numId w:val="4"/>
        </w:numPr>
        <w:spacing w:before="240"/>
      </w:pPr>
      <w:r>
        <w:rPr>
          <w:b/>
        </w:rPr>
        <w:t>Overall Accuracy ~79%</w:t>
      </w:r>
      <w:r>
        <w:t>: Good for a baseline, but some organizations might prefer higher.</w:t>
      </w:r>
    </w:p>
    <w:p w:rsidR="009655EE" w:rsidRDefault="00E62A89">
      <w:pPr>
        <w:numPr>
          <w:ilvl w:val="0"/>
          <w:numId w:val="4"/>
        </w:numPr>
      </w:pPr>
      <w:r>
        <w:rPr>
          <w:b/>
        </w:rPr>
        <w:t>Class 1 (Churn) Recall = 0.50</w:t>
      </w:r>
      <w:r>
        <w:t>: We catch half the churners. Depending on cost sensitivity, we might aim for</w:t>
      </w:r>
      <w:r>
        <w:t xml:space="preserve"> a higher recall.</w:t>
      </w:r>
    </w:p>
    <w:p w:rsidR="009655EE" w:rsidRDefault="00E62A89">
      <w:pPr>
        <w:numPr>
          <w:ilvl w:val="0"/>
          <w:numId w:val="4"/>
        </w:numPr>
      </w:pPr>
      <w:r>
        <w:rPr>
          <w:b/>
        </w:rPr>
        <w:t>Potential Overfitting</w:t>
      </w:r>
      <w:r>
        <w:t>: The gap between training and validation loss suggests the model memorizes some patterns. Additional regularization or data augmentation might help.</w:t>
      </w:r>
    </w:p>
    <w:p w:rsidR="009655EE" w:rsidRDefault="00E62A89">
      <w:pPr>
        <w:numPr>
          <w:ilvl w:val="0"/>
          <w:numId w:val="4"/>
        </w:numPr>
      </w:pPr>
      <w:r>
        <w:rPr>
          <w:b/>
        </w:rPr>
        <w:t>Important Features</w:t>
      </w:r>
      <w:r>
        <w:t>: Contract type, tenure, monthly charges, and cer</w:t>
      </w:r>
      <w:r>
        <w:t>tain internet service columns stand out as top contributors.</w:t>
      </w:r>
    </w:p>
    <w:p w:rsidR="009655EE" w:rsidRDefault="00E62A89">
      <w:pPr>
        <w:numPr>
          <w:ilvl w:val="0"/>
          <w:numId w:val="4"/>
        </w:numPr>
        <w:spacing w:after="240"/>
      </w:pPr>
      <w:r>
        <w:rPr>
          <w:b/>
        </w:rPr>
        <w:t>Threshold Adjustments</w:t>
      </w:r>
      <w:r>
        <w:t>: If business owners want fewer missed churners, we can shift the decision threshold below 0.5, capturing more churners at the cost of more false positives.</w:t>
      </w:r>
    </w:p>
    <w:p w:rsidR="009655EE" w:rsidRDefault="00E62A89">
      <w:pPr>
        <w:pStyle w:val="Heading2"/>
        <w:keepNext w:val="0"/>
        <w:keepLines w:val="0"/>
        <w:spacing w:after="80"/>
        <w:rPr>
          <w:b/>
          <w:sz w:val="34"/>
          <w:szCs w:val="34"/>
        </w:rPr>
      </w:pPr>
      <w:bookmarkStart w:id="27" w:name="_om0g3t7c5214" w:colFirst="0" w:colLast="0"/>
      <w:bookmarkEnd w:id="27"/>
      <w:r>
        <w:rPr>
          <w:b/>
          <w:sz w:val="34"/>
          <w:szCs w:val="34"/>
        </w:rPr>
        <w:lastRenderedPageBreak/>
        <w:t>10. Potential Nex</w:t>
      </w:r>
      <w:r>
        <w:rPr>
          <w:b/>
          <w:sz w:val="34"/>
          <w:szCs w:val="34"/>
        </w:rPr>
        <w:t>t Steps</w:t>
      </w:r>
    </w:p>
    <w:p w:rsidR="009655EE" w:rsidRDefault="00E62A89">
      <w:pPr>
        <w:numPr>
          <w:ilvl w:val="0"/>
          <w:numId w:val="21"/>
        </w:numPr>
        <w:spacing w:before="240"/>
      </w:pPr>
      <w:r>
        <w:rPr>
          <w:b/>
        </w:rPr>
        <w:t>Hyperparameter Tuning</w:t>
      </w:r>
      <w:r>
        <w:t xml:space="preserve">: Use advanced search (e.g., </w:t>
      </w:r>
      <w:proofErr w:type="spellStart"/>
      <w:r>
        <w:t>KerasTuner</w:t>
      </w:r>
      <w:proofErr w:type="spellEnd"/>
      <w:r>
        <w:t xml:space="preserve"> or </w:t>
      </w:r>
      <w:proofErr w:type="spellStart"/>
      <w:r>
        <w:t>Optuna</w:t>
      </w:r>
      <w:proofErr w:type="spellEnd"/>
      <w:r>
        <w:t>) to optimize layer sizes, dropout rates, or learning rates.</w:t>
      </w:r>
      <w:sdt>
        <w:sdtPr>
          <w:id w:val="-543059420"/>
          <w:citation/>
        </w:sdtPr>
        <w:sdtContent>
          <w:r>
            <w:fldChar w:fldCharType="begin"/>
          </w:r>
          <w:r>
            <w:instrText xml:space="preserve"> CITATION Ped11 \l 1033 </w:instrText>
          </w:r>
          <w:r>
            <w:fldChar w:fldCharType="separate"/>
          </w:r>
          <w:r>
            <w:rPr>
              <w:noProof/>
            </w:rPr>
            <w:t xml:space="preserve"> (Pedregosa, 2011)</w:t>
          </w:r>
          <w:r>
            <w:fldChar w:fldCharType="end"/>
          </w:r>
        </w:sdtContent>
      </w:sdt>
    </w:p>
    <w:p w:rsidR="009655EE" w:rsidRDefault="00E62A89">
      <w:pPr>
        <w:numPr>
          <w:ilvl w:val="0"/>
          <w:numId w:val="21"/>
        </w:numPr>
      </w:pPr>
      <w:r>
        <w:rPr>
          <w:b/>
        </w:rPr>
        <w:t>Cost-Sensitive Learning</w:t>
      </w:r>
      <w:r>
        <w:t xml:space="preserve">: Incorporate a custom cost function that heavily penalizes false negatives (missed churners) </w:t>
      </w:r>
      <w:r>
        <w:t>if the cost of losing a customer is high.</w:t>
      </w:r>
    </w:p>
    <w:p w:rsidR="009655EE" w:rsidRDefault="00E62A89">
      <w:pPr>
        <w:numPr>
          <w:ilvl w:val="0"/>
          <w:numId w:val="21"/>
        </w:numPr>
      </w:pPr>
      <w:proofErr w:type="spellStart"/>
      <w:r>
        <w:rPr>
          <w:b/>
        </w:rPr>
        <w:t>Explainability</w:t>
      </w:r>
      <w:proofErr w:type="spellEnd"/>
      <w:r>
        <w:rPr>
          <w:b/>
        </w:rPr>
        <w:t xml:space="preserve"> Tools</w:t>
      </w:r>
      <w:r>
        <w:t>: Leverage LIME or anchors-based methods to produce local, human-readable rules explaining each prediction.</w:t>
      </w:r>
      <w:sdt>
        <w:sdtPr>
          <w:id w:val="1052126604"/>
          <w:citation/>
        </w:sdtPr>
        <w:sdtContent>
          <w:r>
            <w:fldChar w:fldCharType="begin"/>
          </w:r>
          <w:r>
            <w:instrText xml:space="preserve"> CITATION Lun17 \l 1033 </w:instrText>
          </w:r>
          <w:r>
            <w:fldChar w:fldCharType="separate"/>
          </w:r>
          <w:r>
            <w:rPr>
              <w:noProof/>
            </w:rPr>
            <w:t xml:space="preserve"> (Lundberg, 2017)</w:t>
          </w:r>
          <w:r>
            <w:fldChar w:fldCharType="end"/>
          </w:r>
        </w:sdtContent>
      </w:sdt>
    </w:p>
    <w:p w:rsidR="009655EE" w:rsidRDefault="00E62A89">
      <w:pPr>
        <w:numPr>
          <w:ilvl w:val="0"/>
          <w:numId w:val="21"/>
        </w:numPr>
      </w:pPr>
      <w:r>
        <w:rPr>
          <w:b/>
        </w:rPr>
        <w:t>Cross-Validation</w:t>
      </w:r>
      <w:r>
        <w:t>: Instead of a single train/test split, consider K-fold cross-validati</w:t>
      </w:r>
      <w:r>
        <w:t>on for more robust performance estimates.</w:t>
      </w:r>
    </w:p>
    <w:p w:rsidR="009655EE" w:rsidRDefault="00E62A89">
      <w:pPr>
        <w:numPr>
          <w:ilvl w:val="0"/>
          <w:numId w:val="21"/>
        </w:numPr>
        <w:spacing w:after="240"/>
      </w:pPr>
      <w:r>
        <w:rPr>
          <w:b/>
        </w:rPr>
        <w:t>Ensemble Approaches</w:t>
      </w:r>
      <w:r>
        <w:t>: Combine the DNN with other models (e.g., random forests or gradient boosting) to create a stacked ensemble that might outperform any single model.</w:t>
      </w:r>
      <w:sdt>
        <w:sdtPr>
          <w:id w:val="-1901357372"/>
          <w:citation/>
        </w:sdtPr>
        <w:sdtContent>
          <w:r>
            <w:fldChar w:fldCharType="begin"/>
          </w:r>
          <w:r>
            <w:instrText xml:space="preserve"> CITATION Lun17 \l 1033 </w:instrText>
          </w:r>
          <w:r>
            <w:fldChar w:fldCharType="separate"/>
          </w:r>
          <w:r>
            <w:rPr>
              <w:noProof/>
            </w:rPr>
            <w:t xml:space="preserve"> (Lundberg, 2017)</w:t>
          </w:r>
          <w:r>
            <w:fldChar w:fldCharType="end"/>
          </w:r>
        </w:sdtContent>
      </w:sdt>
      <w:bookmarkStart w:id="28" w:name="_GoBack"/>
      <w:bookmarkEnd w:id="28"/>
    </w:p>
    <w:p w:rsidR="009655EE" w:rsidRDefault="00E62A89">
      <w:pPr>
        <w:pStyle w:val="Heading2"/>
        <w:keepNext w:val="0"/>
        <w:keepLines w:val="0"/>
        <w:spacing w:after="80"/>
        <w:rPr>
          <w:b/>
          <w:sz w:val="34"/>
          <w:szCs w:val="34"/>
        </w:rPr>
      </w:pPr>
      <w:bookmarkStart w:id="29" w:name="_ke9kkjdnxoha" w:colFirst="0" w:colLast="0"/>
      <w:bookmarkEnd w:id="29"/>
      <w:r>
        <w:rPr>
          <w:b/>
          <w:sz w:val="34"/>
          <w:szCs w:val="34"/>
        </w:rPr>
        <w:t>11. Teaching Emphasis and Best Practices</w:t>
      </w:r>
    </w:p>
    <w:p w:rsidR="009655EE" w:rsidRDefault="00E62A89">
      <w:pPr>
        <w:numPr>
          <w:ilvl w:val="0"/>
          <w:numId w:val="18"/>
        </w:numPr>
        <w:spacing w:before="240"/>
      </w:pPr>
      <w:r>
        <w:rPr>
          <w:b/>
        </w:rPr>
        <w:t>Prope</w:t>
      </w:r>
      <w:r>
        <w:rPr>
          <w:b/>
        </w:rPr>
        <w:t>r Data Cleaning</w:t>
      </w:r>
      <w:r>
        <w:t>: The dataset had columns needing numeric conversion and missing values. Without correct data handling, the model might degrade.</w:t>
      </w:r>
    </w:p>
    <w:p w:rsidR="009655EE" w:rsidRDefault="00E62A89">
      <w:pPr>
        <w:numPr>
          <w:ilvl w:val="0"/>
          <w:numId w:val="18"/>
        </w:numPr>
      </w:pPr>
      <w:r>
        <w:rPr>
          <w:b/>
        </w:rPr>
        <w:t>Feature Engineering</w:t>
      </w:r>
      <w:r>
        <w:t>: Additional domain-specific transformations (like average monthly charges per year or a “ten</w:t>
      </w:r>
      <w:r>
        <w:t>ure bucket”) can boost performance.</w:t>
      </w:r>
    </w:p>
    <w:p w:rsidR="009655EE" w:rsidRDefault="00E62A89">
      <w:pPr>
        <w:numPr>
          <w:ilvl w:val="0"/>
          <w:numId w:val="18"/>
        </w:numPr>
      </w:pPr>
      <w:r>
        <w:rPr>
          <w:b/>
        </w:rPr>
        <w:t>Regularization</w:t>
      </w:r>
      <w:r>
        <w:t>: Dropout and batch normalization are crucial for stable training in moderate datasets.</w:t>
      </w:r>
    </w:p>
    <w:p w:rsidR="009655EE" w:rsidRDefault="00E62A89">
      <w:pPr>
        <w:numPr>
          <w:ilvl w:val="0"/>
          <w:numId w:val="18"/>
        </w:numPr>
      </w:pPr>
      <w:r>
        <w:rPr>
          <w:b/>
        </w:rPr>
        <w:t>Early Stopping</w:t>
      </w:r>
      <w:r>
        <w:t>: Minimizes overfitting and reduces wasted training epochs.</w:t>
      </w:r>
    </w:p>
    <w:p w:rsidR="009655EE" w:rsidRDefault="00E62A89">
      <w:pPr>
        <w:numPr>
          <w:ilvl w:val="0"/>
          <w:numId w:val="18"/>
        </w:numPr>
      </w:pPr>
      <w:r>
        <w:rPr>
          <w:b/>
        </w:rPr>
        <w:t>Visualization</w:t>
      </w:r>
      <w:r>
        <w:t>:</w:t>
      </w:r>
    </w:p>
    <w:p w:rsidR="009655EE" w:rsidRDefault="00E62A89">
      <w:pPr>
        <w:numPr>
          <w:ilvl w:val="1"/>
          <w:numId w:val="18"/>
        </w:numPr>
      </w:pPr>
      <w:r>
        <w:rPr>
          <w:b/>
        </w:rPr>
        <w:t>Violin plots</w:t>
      </w:r>
      <w:r>
        <w:t xml:space="preserve"> highlight distri</w:t>
      </w:r>
      <w:r>
        <w:t>bution of model confidence.</w:t>
      </w:r>
    </w:p>
    <w:p w:rsidR="009655EE" w:rsidRDefault="00E62A89">
      <w:pPr>
        <w:numPr>
          <w:ilvl w:val="1"/>
          <w:numId w:val="18"/>
        </w:numPr>
      </w:pPr>
      <w:r>
        <w:rPr>
          <w:b/>
        </w:rPr>
        <w:t>Radar charts</w:t>
      </w:r>
      <w:r>
        <w:t xml:space="preserve"> convey permutation-based importance in a visually appealing way.</w:t>
      </w:r>
    </w:p>
    <w:p w:rsidR="009655EE" w:rsidRDefault="00E62A89">
      <w:pPr>
        <w:numPr>
          <w:ilvl w:val="1"/>
          <w:numId w:val="18"/>
        </w:numPr>
        <w:spacing w:after="240"/>
      </w:pPr>
      <w:r>
        <w:rPr>
          <w:b/>
        </w:rPr>
        <w:t>3D scatter</w:t>
      </w:r>
      <w:r>
        <w:t xml:space="preserve"> fosters intuitive understanding of model errors.</w:t>
      </w:r>
    </w:p>
    <w:p w:rsidR="009655EE" w:rsidRDefault="00E62A89">
      <w:pPr>
        <w:pStyle w:val="Heading2"/>
        <w:keepNext w:val="0"/>
        <w:keepLines w:val="0"/>
        <w:spacing w:after="80"/>
        <w:rPr>
          <w:b/>
          <w:sz w:val="34"/>
          <w:szCs w:val="34"/>
        </w:rPr>
      </w:pPr>
      <w:bookmarkStart w:id="30" w:name="_nhrng5aoltdg" w:colFirst="0" w:colLast="0"/>
      <w:bookmarkEnd w:id="30"/>
      <w:r>
        <w:rPr>
          <w:b/>
          <w:sz w:val="34"/>
          <w:szCs w:val="34"/>
        </w:rPr>
        <w:t>12. Conclusion</w:t>
      </w:r>
    </w:p>
    <w:p w:rsidR="009655EE" w:rsidRDefault="00E62A89">
      <w:pPr>
        <w:spacing w:before="240" w:after="240"/>
      </w:pPr>
      <w:r>
        <w:t xml:space="preserve">This tutorial demonstrates a </w:t>
      </w:r>
      <w:r>
        <w:rPr>
          <w:b/>
        </w:rPr>
        <w:t>Deep Neural Network</w:t>
      </w:r>
      <w:r>
        <w:t xml:space="preserve"> approach for predicting churn in the </w:t>
      </w:r>
      <w:r>
        <w:rPr>
          <w:b/>
        </w:rPr>
        <w:t>Telco Customer Churn dataset</w:t>
      </w:r>
      <w:r>
        <w:t>. The final model achieves:</w:t>
      </w:r>
    </w:p>
    <w:p w:rsidR="009655EE" w:rsidRDefault="00E62A89">
      <w:pPr>
        <w:numPr>
          <w:ilvl w:val="0"/>
          <w:numId w:val="7"/>
        </w:numPr>
        <w:spacing w:before="240"/>
      </w:pPr>
      <w:r>
        <w:rPr>
          <w:b/>
        </w:rPr>
        <w:t>79% accuracy</w:t>
      </w:r>
    </w:p>
    <w:p w:rsidR="009655EE" w:rsidRDefault="00E62A89">
      <w:pPr>
        <w:numPr>
          <w:ilvl w:val="0"/>
          <w:numId w:val="7"/>
        </w:numPr>
      </w:pPr>
      <w:r>
        <w:rPr>
          <w:b/>
        </w:rPr>
        <w:t>ROC AUC = 0.835</w:t>
      </w:r>
    </w:p>
    <w:p w:rsidR="009655EE" w:rsidRDefault="00E62A89">
      <w:pPr>
        <w:numPr>
          <w:ilvl w:val="0"/>
          <w:numId w:val="7"/>
        </w:numPr>
        <w:spacing w:after="240"/>
      </w:pPr>
      <w:r>
        <w:rPr>
          <w:b/>
        </w:rPr>
        <w:t>Recall(Churn=1) ~ 0.50</w:t>
      </w:r>
    </w:p>
    <w:p w:rsidR="009655EE" w:rsidRDefault="00E62A89">
      <w:pPr>
        <w:spacing w:before="240" w:after="240"/>
      </w:pPr>
      <w:r>
        <w:t>Though these metrics are promising, they also offer some opportunity for improvement at capturing more churner</w:t>
      </w:r>
      <w:r>
        <w:t xml:space="preserve">s. Advanced visualizations such as interactive ROC, radar chart, violin plots, 3D scatter, smoothed learning curve and correlation </w:t>
      </w:r>
      <w:proofErr w:type="spellStart"/>
      <w:r>
        <w:t>heatmap</w:t>
      </w:r>
      <w:proofErr w:type="spellEnd"/>
      <w:r>
        <w:t xml:space="preserve"> allow us understanding the model’s </w:t>
      </w:r>
      <w:proofErr w:type="spellStart"/>
      <w:r>
        <w:t>behaviour</w:t>
      </w:r>
      <w:proofErr w:type="spellEnd"/>
      <w:r>
        <w:t xml:space="preserve"> and providing cues to make further refinements. Through arbitrary change</w:t>
      </w:r>
      <w:r>
        <w:t>s of thresholds or adoption of cost sensitive learning, the telecom can more aggressively reduce churn.</w:t>
      </w:r>
    </w:p>
    <w:p w:rsidR="002747A7" w:rsidRDefault="002747A7">
      <w:pPr>
        <w:spacing w:before="240" w:after="240"/>
        <w:rPr>
          <w:b/>
        </w:rPr>
      </w:pPr>
    </w:p>
    <w:p w:rsidR="002747A7" w:rsidRDefault="002747A7">
      <w:pPr>
        <w:spacing w:before="240" w:after="240"/>
        <w:rPr>
          <w:b/>
        </w:rPr>
      </w:pPr>
    </w:p>
    <w:p w:rsidR="009655EE" w:rsidRDefault="00E62A89">
      <w:pPr>
        <w:spacing w:before="240" w:after="240"/>
      </w:pPr>
      <w:r>
        <w:rPr>
          <w:b/>
        </w:rPr>
        <w:t>Core Takeaways</w:t>
      </w:r>
      <w:r>
        <w:t>:</w:t>
      </w:r>
    </w:p>
    <w:p w:rsidR="009655EE" w:rsidRDefault="00E62A89">
      <w:pPr>
        <w:numPr>
          <w:ilvl w:val="0"/>
          <w:numId w:val="11"/>
        </w:numPr>
        <w:spacing w:before="240"/>
      </w:pPr>
      <w:r>
        <w:rPr>
          <w:b/>
        </w:rPr>
        <w:t>Data Preparation</w:t>
      </w:r>
      <w:r>
        <w:t xml:space="preserve">: Converting data types, encoding </w:t>
      </w:r>
      <w:proofErr w:type="spellStart"/>
      <w:r>
        <w:t>categoricals</w:t>
      </w:r>
      <w:proofErr w:type="spellEnd"/>
      <w:r>
        <w:t>, scaling numeric columns are essential steps for neural network training.</w:t>
      </w:r>
    </w:p>
    <w:p w:rsidR="009655EE" w:rsidRDefault="00E62A89">
      <w:pPr>
        <w:numPr>
          <w:ilvl w:val="0"/>
          <w:numId w:val="11"/>
        </w:numPr>
      </w:pPr>
      <w:r>
        <w:rPr>
          <w:b/>
        </w:rPr>
        <w:t>Model Architecture</w:t>
      </w:r>
      <w:r>
        <w:t>: A multi-layer design with ReLU, batch normalization, and dropout balances expressiveness and regularization.</w:t>
      </w:r>
    </w:p>
    <w:p w:rsidR="009655EE" w:rsidRDefault="00E62A89">
      <w:pPr>
        <w:numPr>
          <w:ilvl w:val="0"/>
          <w:numId w:val="11"/>
        </w:numPr>
      </w:pPr>
      <w:r>
        <w:rPr>
          <w:b/>
        </w:rPr>
        <w:t>Evaluation</w:t>
      </w:r>
      <w:r>
        <w:t>: Standard classification metrics plus ROC AUC reveal performance. The confusion matrix pinpoints misclassifications</w:t>
      </w:r>
      <w:r>
        <w:t>, especially missed churners.</w:t>
      </w:r>
    </w:p>
    <w:p w:rsidR="009655EE" w:rsidRDefault="00E62A89">
      <w:pPr>
        <w:numPr>
          <w:ilvl w:val="0"/>
          <w:numId w:val="11"/>
        </w:numPr>
      </w:pPr>
      <w:r>
        <w:rPr>
          <w:b/>
        </w:rPr>
        <w:t>Insights</w:t>
      </w:r>
      <w:r>
        <w:t>: Some features (e.g., contract length, monthly charges, tenure) strongly influence churn risk. The model’s limited recall suggests we can tune the threshold to favor capturing churners.</w:t>
      </w:r>
    </w:p>
    <w:p w:rsidR="009655EE" w:rsidRDefault="00E62A89">
      <w:pPr>
        <w:numPr>
          <w:ilvl w:val="0"/>
          <w:numId w:val="11"/>
        </w:numPr>
        <w:spacing w:after="240"/>
      </w:pPr>
      <w:r>
        <w:rPr>
          <w:b/>
        </w:rPr>
        <w:t>Future Enhancements</w:t>
      </w:r>
      <w:r>
        <w:t>: Advanced h</w:t>
      </w:r>
      <w:r>
        <w:t>yperparameter search, cost-sensitive learning, local interpretability methods, or ensemble techniques can refine performance.</w:t>
      </w:r>
    </w:p>
    <w:p w:rsidR="009655EE" w:rsidRDefault="00E62A89">
      <w:pPr>
        <w:spacing w:before="240" w:after="240"/>
      </w:pPr>
      <w:r>
        <w:t xml:space="preserve">Combining these best practices of robust data processing, good architecture, early stopping and visualization helps to </w:t>
      </w:r>
      <w:r w:rsidR="002747A7">
        <w:t>crafts</w:t>
      </w:r>
      <w:r>
        <w:t xml:space="preserve"> a hi</w:t>
      </w:r>
      <w:r>
        <w:t>gh quality churn prediction solution. The synergy of deep learning, domain understanding, and efficient evaluation as shown in this tutorial enables others to tackle real world business challenges in customer retention.</w:t>
      </w:r>
    </w:p>
    <w:p w:rsidR="002747A7" w:rsidRPr="0080538C" w:rsidRDefault="002747A7" w:rsidP="002747A7">
      <w:pPr>
        <w:pStyle w:val="Heading2"/>
        <w:keepNext w:val="0"/>
        <w:keepLines w:val="0"/>
        <w:spacing w:after="80"/>
        <w:rPr>
          <w:b/>
          <w:sz w:val="34"/>
          <w:szCs w:val="34"/>
        </w:rPr>
      </w:pPr>
      <w:r w:rsidRPr="0080538C">
        <w:rPr>
          <w:b/>
          <w:sz w:val="34"/>
          <w:szCs w:val="34"/>
        </w:rPr>
        <w:t>11. References</w:t>
      </w:r>
    </w:p>
    <w:p w:rsidR="002747A7" w:rsidRPr="0080538C" w:rsidRDefault="002747A7" w:rsidP="002747A7">
      <w:pPr>
        <w:numPr>
          <w:ilvl w:val="0"/>
          <w:numId w:val="5"/>
        </w:numPr>
      </w:pPr>
      <w:sdt>
        <w:sdtPr>
          <w:rPr>
            <w:b/>
          </w:rPr>
          <w:id w:val="118728437"/>
          <w:citation/>
        </w:sdtPr>
        <w:sdtContent>
          <w:r>
            <w:rPr>
              <w:b/>
            </w:rPr>
            <w:fldChar w:fldCharType="begin"/>
          </w:r>
          <w:r>
            <w:rPr>
              <w:b/>
            </w:rPr>
            <w:instrText xml:space="preserve"> CITATION Lun17 \l 1033 </w:instrText>
          </w:r>
          <w:r>
            <w:rPr>
              <w:b/>
            </w:rPr>
            <w:fldChar w:fldCharType="separate"/>
          </w:r>
          <w:r>
            <w:rPr>
              <w:noProof/>
            </w:rPr>
            <w:t>(Lundberg, 2017)</w:t>
          </w:r>
          <w:r>
            <w:rPr>
              <w:b/>
            </w:rPr>
            <w:fldChar w:fldCharType="end"/>
          </w:r>
        </w:sdtContent>
      </w:sdt>
      <w:r w:rsidRPr="0080538C">
        <w:t xml:space="preserve"> A Unified Approach to Interpreting Model Predictions. </w:t>
      </w:r>
      <w:r w:rsidRPr="0080538C">
        <w:rPr>
          <w:i/>
        </w:rPr>
        <w:t>Advances in Neural Information Processing Systems (</w:t>
      </w:r>
      <w:proofErr w:type="spellStart"/>
      <w:r w:rsidRPr="0080538C">
        <w:rPr>
          <w:i/>
        </w:rPr>
        <w:t>NeurIPS</w:t>
      </w:r>
      <w:proofErr w:type="spellEnd"/>
      <w:r w:rsidRPr="0080538C">
        <w:rPr>
          <w:i/>
        </w:rPr>
        <w:t>)</w:t>
      </w:r>
      <w:r w:rsidRPr="0080538C">
        <w:t>.</w:t>
      </w:r>
    </w:p>
    <w:p w:rsidR="002747A7" w:rsidRPr="0080538C" w:rsidRDefault="002747A7" w:rsidP="002747A7">
      <w:pPr>
        <w:numPr>
          <w:ilvl w:val="0"/>
          <w:numId w:val="5"/>
        </w:numPr>
      </w:pPr>
      <w:sdt>
        <w:sdtPr>
          <w:id w:val="-1488856812"/>
          <w:citation/>
        </w:sdtPr>
        <w:sdtContent>
          <w:r>
            <w:fldChar w:fldCharType="begin"/>
          </w:r>
          <w:r>
            <w:rPr>
              <w:b/>
            </w:rPr>
            <w:instrText xml:space="preserve"> CITATION Ped11 \l 1033 </w:instrText>
          </w:r>
          <w:r>
            <w:fldChar w:fldCharType="separate"/>
          </w:r>
          <w:r>
            <w:rPr>
              <w:noProof/>
            </w:rPr>
            <w:t>(Pedregosa, 2011)</w:t>
          </w:r>
          <w:r>
            <w:fldChar w:fldCharType="end"/>
          </w:r>
        </w:sdtContent>
      </w:sdt>
      <w:r>
        <w:t xml:space="preserve"> </w:t>
      </w:r>
      <w:proofErr w:type="spellStart"/>
      <w:r w:rsidRPr="0080538C">
        <w:t>Scikit</w:t>
      </w:r>
      <w:proofErr w:type="spellEnd"/>
      <w:r w:rsidRPr="0080538C">
        <w:t xml:space="preserve">-learn: Machine Learning in Python. </w:t>
      </w:r>
      <w:r w:rsidRPr="0080538C">
        <w:rPr>
          <w:i/>
        </w:rPr>
        <w:t>Journal of Machine Learning Research</w:t>
      </w:r>
      <w:r w:rsidRPr="0080538C">
        <w:t>, 12, 2825–2830.</w:t>
      </w:r>
    </w:p>
    <w:p w:rsidR="009655EE" w:rsidRDefault="009655EE"/>
    <w:sectPr w:rsidR="009655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000000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00000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00000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00000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000000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00000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00000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00000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000000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000000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0000011"/>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0000001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000000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000001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5EE"/>
    <w:rsid w:val="002747A7"/>
    <w:rsid w:val="002D47DC"/>
    <w:rsid w:val="009655EE"/>
    <w:rsid w:val="00E6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9BD8C-94F5-4AB5-9193-00CE4E6C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both"/>
    </w:pPr>
    <w:rPr>
      <w:sz w:val="21"/>
    </w:rPr>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link w:val="Heading2Char"/>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character" w:customStyle="1" w:styleId="Heading2Char">
    <w:name w:val="Heading 2 Char"/>
    <w:basedOn w:val="DefaultParagraphFont"/>
    <w:link w:val="Heading2"/>
    <w:rsid w:val="002747A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541113">
      <w:bodyDiv w:val="1"/>
      <w:marLeft w:val="0"/>
      <w:marRight w:val="0"/>
      <w:marTop w:val="0"/>
      <w:marBottom w:val="0"/>
      <w:divBdr>
        <w:top w:val="none" w:sz="0" w:space="0" w:color="auto"/>
        <w:left w:val="none" w:sz="0" w:space="0" w:color="auto"/>
        <w:bottom w:val="none" w:sz="0" w:space="0" w:color="auto"/>
        <w:right w:val="none" w:sz="0" w:space="0" w:color="auto"/>
      </w:divBdr>
    </w:div>
    <w:div w:id="1141846631">
      <w:bodyDiv w:val="1"/>
      <w:marLeft w:val="0"/>
      <w:marRight w:val="0"/>
      <w:marTop w:val="0"/>
      <w:marBottom w:val="0"/>
      <w:divBdr>
        <w:top w:val="none" w:sz="0" w:space="0" w:color="auto"/>
        <w:left w:val="none" w:sz="0" w:space="0" w:color="auto"/>
        <w:bottom w:val="none" w:sz="0" w:space="0" w:color="auto"/>
        <w:right w:val="none" w:sz="0" w:space="0" w:color="auto"/>
      </w:divBdr>
    </w:div>
    <w:div w:id="1410076536">
      <w:bodyDiv w:val="1"/>
      <w:marLeft w:val="0"/>
      <w:marRight w:val="0"/>
      <w:marTop w:val="0"/>
      <w:marBottom w:val="0"/>
      <w:divBdr>
        <w:top w:val="none" w:sz="0" w:space="0" w:color="auto"/>
        <w:left w:val="none" w:sz="0" w:space="0" w:color="auto"/>
        <w:bottom w:val="none" w:sz="0" w:space="0" w:color="auto"/>
        <w:right w:val="none" w:sz="0" w:space="0" w:color="auto"/>
      </w:divBdr>
    </w:div>
    <w:div w:id="1453012281">
      <w:bodyDiv w:val="1"/>
      <w:marLeft w:val="0"/>
      <w:marRight w:val="0"/>
      <w:marTop w:val="0"/>
      <w:marBottom w:val="0"/>
      <w:divBdr>
        <w:top w:val="none" w:sz="0" w:space="0" w:color="auto"/>
        <w:left w:val="none" w:sz="0" w:space="0" w:color="auto"/>
        <w:bottom w:val="none" w:sz="0" w:space="0" w:color="auto"/>
        <w:right w:val="none" w:sz="0" w:space="0" w:color="auto"/>
      </w:divBdr>
    </w:div>
    <w:div w:id="1827356696">
      <w:bodyDiv w:val="1"/>
      <w:marLeft w:val="0"/>
      <w:marRight w:val="0"/>
      <w:marTop w:val="0"/>
      <w:marBottom w:val="0"/>
      <w:divBdr>
        <w:top w:val="none" w:sz="0" w:space="0" w:color="auto"/>
        <w:left w:val="none" w:sz="0" w:space="0" w:color="auto"/>
        <w:bottom w:val="none" w:sz="0" w:space="0" w:color="auto"/>
        <w:right w:val="none" w:sz="0" w:space="0" w:color="auto"/>
      </w:divBdr>
    </w:div>
    <w:div w:id="1858420972">
      <w:bodyDiv w:val="1"/>
      <w:marLeft w:val="0"/>
      <w:marRight w:val="0"/>
      <w:marTop w:val="0"/>
      <w:marBottom w:val="0"/>
      <w:divBdr>
        <w:top w:val="none" w:sz="0" w:space="0" w:color="auto"/>
        <w:left w:val="none" w:sz="0" w:space="0" w:color="auto"/>
        <w:bottom w:val="none" w:sz="0" w:space="0" w:color="auto"/>
        <w:right w:val="none" w:sz="0" w:space="0" w:color="auto"/>
      </w:divBdr>
    </w:div>
    <w:div w:id="1903639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Lun17</b:Tag>
    <b:SourceType>Book</b:SourceType>
    <b:Guid>{1E6C7C7D-43A8-4085-9F81-CB128C1C74D9}</b:Guid>
    <b:Title>A Unified Approach to Interpret Models</b:Title>
    <b:Year>2017</b:Year>
    <b:Publisher>NeurlPS</b:Publisher>
    <b:Author>
      <b:Author>
        <b:NameList>
          <b:Person>
            <b:Last>Lundberg</b:Last>
            <b:First>S.</b:First>
            <b:Middle>M., &amp; Lee, S.-I.</b:Middle>
          </b:Person>
        </b:NameList>
      </b:Author>
    </b:Author>
    <b:RefOrder>2</b:RefOrder>
  </b:Source>
  <b:Source>
    <b:Tag>Ped11</b:Tag>
    <b:SourceType>JournalArticle</b:SourceType>
    <b:Guid>{332381BE-27C8-40D8-AEFF-2CC991E3E308}</b:Guid>
    <b:Title>Scikit-learn: Machine learning in Python.</b:Title>
    <b:Year>2011</b:Year>
    <b:Author>
      <b:Author>
        <b:NameList>
          <b:Person>
            <b:Last>Pedregosa</b:Last>
            <b:First>F.,</b:First>
            <b:Middle>et al.</b:Middle>
          </b:Person>
        </b:NameList>
      </b:Author>
    </b:Author>
    <b:JournalName>Machine Learning Research</b:JournalName>
    <b:Pages>2825-2830</b:Pages>
    <b:RefOrder>1</b:RefOrder>
  </b:Source>
</b:Sources>
</file>

<file path=customXml/itemProps1.xml><?xml version="1.0" encoding="utf-8"?>
<ds:datastoreItem xmlns:ds="http://schemas.openxmlformats.org/officeDocument/2006/customXml" ds:itemID="{D00F8633-A4AF-4220-870E-135686D8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USER</cp:lastModifiedBy>
  <cp:revision>3</cp:revision>
  <dcterms:created xsi:type="dcterms:W3CDTF">2025-03-21T23:40:00Z</dcterms:created>
  <dcterms:modified xsi:type="dcterms:W3CDTF">2025-03-24T16:48:00Z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87f9b7aefac0402c939b5b9eb3424261</vt:lpwstr>
  </property>
</Properties>
</file>