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Value Creation Plan 2026 – Anurag Agarwal</w:t>
      </w:r>
    </w:p>
    <w:p>
      <w:pPr>
        <w:spacing w:after="120"/>
      </w:pPr>
      <w:r>
        <w:t xml:space="preserve">R&amp;D Software QA, Keysight Technologies  |  Period: Nov 2025 – Oct 2026</w:t>
      </w:r>
    </w:p>
    <w:p>
      <w:pPr>
        <w:spacing w:after="120"/>
      </w:pPr>
      <w:r>
        <w:t xml:space="preserve">Draft prepared from sent and received mail (≈3,280 sent mails, 389 tasks, 28 appreciation mails). Please review, fill in Status, and edit before submitting.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500"/>
        <w:gridCol w:w="3300"/>
      </w:tblGrid>
      <w:tr>
        <w:tc>
          <w:tcPr>
            <w:tcW w:type="dxa" w:w="45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b/>
                <w:bCs/>
                <w:sz w:val="20"/>
                <w:szCs w:val="20"/>
              </w:rPr>
              <w:t xml:space="preserve">Objective</w:t>
            </w:r>
          </w:p>
        </w:tc>
        <w:tc>
          <w:tcPr>
            <w:tcW w:type="dxa" w:w="15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b/>
                <w:bCs/>
                <w:sz w:val="20"/>
                <w:szCs w:val="20"/>
              </w:rPr>
              <w:t xml:space="preserve">Status</w:t>
            </w:r>
          </w:p>
        </w:tc>
        <w:tc>
          <w:tcPr>
            <w:tcW w:type="dxa" w:w="33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b/>
                <w:bCs/>
                <w:sz w:val="20"/>
                <w:szCs w:val="20"/>
              </w:rPr>
              <w:t xml:space="preserve">Measure</w:t>
            </w:r>
          </w:p>
        </w:tc>
      </w:tr>
      <w:tr>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sz w:val="20"/>
                <w:szCs w:val="20"/>
              </w:rPr>
              <w:t xml:space="preserve">Customer success of KAI DCB (Cobalt), AresONE 1.6T/800GE, HyperTrex/INPT and Cables/Optics</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
            </w:r>
          </w:p>
        </w:tc>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Customer issues / questions response time</w:t>
            </w:r>
          </w:p>
        </w:tc>
      </w:tr>
    </w:tbl>
    <w:p/>
    <w:p>
      <w:pPr>
        <w:spacing w:after="120"/>
      </w:pPr>
      <w:r>
        <w:t xml:space="preserve">Throughout this year, I have actively engaged in critical issue reproduction, hotfix validation, onsite work and demos for customers such as </w:t>
      </w:r>
      <w:r>
        <w:rPr>
          <w:b/>
          <w:bCs/>
        </w:rPr>
        <w:t xml:space="preserve">Meta, CMRI (China Mobile), Broadcom, Cisco, NVIDIA, Apple, Arista, ZTE, Nokia, Oracle, Intel, Dell, Google and NSC Datacenter Labs</w:t>
      </w:r>
      <w:r>
        <w:t xml:space="preserve"> (133 customer tasks in total).</w:t>
      </w:r>
    </w:p>
    <w:p>
      <w:pPr>
        <w:pStyle w:val="ListParagraph"/>
        <w:numPr>
          <w:ilvl w:val="0"/>
          <w:numId w:val="2"/>
        </w:numPr>
        <w:spacing w:after="80"/>
      </w:pPr>
      <w:r>
        <w:rPr>
          <w:b/>
          <w:bCs/>
        </w:rPr>
        <w:t xml:space="preserve">Meta (33 tasks):</w:t>
      </w:r>
      <w:r>
        <w:t xml:space="preserve"> Debugged ARES800 + Eoptolink 800G gearbox BER issues with Meta, gave a live ARES 1.6T transceiver demo, fixed Troodon/Cobalt-on-HyperTrex blocking bugs ahead of the March and April Meta drops, and set up the Meta 1.6T Colab. Went </w:t>
      </w:r>
      <w:r>
        <w:rPr>
          <w:b/>
          <w:bCs/>
        </w:rPr>
        <w:t xml:space="preserve">onsite for the IRIS-HyperTrex bring-up</w:t>
      </w:r>
      <w:r>
        <w:t xml:space="preserve"> in May, ran the Meta release builds (release-jun26-mtia), brought up new ARES 1.6T / 800G chassis and resolved mode-switch, Amphenol AEC link-down, PFManager IPv6 and Metronome issues. Delivered a KCOS snapshot-fix build, VDM / post-FEC checker data for Meta’s SNR/BER request and DFE 2.0 qualification. The first AresONE 1600GE units shipped to Meta were recognised by Alok and Ram.</w:t>
      </w:r>
    </w:p>
    <w:p>
      <w:pPr>
        <w:pStyle w:val="ListParagraph"/>
        <w:numPr>
          <w:ilvl w:val="0"/>
          <w:numId w:val="2"/>
        </w:numPr>
        <w:spacing w:after="80"/>
      </w:pPr>
      <w:r>
        <w:rPr>
          <w:b/>
          <w:bCs/>
        </w:rPr>
        <w:t xml:space="preserve">CMRI / China Mobile (26 tasks):</w:t>
      </w:r>
      <w:r>
        <w:t xml:space="preserve"> Owned CMRI long-duration system tests on the PM lab across every release – 26.0, KAI DCB 2.2.x, DFE 2.0, Cobalt 2.15, MSCCL++ and the 26.2 October release – on AresONE-M 200G/400G and AresONE-800G, including </w:t>
      </w:r>
      <w:r>
        <w:rPr>
          <w:b/>
          <w:bCs/>
        </w:rPr>
        <w:t xml:space="preserve">64/128-port runs with chassis chain and Metronome</w:t>
      </w:r>
      <w:r>
        <w:t xml:space="preserve">. Latest run is stable for 104+ hours with barrier enabled. Unblocked the CMRI RoCE switch test project (expired DSE license) and logged workload-emulation and QP-stats defects (COBALT-11081, -11166, -11168, -11525, -11526, -13076).</w:t>
      </w:r>
    </w:p>
    <w:p>
      <w:pPr>
        <w:pStyle w:val="ListParagraph"/>
        <w:numPr>
          <w:ilvl w:val="0"/>
          <w:numId w:val="2"/>
        </w:numPr>
        <w:spacing w:after="80"/>
      </w:pPr>
      <w:r>
        <w:rPr>
          <w:b/>
          <w:bCs/>
        </w:rPr>
        <w:t xml:space="preserve">Broadcom (19 tasks):</w:t>
      </w:r>
      <w:r>
        <w:t xml:space="preserve"> Delivered the PFC compliance fix and PFC response-time hotfixes (kcos-inpt 1.1.44-HF1251, 1.1.45-HF1251 for 1.6T), demoed the PFC Response Time workflow GUI and LLR for 200G SerDes, and ran the </w:t>
      </w:r>
      <w:r>
        <w:rPr>
          <w:b/>
          <w:bCs/>
        </w:rPr>
        <w:t xml:space="preserve">onsite KAI DCB hybrid one-arm (SW+HW) POC</w:t>
      </w:r>
      <w:r>
        <w:t xml:space="preserve"> and Dual Hybrid NIC scale test at Broadcom. Wrote the PFC response-time 3-port TCL script for AresONE-M / INPT 1600G / Phoenix and supported the Alibaba-BRCM LLR CBFC test.</w:t>
      </w:r>
    </w:p>
    <w:p>
      <w:pPr>
        <w:pStyle w:val="ListParagraph"/>
        <w:numPr>
          <w:ilvl w:val="0"/>
          <w:numId w:val="2"/>
        </w:numPr>
        <w:spacing w:after="80"/>
      </w:pPr>
      <w:r>
        <w:rPr>
          <w:b/>
          <w:bCs/>
        </w:rPr>
        <w:t xml:space="preserve">Cisco (9 tasks):</w:t>
      </w:r>
      <w:r>
        <w:t xml:space="preserve"> Supported the Cisco 128-port PoC and DC QA hotsite, gave the ITS / ILT demo, and handled the Cisco escalation and SONiC AI/ML demo. </w:t>
      </w:r>
      <w:r>
        <w:rPr>
          <w:b/>
          <w:bCs/>
        </w:rPr>
        <w:t xml:space="preserve">Root-caused and fixed the long-cable chassis sync issue for the Cisco OCP demo</w:t>
      </w:r>
      <w:r>
        <w:t xml:space="preserve">, which included going back to the office at 10 PM to prepare Metronome setups. Leadership (Alok, Indranil, Ram) and peers sent appreciation mails for this.</w:t>
      </w:r>
    </w:p>
    <w:p>
      <w:pPr>
        <w:pStyle w:val="ListParagraph"/>
        <w:numPr>
          <w:ilvl w:val="0"/>
          <w:numId w:val="2"/>
        </w:numPr>
        <w:spacing w:after="80"/>
      </w:pPr>
      <w:r>
        <w:rPr>
          <w:b/>
          <w:bCs/>
        </w:rPr>
        <w:t xml:space="preserve">NVIDIA, Apple, Arista, ZTE and others:</w:t>
      </w:r>
      <w:r>
        <w:t xml:space="preserve"> Handled SERT 1600GE (IREX) traffic-loss cases and 26.6 beta qualification for NVIDIA, an AresONE-S deep-dive and troubleshooting for Apple, Arista 1.6T eval feedback and the IHS demo unit, ZTE failover/ReTx reproduction with private-FPGA verification, Nokia IXNETWORK-40958 patch testing, Oracle automation sessions, and support cases for Intel, Dell and Google.</w:t>
      </w:r>
    </w:p>
    <w:p>
      <w:pPr>
        <w:pStyle w:val="ListParagraph"/>
        <w:numPr>
          <w:ilvl w:val="0"/>
          <w:numId w:val="2"/>
        </w:numPr>
        <w:spacing w:after="80"/>
      </w:pPr>
      <w:r>
        <w:rPr>
          <w:b/>
          <w:bCs/>
        </w:rPr>
        <w:t xml:space="preserve">NSC Datacenter Labs:</w:t>
      </w:r>
      <w:r>
        <w:t xml:space="preserve"> Spent several hours in the customer lab showing how to identify faulty DAC cables and demoing RoCEv2. Amritam called this out, and the customer then asked for a quote for AresONE-S hardware.</w:t>
      </w:r>
    </w:p>
    <w:p>
      <w:pPr>
        <w:pStyle w:val="ListParagraph"/>
        <w:numPr>
          <w:ilvl w:val="0"/>
          <w:numId w:val="2"/>
        </w:numPr>
        <w:spacing w:after="80"/>
      </w:pPr>
      <w:r>
        <w:t xml:space="preserve">Gave presentations and demos to Volex (ITS on INPT 1.6T), ForgedFiber (400G AresONE L2-3), Optus (800GE QDD) and Synopsys, and supported F5 and Proferrus.</w:t>
      </w:r>
    </w:p>
    <w:p>
      <w:pPr>
        <w:pStyle w:val="ListParagraph"/>
        <w:numPr>
          <w:ilvl w:val="0"/>
          <w:numId w:val="2"/>
        </w:numPr>
        <w:spacing w:after="80"/>
      </w:pPr>
      <w:r>
        <w:t xml:space="preserve">Response time on customer issues was quick throughout, through email, Teams and onsite visits, and I escalated internally with full diagnostics when needed.</w:t>
      </w:r>
    </w:p>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500"/>
        <w:gridCol w:w="3300"/>
      </w:tblGrid>
      <w:tr>
        <w:tc>
          <w:tcPr>
            <w:tcW w:type="dxa" w:w="45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b/>
                <w:bCs/>
                <w:sz w:val="20"/>
                <w:szCs w:val="20"/>
              </w:rPr>
              <w:t xml:space="preserve">Objective</w:t>
            </w:r>
          </w:p>
        </w:tc>
        <w:tc>
          <w:tcPr>
            <w:tcW w:type="dxa" w:w="15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b/>
                <w:bCs/>
                <w:sz w:val="20"/>
                <w:szCs w:val="20"/>
              </w:rPr>
              <w:t xml:space="preserve">Status</w:t>
            </w:r>
          </w:p>
        </w:tc>
        <w:tc>
          <w:tcPr>
            <w:tcW w:type="dxa" w:w="33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b/>
                <w:bCs/>
                <w:sz w:val="20"/>
                <w:szCs w:val="20"/>
              </w:rPr>
              <w:t xml:space="preserve">Measure</w:t>
            </w:r>
          </w:p>
        </w:tc>
      </w:tr>
      <w:tr>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sz w:val="20"/>
                <w:szCs w:val="20"/>
              </w:rPr>
              <w:t xml:space="preserve">Testing and delivering good quality product</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
            </w:r>
          </w:p>
        </w:tc>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Testing and delivering good quality product</w:t>
            </w:r>
          </w:p>
        </w:tc>
      </w:tr>
    </w:tbl>
    <w:p/>
    <w:p>
      <w:pPr>
        <w:pStyle w:val="ListParagraph"/>
        <w:numPr>
          <w:ilvl w:val="0"/>
          <w:numId w:val="2"/>
        </w:numPr>
        <w:spacing w:after="80"/>
      </w:pPr>
      <w:r>
        <w:rPr>
          <w:b/>
          <w:bCs/>
        </w:rPr>
        <w:t xml:space="preserve">Release QA (85 tasks):</w:t>
      </w:r>
      <w:r>
        <w:t xml:space="preserve"> Qualified the INPT / Dromi / TRex / HyperTrex KCOS releases from Beta10/11 and INPT 1.0 through 1.2, and the IxOS / IxN </w:t>
      </w:r>
      <w:r>
        <w:rPr>
          <w:b/>
          <w:bCs/>
        </w:rPr>
        <w:t xml:space="preserve">26.0, 26.1 EA, 26.4, 26.5 and 26.6</w:t>
      </w:r>
      <w:r>
        <w:t xml:space="preserve"> releases, including RC and final builds, patch releases and the urgent 26.6 offline-install respin (26.6.100). Verified the 1.0 showstopper TREX-1248 and mode-switch / link-flap regressions, and ran 26.5 Gate4 / release-readiness.</w:t>
      </w:r>
    </w:p>
    <w:p>
      <w:pPr>
        <w:pStyle w:val="ListParagraph"/>
        <w:numPr>
          <w:ilvl w:val="0"/>
          <w:numId w:val="2"/>
        </w:numPr>
        <w:spacing w:after="80"/>
      </w:pPr>
      <w:r>
        <w:rPr>
          <w:b/>
          <w:bCs/>
        </w:rPr>
        <w:t xml:space="preserve">ITS (Interconnect Test System):</w:t>
      </w:r>
      <w:r>
        <w:t xml:space="preserve"> QA for the ITS 1.0, 1.2, 2.0, 26.4, 26.5 and 26.6 drops, covering playlist and UI usability, test-report changes and the ITS FEC report. Charles Seifert and Michelle Havard sent praise for the report.</w:t>
      </w:r>
    </w:p>
    <w:p>
      <w:pPr>
        <w:pStyle w:val="ListParagraph"/>
        <w:numPr>
          <w:ilvl w:val="0"/>
          <w:numId w:val="2"/>
        </w:numPr>
        <w:spacing w:after="80"/>
      </w:pPr>
      <w:r>
        <w:rPr>
          <w:b/>
          <w:bCs/>
        </w:rPr>
        <w:t xml:space="preserve">New features validated:</w:t>
      </w:r>
      <w:r>
        <w:t xml:space="preserve"> PFC Response Time IxExplorer wizard, FEC (KP4) error insertion, ILT on Stego/Irex, Grumpy Sr/Jr port adapters, 800G ZR coherent on INPT800GE, VDM UI, KCOS Chassis UI / SSO and IEEE P802.3dj SCD behaviour changes.</w:t>
      </w:r>
    </w:p>
    <w:p>
      <w:pPr>
        <w:pStyle w:val="ListParagraph"/>
        <w:numPr>
          <w:ilvl w:val="0"/>
          <w:numId w:val="2"/>
        </w:numPr>
        <w:spacing w:after="80"/>
      </w:pPr>
      <w:r>
        <w:rPr>
          <w:b/>
          <w:bCs/>
        </w:rPr>
        <w:t xml:space="preserve">System / long-run tests (42 tasks):</w:t>
      </w:r>
      <w:r>
        <w:t xml:space="preserve"> Cobalt / KAI DCB one-arm and dual one-arm qualification on Troodon, TRex, HyperTrex and AresONE 1600G; DFE 1.3 vs DFE 2.0 comparison; mixed AresONE-M + AresONE-1600 runs; 256-port AresONE-M 200G; P99 / P99.9 FCT and MCT validation; DCQCN findings; and Cobalt / RoCE on the Broadcom TH6 switch.</w:t>
      </w:r>
    </w:p>
    <w:p>
      <w:pPr>
        <w:pStyle w:val="ListParagraph"/>
        <w:numPr>
          <w:ilvl w:val="0"/>
          <w:numId w:val="2"/>
        </w:numPr>
        <w:spacing w:after="80"/>
      </w:pPr>
      <w:r>
        <w:rPr>
          <w:b/>
          <w:bCs/>
        </w:rPr>
        <w:t xml:space="preserve">Bug verification and debug (33 tasks):</w:t>
      </w:r>
      <w:r>
        <w:t xml:space="preserve"> Found and isolated critical issues such as HyperTrex seq / retransmit errors traced to an IxN build (COBALT-12310), Troodon link flap on traffic apply, Metronome latency calibration on Dromi (TREX-1511), Irex L1 bugs, BERT-mode issues and Cobalt ARP blockers.</w:t>
      </w:r>
    </w:p>
    <w:p>
      <w:pPr>
        <w:pStyle w:val="ListParagraph"/>
        <w:numPr>
          <w:ilvl w:val="0"/>
          <w:numId w:val="2"/>
        </w:numPr>
        <w:spacing w:after="80"/>
      </w:pPr>
      <w:r>
        <w:t xml:space="preserve">Accelerated the </w:t>
      </w:r>
      <w:r>
        <w:rPr>
          <w:b/>
          <w:bCs/>
        </w:rPr>
        <w:t xml:space="preserve">One Arm qualification for Cobalt + Troodon</w:t>
      </w:r>
      <w:r>
        <w:t xml:space="preserve"> with early-morning builds, late handovers and weekend long runs. Ashutosh Kumar sent a dedicated thank-you mail for this, and Indranil endorsed it.</w:t>
      </w:r>
    </w:p>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500"/>
        <w:gridCol w:w="3300"/>
      </w:tblGrid>
      <w:tr>
        <w:tc>
          <w:tcPr>
            <w:tcW w:type="dxa" w:w="45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b/>
                <w:bCs/>
                <w:sz w:val="20"/>
                <w:szCs w:val="20"/>
              </w:rPr>
              <w:t xml:space="preserve">Objective</w:t>
            </w:r>
          </w:p>
        </w:tc>
        <w:tc>
          <w:tcPr>
            <w:tcW w:type="dxa" w:w="15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b/>
                <w:bCs/>
                <w:sz w:val="20"/>
                <w:szCs w:val="20"/>
              </w:rPr>
              <w:t xml:space="preserve">Status</w:t>
            </w:r>
          </w:p>
        </w:tc>
        <w:tc>
          <w:tcPr>
            <w:tcW w:type="dxa" w:w="33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b/>
                <w:bCs/>
                <w:sz w:val="20"/>
                <w:szCs w:val="20"/>
              </w:rPr>
              <w:t xml:space="preserve">Measure</w:t>
            </w:r>
          </w:p>
        </w:tc>
      </w:tr>
      <w:tr>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sz w:val="20"/>
                <w:szCs w:val="20"/>
              </w:rPr>
              <w:t xml:space="preserve">End to end ownership of a product</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
            </w:r>
          </w:p>
        </w:tc>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End to end ownership of a product</w:t>
            </w:r>
          </w:p>
        </w:tc>
      </w:tr>
    </w:tbl>
    <w:p/>
    <w:p>
      <w:pPr>
        <w:pStyle w:val="ListParagraph"/>
        <w:numPr>
          <w:ilvl w:val="0"/>
          <w:numId w:val="2"/>
        </w:numPr>
        <w:spacing w:after="80"/>
      </w:pPr>
      <w:r>
        <w:t xml:space="preserve">Owned CMRI system testing end to end for KAI DCB (Cobalt) – setup, DSE / DFE / IxOS build combinations, long-duration runs, status reporting and defect follow-up – across all releases this year.</w:t>
      </w:r>
    </w:p>
    <w:p>
      <w:pPr>
        <w:pStyle w:val="ListParagraph"/>
        <w:numPr>
          <w:ilvl w:val="0"/>
          <w:numId w:val="2"/>
        </w:numPr>
        <w:spacing w:after="80"/>
      </w:pPr>
      <w:r>
        <w:t xml:space="preserve">Owned HyperTrex / INPT KCOS release qualification from beta to 26.6, including build verification, release notes inputs, offline upgrade docs and release-health tracking.</w:t>
      </w:r>
    </w:p>
    <w:p>
      <w:pPr>
        <w:pStyle w:val="ListParagraph"/>
        <w:numPr>
          <w:ilvl w:val="0"/>
          <w:numId w:val="2"/>
        </w:numPr>
        <w:spacing w:after="80"/>
      </w:pPr>
      <w:r>
        <w:t xml:space="preserve">Owned customer deliveries end to end: Meta IRIS bring-up (onsite), the Broadcom onsite POC, the Cisco OCP demo sync fix, and customer chassis and cable shipments.</w:t>
      </w:r>
    </w:p>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500"/>
        <w:gridCol w:w="3300"/>
      </w:tblGrid>
      <w:tr>
        <w:tc>
          <w:tcPr>
            <w:tcW w:type="dxa" w:w="45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b/>
                <w:bCs/>
                <w:sz w:val="20"/>
                <w:szCs w:val="20"/>
              </w:rPr>
              <w:t xml:space="preserve">Objective</w:t>
            </w:r>
          </w:p>
        </w:tc>
        <w:tc>
          <w:tcPr>
            <w:tcW w:type="dxa" w:w="15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b/>
                <w:bCs/>
                <w:sz w:val="20"/>
                <w:szCs w:val="20"/>
              </w:rPr>
              <w:t xml:space="preserve">Status</w:t>
            </w:r>
          </w:p>
        </w:tc>
        <w:tc>
          <w:tcPr>
            <w:tcW w:type="dxa" w:w="33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b/>
                <w:bCs/>
                <w:sz w:val="20"/>
                <w:szCs w:val="20"/>
              </w:rPr>
              <w:t xml:space="preserve">Measure</w:t>
            </w:r>
          </w:p>
        </w:tc>
      </w:tr>
      <w:tr>
        <w:tc>
          <w:tcPr>
            <w:tcW w:type="dxa" w:w="45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bCs/>
                <w:sz w:val="20"/>
                <w:szCs w:val="20"/>
              </w:rPr>
              <w:t xml:space="preserve">Cross functional Activities</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
            </w:r>
          </w:p>
        </w:tc>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b w:val="false"/>
                <w:bCs w:val="false"/>
                <w:sz w:val="20"/>
                <w:szCs w:val="20"/>
              </w:rPr>
              <w:t xml:space="preserve">Cross functional Activities</w:t>
            </w:r>
          </w:p>
        </w:tc>
      </w:tr>
    </w:tbl>
    <w:p/>
    <w:p>
      <w:pPr>
        <w:pStyle w:val="ListParagraph"/>
        <w:numPr>
          <w:ilvl w:val="0"/>
          <w:numId w:val="2"/>
        </w:numPr>
        <w:spacing w:after="80"/>
      </w:pPr>
      <w:r>
        <w:t xml:space="preserve">Worked closely with the IxOS, IxNetwork, KCOS, FPGA, DSE / DFE (Cobalt), Troodon, ITS, PM, Support and Sales teams, giving real HyperTrex units, logs and diagnostics to dev teams to speed up fixes.</w:t>
      </w:r>
    </w:p>
    <w:p>
      <w:pPr>
        <w:pStyle w:val="ListParagraph"/>
        <w:numPr>
          <w:ilvl w:val="0"/>
          <w:numId w:val="2"/>
        </w:numPr>
        <w:spacing w:after="80"/>
      </w:pPr>
      <w:r>
        <w:rPr>
          <w:b/>
          <w:bCs/>
        </w:rPr>
        <w:t xml:space="preserve">Lab and hardware (44 tasks):</w:t>
      </w:r>
      <w:r>
        <w:t xml:space="preserve"> Brought up and shared HyperTrex, Dromi, AresONE and Stego setups; managed the license server, cable and optics qualification, and loaner and Metronome returns; set up the Broadcom TH6 switch; and handled SONiC configuration for AresONE-M 64 × 100G.</w:t>
      </w:r>
    </w:p>
    <w:p>
      <w:pPr>
        <w:pStyle w:val="ListParagraph"/>
        <w:numPr>
          <w:ilvl w:val="0"/>
          <w:numId w:val="2"/>
        </w:numPr>
        <w:spacing w:after="80"/>
      </w:pPr>
      <w:r>
        <w:rPr>
          <w:b/>
          <w:bCs/>
        </w:rPr>
        <w:t xml:space="preserve">Industry events:</w:t>
      </w:r>
      <w:r>
        <w:t xml:space="preserve"> EA@OFC26 AI demo connections and topology, the EA plugfest / ECOC26 hot-stage setup, and chassis sync over 50+ m and the Metronome cable shipment for the OCP Summit demo.</w:t>
      </w:r>
    </w:p>
    <w:p>
      <w:pPr>
        <w:pStyle w:val="ListParagraph"/>
        <w:numPr>
          <w:ilvl w:val="0"/>
          <w:numId w:val="2"/>
        </w:numPr>
        <w:spacing w:after="80"/>
      </w:pPr>
      <w:r>
        <w:t xml:space="preserve">Supported release activities across IxOS / IxN / KCOS, such as QA drop mails, build requests, spec discussions and download-link checks.</w:t>
      </w:r>
    </w:p>
    <w:p/>
    <w:p/>
    <w:p>
      <w:pPr>
        <w:spacing w:after="120"/>
      </w:pPr>
      <w:r>
        <w:rPr>
          <w:b/>
          <w:bCs/>
        </w:rPr>
        <w:t xml:space="preserve">Team building activities and helping others</w:t>
      </w:r>
    </w:p>
    <w:p>
      <w:pPr>
        <w:pStyle w:val="ListParagraph"/>
        <w:numPr>
          <w:ilvl w:val="0"/>
          <w:numId w:val="2"/>
        </w:numPr>
        <w:spacing w:after="80"/>
      </w:pPr>
      <w:r>
        <w:t xml:space="preserve">Gave the </w:t>
      </w:r>
      <w:r>
        <w:rPr>
          <w:b/>
          <w:bCs/>
        </w:rPr>
        <w:t xml:space="preserve">KAI Data Center Builder TOI to Korean SEs</w:t>
      </w:r>
      <w:r>
        <w:t xml:space="preserve"> and the </w:t>
      </w:r>
      <w:r>
        <w:rPr>
          <w:b/>
          <w:bCs/>
        </w:rPr>
        <w:t xml:space="preserve">26.5 TOI to Customer Support</w:t>
      </w:r>
      <w:r>
        <w:t xml:space="preserve">.</w:t>
      </w:r>
    </w:p>
    <w:p>
      <w:pPr>
        <w:pStyle w:val="ListParagraph"/>
        <w:numPr>
          <w:ilvl w:val="0"/>
          <w:numId w:val="2"/>
        </w:numPr>
        <w:spacing w:after="80"/>
      </w:pPr>
      <w:r>
        <w:t xml:space="preserve">Mentored interns: supported Kirthi Paramasivan and handed over ITS automation to her, and supported the “Modernize Trex Web Status Page” internship demo and the Calabasas intern showcase.</w:t>
      </w:r>
    </w:p>
    <w:p>
      <w:pPr>
        <w:pStyle w:val="ListParagraph"/>
        <w:numPr>
          <w:ilvl w:val="0"/>
          <w:numId w:val="2"/>
        </w:numPr>
        <w:spacing w:after="80"/>
      </w:pPr>
      <w:r>
        <w:t xml:space="preserve">Answered questions from devs, PMs and SEs; shared scripts and how-tos (TCL script for optimal Rx tap settings, snapshot instructions, TCL server logging); and helped triage vendor module and optics issues.</w:t>
      </w:r>
    </w:p>
    <w:p>
      <w:pPr>
        <w:pStyle w:val="ListParagraph"/>
        <w:numPr>
          <w:ilvl w:val="0"/>
          <w:numId w:val="2"/>
        </w:numPr>
        <w:spacing w:after="80"/>
      </w:pPr>
      <w:r>
        <w:t xml:space="preserve">Proposed new L1 debug stats and a KCOS restart feature, and gave feedback on the Limited Capture and RoCEv2 features.</w:t>
      </w:r>
    </w:p>
    <w:p/>
    <w:p/>
    <w:p>
      <w:pPr>
        <w:spacing w:after="120"/>
      </w:pPr>
      <w:r>
        <w:rPr>
          <w:b/>
          <w:bCs/>
        </w:rPr>
        <w:t xml:space="preserve">Area of improvement</w:t>
      </w:r>
      <w:r>
        <w:t xml:space="preserve">  (suggested – please edit)</w:t>
      </w:r>
    </w:p>
    <w:p>
      <w:pPr>
        <w:pStyle w:val="ListParagraph"/>
        <w:numPr>
          <w:ilvl w:val="0"/>
          <w:numId w:val="2"/>
        </w:numPr>
        <w:spacing w:after="80"/>
      </w:pPr>
      <w:r>
        <w:t xml:space="preserve">Deeper expertise in AI/ML collective algorithms (MSCCL++, all-reduce / all-to-all) and RoCEv2 congestion control (DCQCN).</w:t>
      </w:r>
    </w:p>
    <w:p>
      <w:pPr>
        <w:pStyle w:val="ListParagraph"/>
        <w:numPr>
          <w:ilvl w:val="0"/>
          <w:numId w:val="2"/>
        </w:numPr>
        <w:spacing w:after="80"/>
      </w:pPr>
      <w:r>
        <w:t xml:space="preserve">More test automation for long-duration and one-arm runs to reduce manual effort.</w:t>
      </w:r>
    </w:p>
    <w:p>
      <w:pPr>
        <w:pStyle w:val="ListParagraph"/>
        <w:numPr>
          <w:ilvl w:val="0"/>
          <w:numId w:val="2"/>
        </w:numPr>
        <w:spacing w:after="80"/>
      </w:pPr>
      <w:r>
        <w:t xml:space="preserve">Python programming.</w:t>
      </w:r>
    </w:p>
    <w:p/>
    <w:p/>
    <w:p>
      <w:pPr>
        <w:spacing w:after="120"/>
      </w:pPr>
      <w:r>
        <w:rPr>
          <w:b/>
          <w:bCs/>
        </w:rPr>
        <w:t xml:space="preserve">Summary</w:t>
      </w:r>
    </w:p>
    <w:p>
      <w:pPr>
        <w:pStyle w:val="ListParagraph"/>
        <w:numPr>
          <w:ilvl w:val="0"/>
          <w:numId w:val="2"/>
        </w:numPr>
        <w:spacing w:after="80"/>
      </w:pPr>
      <w:r>
        <w:t xml:space="preserve">This year I worked directly with customers more than ever before, including onsite at Meta, Broadcom and NSC. The most important outcomes were the Meta IRIS bring-up and the first AresONE 1600GE deliveries to Meta, the Broadcom onsite POC, the Cisco OCP demo sync fix, the NSC visit that led to an AresONE-S quote request, and stable long-duration CMRI runs for China Mobile across every KAI DCB release.</w:t>
      </w:r>
    </w:p>
    <w:p>
      <w:pPr>
        <w:pStyle w:val="ListParagraph"/>
        <w:numPr>
          <w:ilvl w:val="0"/>
          <w:numId w:val="2"/>
        </w:numPr>
        <w:spacing w:after="80"/>
      </w:pPr>
      <w:r>
        <w:t xml:space="preserve">In parallel, I qualified the 26.0 – 26.6 IxOS / IxN / KCOS and ITS releases, and found and drove fixes for critical issues in Cobalt, Troodon, HyperTrex and L1.</w:t>
      </w:r>
    </w:p>
    <w:p>
      <w:pPr>
        <w:pStyle w:val="ListParagraph"/>
        <w:numPr>
          <w:ilvl w:val="0"/>
          <w:numId w:val="2"/>
        </w:numPr>
        <w:spacing w:after="80"/>
      </w:pPr>
      <w:r>
        <w:t xml:space="preserve">I received 28 appreciation mails from leadership and peers this year. They cover the Cisco OCP demo, the NSC customer visit, One Arm qualification, the ITS FEC report and the Meta deliveries.</w:t>
      </w:r>
    </w:p>
    <w:p>
      <w:pPr>
        <w:pStyle w:val="ListParagraph"/>
        <w:numPr>
          <w:ilvl w:val="0"/>
          <w:numId w:val="2"/>
        </w:numPr>
        <w:spacing w:after="80"/>
      </w:pPr>
      <w:r>
        <w:t xml:space="preserve">I always try to go above and beyond my job duties, learn something new and keep full focus on customer success.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outlineLvl w:val="0"/>
    </w:pPr>
    <w:rPr>
      <w:b/>
      <w:bCs/>
      <w:color w:val="1F3864"/>
      <w:sz w:val="32"/>
      <w:szCs w:val="32"/>
    </w:rPr>
  </w:style>
  <w:style w:type="paragraph" w:styleId="Heading2">
    <w:name w:val="Heading 2"/>
    <w:basedOn w:val="Normal"/>
    <w:next w:val="Normal"/>
    <w:qFormat/>
    <w:pPr>
      <w:spacing w:after="0" w:before="200"/>
      <w:outlineLvl w:val="1"/>
    </w:pPr>
    <w:rPr>
      <w:sz w:val="4"/>
      <w:szCs w:val="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2026-10-30T02:58:08.216Z</dcterms:created>
  <dcterms:modified xsi:type="dcterms:W3CDTF">2026-10-30T02:58:08.224Z</dcterms:modified>
</cp:coreProperties>
</file>

<file path=docProps/custom.xml><?xml version="1.0" encoding="utf-8"?>
<Properties xmlns="http://schemas.openxmlformats.org/officeDocument/2006/custom-properties" xmlns:vt="http://schemas.openxmlformats.org/officeDocument/2006/docPropsVTypes"/>
</file>