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9E965" w14:textId="77777777" w:rsidR="003E4F7F" w:rsidRDefault="00000000">
      <w:pPr>
        <w:spacing w:after="60"/>
        <w:jc w:val="center"/>
      </w:pPr>
      <w:r>
        <w:rPr>
          <w:b/>
          <w:bCs/>
          <w:color w:val="1F3864"/>
          <w:sz w:val="36"/>
          <w:szCs w:val="36"/>
        </w:rPr>
        <w:t>Meridian Retail Group</w:t>
      </w:r>
    </w:p>
    <w:p w14:paraId="406BBBFB" w14:textId="77777777" w:rsidR="003E4F7F" w:rsidRDefault="00000000">
      <w:pPr>
        <w:spacing w:after="240"/>
        <w:jc w:val="center"/>
      </w:pPr>
      <w:r>
        <w:rPr>
          <w:b/>
          <w:bCs/>
          <w:color w:val="1F3864"/>
          <w:sz w:val="24"/>
          <w:szCs w:val="24"/>
        </w:rPr>
        <w:t>Third-Party Vendor Risk Assessment: Project Overview</w:t>
      </w:r>
    </w:p>
    <w:p w14:paraId="0017626E" w14:textId="77777777" w:rsidR="003E4F7F" w:rsidRDefault="00000000" w:rsidP="00CD56B6">
      <w:pPr>
        <w:spacing w:before="240" w:after="120"/>
        <w:jc w:val="both"/>
      </w:pPr>
      <w:r>
        <w:rPr>
          <w:b/>
          <w:bCs/>
          <w:color w:val="1F3864"/>
          <w:sz w:val="26"/>
          <w:szCs w:val="26"/>
        </w:rPr>
        <w:t>Business Scenario</w:t>
      </w:r>
    </w:p>
    <w:p w14:paraId="1C27CC10" w14:textId="77777777" w:rsidR="003E4F7F" w:rsidRDefault="00000000" w:rsidP="00CD56B6">
      <w:pPr>
        <w:spacing w:after="160"/>
        <w:jc w:val="both"/>
      </w:pPr>
      <w:r>
        <w:rPr>
          <w:color w:val="333333"/>
          <w:sz w:val="21"/>
          <w:szCs w:val="21"/>
        </w:rPr>
        <w:t>Meridian Retail Group is a mid-size e-commerce retailer that has expanded its vendor ecosystem over the past three years to support growth, including a payment processor, a cloud infrastructure host, an AI-powered customer support platform, a marketing analytics provider, a payroll processor, and a shipping/logistics API. As part of its annual third-party risk management cycle, Meridian's GRC function conducted a vendor risk assessment to evaluate each vendor's data access, security posture, and control maturity.</w:t>
      </w:r>
    </w:p>
    <w:p w14:paraId="3DCC3AD6" w14:textId="77777777" w:rsidR="003E4F7F" w:rsidRDefault="00000000" w:rsidP="00CD56B6">
      <w:pPr>
        <w:spacing w:before="240" w:after="120"/>
        <w:jc w:val="both"/>
      </w:pPr>
      <w:r>
        <w:rPr>
          <w:b/>
          <w:bCs/>
          <w:color w:val="1F3864"/>
          <w:sz w:val="26"/>
          <w:szCs w:val="26"/>
        </w:rPr>
        <w:t>Objectives</w:t>
      </w:r>
    </w:p>
    <w:p w14:paraId="5EF9ED9F" w14:textId="77777777" w:rsidR="003E4F7F" w:rsidRDefault="00000000" w:rsidP="00CD56B6">
      <w:pPr>
        <w:pStyle w:val="ListParagraph"/>
        <w:numPr>
          <w:ilvl w:val="0"/>
          <w:numId w:val="2"/>
        </w:numPr>
        <w:spacing w:after="80"/>
        <w:jc w:val="both"/>
      </w:pPr>
      <w:r>
        <w:rPr>
          <w:color w:val="333333"/>
          <w:sz w:val="21"/>
          <w:szCs w:val="21"/>
        </w:rPr>
        <w:t>Inventory all active third-party vendors with access to Meridian systems or data</w:t>
      </w:r>
    </w:p>
    <w:p w14:paraId="351DCA59" w14:textId="77777777" w:rsidR="003E4F7F" w:rsidRDefault="00000000" w:rsidP="00CD56B6">
      <w:pPr>
        <w:pStyle w:val="ListParagraph"/>
        <w:numPr>
          <w:ilvl w:val="0"/>
          <w:numId w:val="2"/>
        </w:numPr>
        <w:spacing w:after="80"/>
        <w:jc w:val="both"/>
      </w:pPr>
      <w:r>
        <w:rPr>
          <w:color w:val="333333"/>
          <w:sz w:val="21"/>
          <w:szCs w:val="21"/>
        </w:rPr>
        <w:t>Score each vendor's risk using a consistent Likelihood x Impact methodology</w:t>
      </w:r>
    </w:p>
    <w:p w14:paraId="52E88D26" w14:textId="77777777" w:rsidR="003E4F7F" w:rsidRDefault="00000000" w:rsidP="00CD56B6">
      <w:pPr>
        <w:pStyle w:val="ListParagraph"/>
        <w:numPr>
          <w:ilvl w:val="0"/>
          <w:numId w:val="2"/>
        </w:numPr>
        <w:spacing w:after="80"/>
        <w:jc w:val="both"/>
      </w:pPr>
      <w:r>
        <w:rPr>
          <w:color w:val="333333"/>
          <w:sz w:val="21"/>
          <w:szCs w:val="21"/>
        </w:rPr>
        <w:t>Identify control gaps and prioritize remediation for Critical- and High-risk vendors</w:t>
      </w:r>
    </w:p>
    <w:p w14:paraId="3E7BDC52" w14:textId="77777777" w:rsidR="003E4F7F" w:rsidRDefault="00000000" w:rsidP="00CD56B6">
      <w:pPr>
        <w:pStyle w:val="ListParagraph"/>
        <w:numPr>
          <w:ilvl w:val="0"/>
          <w:numId w:val="2"/>
        </w:numPr>
        <w:spacing w:after="80"/>
        <w:jc w:val="both"/>
      </w:pPr>
      <w:r>
        <w:rPr>
          <w:color w:val="333333"/>
          <w:sz w:val="21"/>
          <w:szCs w:val="21"/>
        </w:rPr>
        <w:t>Produce an executive-level report supporting risk-based renewal and treatment decisions</w:t>
      </w:r>
    </w:p>
    <w:p w14:paraId="30C016BF" w14:textId="77777777" w:rsidR="003E4F7F" w:rsidRDefault="00000000" w:rsidP="00CD56B6">
      <w:pPr>
        <w:spacing w:before="240" w:after="120"/>
        <w:jc w:val="both"/>
      </w:pPr>
      <w:r>
        <w:rPr>
          <w:b/>
          <w:bCs/>
          <w:color w:val="1F3864"/>
          <w:sz w:val="26"/>
          <w:szCs w:val="26"/>
        </w:rPr>
        <w:t>Methodology Summary</w:t>
      </w:r>
    </w:p>
    <w:p w14:paraId="543578E0" w14:textId="77777777" w:rsidR="003E4F7F" w:rsidRDefault="00000000" w:rsidP="00CD56B6">
      <w:pPr>
        <w:spacing w:after="160"/>
        <w:jc w:val="both"/>
      </w:pPr>
      <w:r>
        <w:rPr>
          <w:color w:val="333333"/>
          <w:sz w:val="21"/>
          <w:szCs w:val="21"/>
        </w:rPr>
        <w:t>Each vendor was evaluated against the sensitivity of data it can access and its level of system access, combined with evidence of its security controls (SOC 2 reports, completed security questionnaires, and industry certifications). Risk Score = Likelihood x Impact (1-25 scale), tiered as Critical (15-25), High (9-14), Medium (4-8), or Low (1-3), consistent with NIST SP 800-30 risk assessment guidance. Risk is calculated at two points: Inherent Risk (before controls) and Residual Risk (after existing vendor controls are factored in).</w:t>
      </w:r>
    </w:p>
    <w:p w14:paraId="226AFAE6" w14:textId="77777777" w:rsidR="003E4F7F" w:rsidRDefault="00000000" w:rsidP="00CD56B6">
      <w:pPr>
        <w:spacing w:before="240" w:after="120"/>
        <w:jc w:val="both"/>
      </w:pPr>
      <w:r>
        <w:rPr>
          <w:b/>
          <w:bCs/>
          <w:color w:val="1F3864"/>
          <w:sz w:val="26"/>
          <w:szCs w:val="26"/>
        </w:rPr>
        <w:t>Frameworks Referenced</w:t>
      </w:r>
    </w:p>
    <w:p w14:paraId="7D281501" w14:textId="77777777" w:rsidR="003E4F7F" w:rsidRDefault="00000000" w:rsidP="00CD56B6">
      <w:pPr>
        <w:spacing w:after="160"/>
        <w:jc w:val="both"/>
      </w:pPr>
      <w:r>
        <w:rPr>
          <w:color w:val="333333"/>
          <w:sz w:val="21"/>
          <w:szCs w:val="21"/>
        </w:rPr>
        <w:t xml:space="preserve">NIST SP 800-161 (Cyber Supply Chain Risk </w:t>
      </w:r>
      <w:proofErr w:type="gramStart"/>
      <w:r>
        <w:rPr>
          <w:color w:val="333333"/>
          <w:sz w:val="21"/>
          <w:szCs w:val="21"/>
        </w:rPr>
        <w:t>Management)  |</w:t>
      </w:r>
      <w:proofErr w:type="gramEnd"/>
      <w:r>
        <w:rPr>
          <w:color w:val="333333"/>
          <w:sz w:val="21"/>
          <w:szCs w:val="21"/>
        </w:rPr>
        <w:t xml:space="preserve">  ISO/IEC 27001:2022 Annex A.15 (Supplier </w:t>
      </w:r>
      <w:proofErr w:type="gramStart"/>
      <w:r>
        <w:rPr>
          <w:color w:val="333333"/>
          <w:sz w:val="21"/>
          <w:szCs w:val="21"/>
        </w:rPr>
        <w:t>Relationships)  |</w:t>
      </w:r>
      <w:proofErr w:type="gramEnd"/>
      <w:r>
        <w:rPr>
          <w:color w:val="333333"/>
          <w:sz w:val="21"/>
          <w:szCs w:val="21"/>
        </w:rPr>
        <w:t xml:space="preserve">  NIST CSF 2.0 (ID.SC, Supply Chain Risk </w:t>
      </w:r>
      <w:proofErr w:type="gramStart"/>
      <w:r>
        <w:rPr>
          <w:color w:val="333333"/>
          <w:sz w:val="21"/>
          <w:szCs w:val="21"/>
        </w:rPr>
        <w:t>Management)  |</w:t>
      </w:r>
      <w:proofErr w:type="gramEnd"/>
      <w:r>
        <w:rPr>
          <w:color w:val="333333"/>
          <w:sz w:val="21"/>
          <w:szCs w:val="21"/>
        </w:rPr>
        <w:t xml:space="preserve">  SOC 2 (vendor / subservice organization review)</w:t>
      </w:r>
    </w:p>
    <w:p w14:paraId="05BAC433" w14:textId="77777777" w:rsidR="003E4F7F" w:rsidRDefault="00000000" w:rsidP="00CD56B6">
      <w:pPr>
        <w:spacing w:before="240" w:after="120"/>
        <w:jc w:val="both"/>
      </w:pPr>
      <w:r>
        <w:rPr>
          <w:b/>
          <w:bCs/>
          <w:color w:val="1F3864"/>
          <w:sz w:val="26"/>
          <w:szCs w:val="26"/>
        </w:rPr>
        <w:t>Deliverables</w:t>
      </w:r>
    </w:p>
    <w:p w14:paraId="69057D2A" w14:textId="77777777" w:rsidR="003E4F7F" w:rsidRDefault="00000000" w:rsidP="00CD56B6">
      <w:pPr>
        <w:pStyle w:val="ListParagraph"/>
        <w:numPr>
          <w:ilvl w:val="0"/>
          <w:numId w:val="2"/>
        </w:numPr>
        <w:spacing w:after="80"/>
        <w:jc w:val="both"/>
      </w:pPr>
      <w:r>
        <w:rPr>
          <w:color w:val="333333"/>
          <w:sz w:val="21"/>
          <w:szCs w:val="21"/>
        </w:rPr>
        <w:t>Vendor Inventory: full list of in-scope third parties and their data access</w:t>
      </w:r>
    </w:p>
    <w:p w14:paraId="129FADA5" w14:textId="77777777" w:rsidR="003E4F7F" w:rsidRDefault="00000000" w:rsidP="00CD56B6">
      <w:pPr>
        <w:pStyle w:val="ListParagraph"/>
        <w:numPr>
          <w:ilvl w:val="0"/>
          <w:numId w:val="2"/>
        </w:numPr>
        <w:spacing w:after="80"/>
        <w:jc w:val="both"/>
      </w:pPr>
      <w:r>
        <w:rPr>
          <w:color w:val="333333"/>
          <w:sz w:val="21"/>
          <w:szCs w:val="21"/>
        </w:rPr>
        <w:t>Vendor Risk Register: per-vendor findings, control gaps, and risk scores (inherent and residual)</w:t>
      </w:r>
    </w:p>
    <w:p w14:paraId="12D55050" w14:textId="77777777" w:rsidR="003E4F7F" w:rsidRDefault="00000000" w:rsidP="00CD56B6">
      <w:pPr>
        <w:pStyle w:val="ListParagraph"/>
        <w:numPr>
          <w:ilvl w:val="0"/>
          <w:numId w:val="2"/>
        </w:numPr>
        <w:spacing w:after="80"/>
        <w:jc w:val="both"/>
      </w:pPr>
      <w:r>
        <w:rPr>
          <w:color w:val="333333"/>
          <w:sz w:val="21"/>
          <w:szCs w:val="21"/>
        </w:rPr>
        <w:t>Risk Treatment Plan: remediation actions, owners, and target dates</w:t>
      </w:r>
    </w:p>
    <w:p w14:paraId="1C76B779" w14:textId="77777777" w:rsidR="003E4F7F" w:rsidRDefault="00000000" w:rsidP="00CD56B6">
      <w:pPr>
        <w:pStyle w:val="ListParagraph"/>
        <w:numPr>
          <w:ilvl w:val="0"/>
          <w:numId w:val="2"/>
        </w:numPr>
        <w:spacing w:after="80"/>
        <w:jc w:val="both"/>
      </w:pPr>
      <w:r>
        <w:rPr>
          <w:color w:val="333333"/>
          <w:sz w:val="21"/>
          <w:szCs w:val="21"/>
        </w:rPr>
        <w:t>Executive Summary: risk distribution, key observations, and recommendations</w:t>
      </w:r>
    </w:p>
    <w:p w14:paraId="11696F75" w14:textId="77777777" w:rsidR="003E4F7F" w:rsidRDefault="00000000" w:rsidP="00CD56B6">
      <w:pPr>
        <w:spacing w:before="240" w:after="120"/>
        <w:jc w:val="both"/>
      </w:pPr>
      <w:r>
        <w:rPr>
          <w:b/>
          <w:bCs/>
          <w:color w:val="1F3864"/>
          <w:sz w:val="26"/>
          <w:szCs w:val="26"/>
        </w:rPr>
        <w:t>Portfolio Disclaimer</w:t>
      </w:r>
    </w:p>
    <w:p w14:paraId="14E58E75" w14:textId="77777777" w:rsidR="003E4F7F" w:rsidRDefault="00000000" w:rsidP="00CD56B6">
      <w:pPr>
        <w:spacing w:after="160"/>
        <w:jc w:val="both"/>
      </w:pPr>
      <w:r>
        <w:rPr>
          <w:color w:val="333333"/>
          <w:sz w:val="21"/>
          <w:szCs w:val="21"/>
        </w:rPr>
        <w:t>This project is a fictional portfolio simulation created for educational and professional demonstration purposes. No real organization, customer data, or confidential business information was used. The assessment is based on publicly available industry frameworks and best practices.</w:t>
      </w:r>
    </w:p>
    <w:p w14:paraId="4596E5C3" w14:textId="77777777" w:rsidR="003E4F7F" w:rsidRDefault="00000000" w:rsidP="00CD56B6">
      <w:pPr>
        <w:spacing w:before="240" w:after="120"/>
        <w:jc w:val="both"/>
      </w:pPr>
      <w:r>
        <w:rPr>
          <w:b/>
          <w:bCs/>
          <w:color w:val="1F3864"/>
          <w:sz w:val="26"/>
          <w:szCs w:val="26"/>
        </w:rPr>
        <w:t>Project Repository</w:t>
      </w:r>
    </w:p>
    <w:p w14:paraId="48F939B7" w14:textId="77777777" w:rsidR="003E4F7F" w:rsidRDefault="00000000" w:rsidP="00CD56B6">
      <w:pPr>
        <w:spacing w:after="60"/>
        <w:jc w:val="both"/>
      </w:pPr>
      <w:r>
        <w:rPr>
          <w:color w:val="333333"/>
          <w:sz w:val="21"/>
          <w:szCs w:val="21"/>
        </w:rPr>
        <w:t>The complete project, including the Vendor Risk Assessment workbook, supporting documentation, and project files, is available on GitHub:</w:t>
      </w:r>
    </w:p>
    <w:p w14:paraId="1C27ED16" w14:textId="77777777" w:rsidR="003E4F7F" w:rsidRDefault="00000000" w:rsidP="00CD56B6">
      <w:pPr>
        <w:jc w:val="both"/>
      </w:pPr>
      <w:hyperlink r:id="rId5" w:history="1">
        <w:r>
          <w:rPr>
            <w:color w:val="0563C1"/>
            <w:sz w:val="21"/>
            <w:szCs w:val="21"/>
            <w:u w:val="single"/>
          </w:rPr>
          <w:t>github.com/anualabi4767/vendor-risk-assessment</w:t>
        </w:r>
      </w:hyperlink>
    </w:p>
    <w:sectPr w:rsidR="003E4F7F">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F1227"/>
    <w:multiLevelType w:val="hybridMultilevel"/>
    <w:tmpl w:val="2B140DBC"/>
    <w:lvl w:ilvl="0" w:tplc="6A107CA0">
      <w:start w:val="1"/>
      <w:numFmt w:val="bullet"/>
      <w:lvlText w:val="•"/>
      <w:lvlJc w:val="left"/>
    </w:lvl>
    <w:lvl w:ilvl="1" w:tplc="83FCD456">
      <w:numFmt w:val="decimal"/>
      <w:lvlText w:val=""/>
      <w:lvlJc w:val="left"/>
    </w:lvl>
    <w:lvl w:ilvl="2" w:tplc="6FAC7E90">
      <w:numFmt w:val="decimal"/>
      <w:lvlText w:val=""/>
      <w:lvlJc w:val="left"/>
    </w:lvl>
    <w:lvl w:ilvl="3" w:tplc="DE76DD38">
      <w:numFmt w:val="decimal"/>
      <w:lvlText w:val=""/>
      <w:lvlJc w:val="left"/>
    </w:lvl>
    <w:lvl w:ilvl="4" w:tplc="6F044E3C">
      <w:numFmt w:val="decimal"/>
      <w:lvlText w:val=""/>
      <w:lvlJc w:val="left"/>
    </w:lvl>
    <w:lvl w:ilvl="5" w:tplc="E7CE6FFA">
      <w:numFmt w:val="decimal"/>
      <w:lvlText w:val=""/>
      <w:lvlJc w:val="left"/>
    </w:lvl>
    <w:lvl w:ilvl="6" w:tplc="601A314C">
      <w:numFmt w:val="decimal"/>
      <w:lvlText w:val=""/>
      <w:lvlJc w:val="left"/>
    </w:lvl>
    <w:lvl w:ilvl="7" w:tplc="ADB20BCC">
      <w:numFmt w:val="decimal"/>
      <w:lvlText w:val=""/>
      <w:lvlJc w:val="left"/>
    </w:lvl>
    <w:lvl w:ilvl="8" w:tplc="E75A0AA4">
      <w:numFmt w:val="decimal"/>
      <w:lvlText w:val=""/>
      <w:lvlJc w:val="left"/>
    </w:lvl>
  </w:abstractNum>
  <w:abstractNum w:abstractNumId="1" w15:restartNumberingAfterBreak="0">
    <w:nsid w:val="3B5F619C"/>
    <w:multiLevelType w:val="hybridMultilevel"/>
    <w:tmpl w:val="EF1A4E06"/>
    <w:lvl w:ilvl="0" w:tplc="935E24CA">
      <w:start w:val="1"/>
      <w:numFmt w:val="bullet"/>
      <w:lvlText w:val="●"/>
      <w:lvlJc w:val="left"/>
      <w:pPr>
        <w:ind w:left="720" w:hanging="360"/>
      </w:pPr>
    </w:lvl>
    <w:lvl w:ilvl="1" w:tplc="D9C85E04">
      <w:start w:val="1"/>
      <w:numFmt w:val="bullet"/>
      <w:lvlText w:val="○"/>
      <w:lvlJc w:val="left"/>
      <w:pPr>
        <w:ind w:left="1440" w:hanging="360"/>
      </w:pPr>
    </w:lvl>
    <w:lvl w:ilvl="2" w:tplc="24E274DC">
      <w:start w:val="1"/>
      <w:numFmt w:val="bullet"/>
      <w:lvlText w:val="■"/>
      <w:lvlJc w:val="left"/>
      <w:pPr>
        <w:ind w:left="2160" w:hanging="360"/>
      </w:pPr>
    </w:lvl>
    <w:lvl w:ilvl="3" w:tplc="9010557C">
      <w:start w:val="1"/>
      <w:numFmt w:val="bullet"/>
      <w:lvlText w:val="●"/>
      <w:lvlJc w:val="left"/>
      <w:pPr>
        <w:ind w:left="2880" w:hanging="360"/>
      </w:pPr>
    </w:lvl>
    <w:lvl w:ilvl="4" w:tplc="EE0E1BEA">
      <w:start w:val="1"/>
      <w:numFmt w:val="bullet"/>
      <w:lvlText w:val="○"/>
      <w:lvlJc w:val="left"/>
      <w:pPr>
        <w:ind w:left="3600" w:hanging="360"/>
      </w:pPr>
    </w:lvl>
    <w:lvl w:ilvl="5" w:tplc="4928D1D4">
      <w:start w:val="1"/>
      <w:numFmt w:val="bullet"/>
      <w:lvlText w:val="■"/>
      <w:lvlJc w:val="left"/>
      <w:pPr>
        <w:ind w:left="4320" w:hanging="360"/>
      </w:pPr>
    </w:lvl>
    <w:lvl w:ilvl="6" w:tplc="67DAA8E0">
      <w:start w:val="1"/>
      <w:numFmt w:val="bullet"/>
      <w:lvlText w:val="●"/>
      <w:lvlJc w:val="left"/>
      <w:pPr>
        <w:ind w:left="5040" w:hanging="360"/>
      </w:pPr>
    </w:lvl>
    <w:lvl w:ilvl="7" w:tplc="43126D22">
      <w:start w:val="1"/>
      <w:numFmt w:val="bullet"/>
      <w:lvlText w:val="●"/>
      <w:lvlJc w:val="left"/>
      <w:pPr>
        <w:ind w:left="5760" w:hanging="360"/>
      </w:pPr>
    </w:lvl>
    <w:lvl w:ilvl="8" w:tplc="0ECAC1FA">
      <w:start w:val="1"/>
      <w:numFmt w:val="bullet"/>
      <w:lvlText w:val="●"/>
      <w:lvlJc w:val="left"/>
      <w:pPr>
        <w:ind w:left="6480" w:hanging="360"/>
      </w:pPr>
    </w:lvl>
  </w:abstractNum>
  <w:num w:numId="1" w16cid:durableId="1410692968">
    <w:abstractNumId w:val="1"/>
    <w:lvlOverride w:ilvl="0">
      <w:startOverride w:val="1"/>
    </w:lvlOverride>
  </w:num>
  <w:num w:numId="2" w16cid:durableId="3621730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F7F"/>
    <w:rsid w:val="003E4F7F"/>
    <w:rsid w:val="007622B6"/>
    <w:rsid w:val="00CD5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F6A28A"/>
  <w15:docId w15:val="{53EC3833-3F1B-3745-B20D-4188018D6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nualabi4767/vendor-risk-assess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350</Words>
  <Characters>2244</Characters>
  <Application>Microsoft Office Word</Application>
  <DocSecurity>0</DocSecurity>
  <Lines>35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Anuoluwapo Victoria Alabi</cp:lastModifiedBy>
  <cp:revision>2</cp:revision>
  <dcterms:created xsi:type="dcterms:W3CDTF">2026-08-01T21:35:00Z</dcterms:created>
  <dcterms:modified xsi:type="dcterms:W3CDTF">2026-08-01T21:44:00Z</dcterms:modified>
</cp:coreProperties>
</file>