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2E5AAC"/>
          <w:sz w:val="64"/>
          <w:szCs w:val="64"/>
        </w:rPr>
        <w:t xml:space="preserve">Assembly</w:t>
      </w:r>
    </w:p>
    <w:p>
      <w:pPr>
        <w:spacing w:after="40"/>
        <w:jc w:val="center"/>
      </w:pPr>
      <w:r>
        <w:rPr>
          <w:color w:val="1F1F1F"/>
          <w:sz w:val="32"/>
          <w:szCs w:val="32"/>
        </w:rPr>
        <w:t xml:space="preserve">Multi-Agent AI Consensus Platform</w:t>
      </w:r>
    </w:p>
    <w:p>
      <w:pPr>
        <w:spacing w:after="500"/>
        <w:jc w:val="center"/>
      </w:pPr>
      <w:r>
        <w:rPr>
          <w:i/>
          <w:iCs/>
          <w:color w:val="5B5B5B"/>
          <w:sz w:val="26"/>
          <w:szCs w:val="26"/>
        </w:rPr>
        <w:t xml:space="preserve">Product Requirements Document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000"/>
        <w:gridCol w:w="6420"/>
      </w:tblGrid>
      <w:tr>
        <w:trPr>
          <w:tblHeader/>
        </w:trPr>
        <w:tc>
          <w:tcPr>
            <w:tcW w:type="dxa" w:w="3000"/>
            <w:shd w:fill="2E5AAC" w:val="clear"/>
            <w:tcMar>
              <w:top w:type="dxa" w:w="80"/>
              <w:left w:type="dxa" w:w="100"/>
              <w:bottom w:type="dxa" w:w="80"/>
              <w:right w:type="dxa" w:w="100"/>
            </w:tcMar>
            <w:vAlign w:val="center"/>
          </w:tcPr>
          <w:p>
            <w:r>
              <w:rPr>
                <w:b/>
                <w:bCs/>
                <w:color w:val="FFFFFF"/>
                <w:sz w:val="20"/>
                <w:szCs w:val="20"/>
              </w:rPr>
              <w:t xml:space="preserve">Field</w:t>
            </w:r>
          </w:p>
        </w:tc>
        <w:tc>
          <w:tcPr>
            <w:tcW w:type="dxa" w:w="6420"/>
            <w:shd w:fill="2E5AAC" w:val="clear"/>
            <w:tcMar>
              <w:top w:type="dxa" w:w="80"/>
              <w:left w:type="dxa" w:w="100"/>
              <w:bottom w:type="dxa" w:w="80"/>
              <w:right w:type="dxa" w:w="100"/>
            </w:tcMar>
            <w:vAlign w:val="center"/>
          </w:tcPr>
          <w:p>
            <w:r>
              <w:rPr>
                <w:b/>
                <w:bCs/>
                <w:color w:val="FFFFFF"/>
                <w:sz w:val="20"/>
                <w:szCs w:val="20"/>
              </w:rPr>
              <w:t xml:space="preserve">Detail</w:t>
            </w:r>
          </w:p>
        </w:tc>
      </w:tr>
      <w:tr>
        <w:tc>
          <w:tcPr>
            <w:tcW w:type="dxa" w:w="3000"/>
            <w:tcMar>
              <w:top w:type="dxa" w:w="80"/>
              <w:left w:type="dxa" w:w="100"/>
              <w:bottom w:type="dxa" w:w="80"/>
              <w:right w:type="dxa" w:w="100"/>
            </w:tcMar>
            <w:vAlign w:val="center"/>
          </w:tcPr>
          <w:p>
            <w:r>
              <w:rPr>
                <w:sz w:val="20"/>
                <w:szCs w:val="20"/>
              </w:rPr>
              <w:t xml:space="preserve">Document owner</w:t>
            </w:r>
          </w:p>
        </w:tc>
        <w:tc>
          <w:tcPr>
            <w:tcW w:type="dxa" w:w="6420"/>
            <w:tcMar>
              <w:top w:type="dxa" w:w="80"/>
              <w:left w:type="dxa" w:w="100"/>
              <w:bottom w:type="dxa" w:w="80"/>
              <w:right w:type="dxa" w:w="100"/>
            </w:tcMar>
            <w:vAlign w:val="center"/>
          </w:tcPr>
          <w:p>
            <w:r>
              <w:rPr>
                <w:sz w:val="20"/>
                <w:szCs w:val="20"/>
              </w:rPr>
              <w:t xml:space="preserve">Anubhab Das</w:t>
            </w:r>
          </w:p>
        </w:tc>
      </w:tr>
      <w:tr>
        <w:tc>
          <w:tcPr>
            <w:tcW w:type="dxa" w:w="3000"/>
            <w:tcMar>
              <w:top w:type="dxa" w:w="80"/>
              <w:left w:type="dxa" w:w="100"/>
              <w:bottom w:type="dxa" w:w="80"/>
              <w:right w:type="dxa" w:w="100"/>
            </w:tcMar>
            <w:vAlign w:val="center"/>
          </w:tcPr>
          <w:p>
            <w:r>
              <w:rPr>
                <w:sz w:val="20"/>
                <w:szCs w:val="20"/>
              </w:rPr>
              <w:t xml:space="preserve">Status</w:t>
            </w:r>
          </w:p>
        </w:tc>
        <w:tc>
          <w:tcPr>
            <w:tcW w:type="dxa" w:w="6420"/>
            <w:tcMar>
              <w:top w:type="dxa" w:w="80"/>
              <w:left w:type="dxa" w:w="100"/>
              <w:bottom w:type="dxa" w:w="80"/>
              <w:right w:type="dxa" w:w="100"/>
            </w:tcMar>
            <w:vAlign w:val="center"/>
          </w:tcPr>
          <w:p>
            <w:r>
              <w:rPr>
                <w:sz w:val="20"/>
                <w:szCs w:val="20"/>
              </w:rPr>
              <w:t xml:space="preserve">Draft — v0.1</w:t>
            </w:r>
          </w:p>
        </w:tc>
      </w:tr>
      <w:tr>
        <w:tc>
          <w:tcPr>
            <w:tcW w:type="dxa" w:w="3000"/>
            <w:tcMar>
              <w:top w:type="dxa" w:w="80"/>
              <w:left w:type="dxa" w:w="100"/>
              <w:bottom w:type="dxa" w:w="80"/>
              <w:right w:type="dxa" w:w="100"/>
            </w:tcMar>
            <w:vAlign w:val="center"/>
          </w:tcPr>
          <w:p>
            <w:r>
              <w:rPr>
                <w:sz w:val="20"/>
                <w:szCs w:val="20"/>
              </w:rPr>
              <w:t xml:space="preserve">Last updated</w:t>
            </w:r>
          </w:p>
        </w:tc>
        <w:tc>
          <w:tcPr>
            <w:tcW w:type="dxa" w:w="6420"/>
            <w:tcMar>
              <w:top w:type="dxa" w:w="80"/>
              <w:left w:type="dxa" w:w="100"/>
              <w:bottom w:type="dxa" w:w="80"/>
              <w:right w:type="dxa" w:w="100"/>
            </w:tcMar>
            <w:vAlign w:val="center"/>
          </w:tcPr>
          <w:p>
            <w:r>
              <w:rPr>
                <w:sz w:val="20"/>
                <w:szCs w:val="20"/>
              </w:rPr>
              <w:t xml:space="preserve">August 16, 2026</w:t>
            </w:r>
          </w:p>
        </w:tc>
      </w:tr>
      <w:tr>
        <w:tc>
          <w:tcPr>
            <w:tcW w:type="dxa" w:w="3000"/>
            <w:tcMar>
              <w:top w:type="dxa" w:w="80"/>
              <w:left w:type="dxa" w:w="100"/>
              <w:bottom w:type="dxa" w:w="80"/>
              <w:right w:type="dxa" w:w="100"/>
            </w:tcMar>
            <w:vAlign w:val="center"/>
          </w:tcPr>
          <w:p>
            <w:r>
              <w:rPr>
                <w:sz w:val="20"/>
                <w:szCs w:val="20"/>
              </w:rPr>
              <w:t xml:space="preserve">Audience</w:t>
            </w:r>
          </w:p>
        </w:tc>
        <w:tc>
          <w:tcPr>
            <w:tcW w:type="dxa" w:w="6420"/>
            <w:tcMar>
              <w:top w:type="dxa" w:w="80"/>
              <w:left w:type="dxa" w:w="100"/>
              <w:bottom w:type="dxa" w:w="80"/>
              <w:right w:type="dxa" w:w="100"/>
            </w:tcMar>
            <w:vAlign w:val="center"/>
          </w:tcPr>
          <w:p>
            <w:r>
              <w:rPr>
                <w:sz w:val="20"/>
                <w:szCs w:val="20"/>
              </w:rPr>
              <w:t xml:space="preserve">Engineering, design, and future collaborators</w:t>
            </w:r>
          </w:p>
        </w:tc>
      </w:tr>
      <w:tr>
        <w:tc>
          <w:tcPr>
            <w:tcW w:type="dxa" w:w="3000"/>
            <w:tcMar>
              <w:top w:type="dxa" w:w="80"/>
              <w:left w:type="dxa" w:w="100"/>
              <w:bottom w:type="dxa" w:w="80"/>
              <w:right w:type="dxa" w:w="100"/>
            </w:tcMar>
            <w:vAlign w:val="center"/>
          </w:tcPr>
          <w:p>
            <w:r>
              <w:rPr>
                <w:sz w:val="20"/>
                <w:szCs w:val="20"/>
              </w:rPr>
              <w:t xml:space="preserve">Source</w:t>
            </w:r>
          </w:p>
        </w:tc>
        <w:tc>
          <w:tcPr>
            <w:tcW w:type="dxa" w:w="6420"/>
            <w:tcMar>
              <w:top w:type="dxa" w:w="80"/>
              <w:left w:type="dxa" w:w="100"/>
              <w:bottom w:type="dxa" w:w="80"/>
              <w:right w:type="dxa" w:w="100"/>
            </w:tcMar>
            <w:vAlign w:val="center"/>
          </w:tcPr>
          <w:p>
            <w:r>
              <w:rPr>
                <w:sz w:val="20"/>
                <w:szCs w:val="20"/>
              </w:rPr>
              <w:t xml:space="preserve">Assembly product concept notes</w:t>
            </w:r>
          </w:p>
        </w:tc>
      </w:tr>
    </w:tbl>
    <w:p>
      <w:pPr>
        <w:spacing w:after="0" w:before="500"/>
      </w:pPr>
      <w:r>
        <w:br w:type="page"/>
      </w:r>
    </w:p>
    <w:p>
      <w:pPr>
        <w:pStyle w:val="Heading1"/>
        <w:spacing w:after="160" w:before="360"/>
      </w:pPr>
      <w:r>
        <w:t xml:space="preserve">1. Executive Summary</w:t>
      </w:r>
    </w:p>
    <w:p>
      <w:pPr>
        <w:spacing w:after="160" w:line="300"/>
      </w:pPr>
      <w:r>
        <w:t xml:space="preserve">Assembly is a multi-agent AI platform that turns a single user question into a temporary team of AI agents. The agents independently research and solve the problem, challenge each other's conclusions, verify claims, and keep collaborating until they reach a strong consensus or the user's chosen time budget runs out. The user only ever sees the final synthesized answer and the sources behind it — the internal agent deliberation stays hidden.</w:t>
      </w:r>
    </w:p>
    <w:p>
      <w:pPr>
        <w:spacing w:after="160" w:line="300"/>
      </w:pPr>
      <w:r>
        <w:t xml:space="preserve">The core bet behind Assembly is that a temporary, orchestrated team of AI agents that independently reason, debate, and verify each other produces materially better answers than a single model call or a naive "ask five models and average" approach. The MVP exists to test that hypothesis as directly as possible.</w:t>
      </w:r>
    </w:p>
    <w:p>
      <w:pPr>
        <w:spacing w:after="120" w:line="300"/>
      </w:pPr>
      <w:r>
        <w:rPr>
          <w:b/>
          <w:bCs/>
        </w:rPr>
        <w:t xml:space="preserve">Core promise: </w:t>
      </w:r>
      <w:r>
        <w:t xml:space="preserve">Ask once. Let Assembly build a temporary expert team that researches, solves, challenges, and verifies the problem until it reaches the strongest answer possible within your chosen time.</w:t>
      </w:r>
    </w:p>
    <w:p>
      <w:pPr>
        <w:pStyle w:val="Heading1"/>
        <w:spacing w:after="160" w:before="360"/>
      </w:pPr>
      <w:r>
        <w:t xml:space="preserve">2. Problem Statement</w:t>
      </w:r>
    </w:p>
    <w:p>
      <w:pPr>
        <w:spacing w:after="160" w:line="300"/>
      </w:pPr>
      <w:r>
        <w:t xml:space="preserve">Single-model chat answers are fast but have no built-in mechanism for self-correction: a confident wrong answer looks identical to a confident right one. Simply querying multiple models and blending their outputs (an ensemble-of-one-shot-answers pattern) doesn't fix this — it just averages several potentially wrong, unverified answers together, and is trivial for competitors to copy.</w:t>
      </w:r>
    </w:p>
    <w:p>
      <w:pPr>
        <w:spacing w:after="160" w:line="300"/>
      </w:pPr>
      <w:r>
        <w:t xml:space="preserve">Developers, students, and researchers working on non-trivial problems — math and science reasoning, coding, research synthesis, multi-step analysis — need higher-confidence answers than a single pass can offer, but don't want to manually orchestrate multiple AI tools, prompt each one, and reconcile the results themselves.</w:t>
      </w:r>
    </w:p>
    <w:p>
      <w:pPr>
        <w:spacing w:after="120" w:line="300"/>
      </w:pPr>
      <w:r>
        <w:rPr>
          <w:b/>
          <w:bCs/>
        </w:rPr>
        <w:t xml:space="preserve">Opportunity: </w:t>
      </w:r>
      <w:r>
        <w:t xml:space="preserve">Build the orchestration layer that turns multiple models into a genuine collaborative team — one that independently reasons, cross-examines, verifies evidence, and only converges when the evidence supports it — and expose that as a single "ask once" product experience.</w:t>
      </w:r>
    </w:p>
    <w:p>
      <w:pPr>
        <w:pStyle w:val="Heading1"/>
        <w:spacing w:after="160" w:before="360"/>
      </w:pPr>
      <w:r>
        <w:t xml:space="preserve">3. Goals &amp; Success Metrics</w:t>
      </w:r>
    </w:p>
    <w:p>
      <w:pPr>
        <w:pStyle w:val="Heading2"/>
        <w:spacing w:after="120" w:before="260"/>
      </w:pPr>
      <w:r>
        <w:t xml:space="preserve">3.1 Product goals</w:t>
      </w:r>
    </w:p>
    <w:p>
      <w:pPr>
        <w:pStyle w:val="ListParagraph"/>
        <w:numPr>
          <w:ilvl w:val="0"/>
          <w:numId w:val="2"/>
        </w:numPr>
        <w:spacing w:after="60"/>
      </w:pPr>
      <w:r>
        <w:t xml:space="preserve">Validate that a temporary multi-agent team produces measurably better answers than a single top-tier model on the same question.</w:t>
      </w:r>
    </w:p>
    <w:p>
      <w:pPr>
        <w:pStyle w:val="ListParagraph"/>
        <w:numPr>
          <w:ilvl w:val="0"/>
          <w:numId w:val="2"/>
        </w:numPr>
        <w:spacing w:after="60"/>
      </w:pPr>
      <w:r>
        <w:t xml:space="preserve">Make the multi-agent complexity invisible to the user: one question in, one budget selection, one answer out.</w:t>
      </w:r>
    </w:p>
    <w:p>
      <w:pPr>
        <w:pStyle w:val="ListParagraph"/>
        <w:numPr>
          <w:ilvl w:val="0"/>
          <w:numId w:val="2"/>
        </w:numPr>
        <w:spacing w:after="60"/>
      </w:pPr>
      <w:r>
        <w:t xml:space="preserve">Build an orchestration layer (planner, team formation, debate, consensus, cost control) that is reusable across problem domains, not hand-tuned per question type.</w:t>
      </w:r>
    </w:p>
    <w:p>
      <w:pPr>
        <w:pStyle w:val="ListParagraph"/>
        <w:numPr>
          <w:ilvl w:val="0"/>
          <w:numId w:val="2"/>
        </w:numPr>
        <w:spacing w:after="60"/>
      </w:pPr>
      <w:r>
        <w:t xml:space="preserve">Keep cost and latency inside a hard, user-chosen time/token budget so the system is commercially viable.</w:t>
      </w:r>
    </w:p>
    <w:p>
      <w:pPr>
        <w:pStyle w:val="Heading2"/>
        <w:spacing w:after="120" w:before="260"/>
      </w:pPr>
      <w:r>
        <w:t xml:space="preserve">3.2 Success metrics (indicative — to be finalized with baselines)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4900"/>
        <w:gridCol w:w="4520"/>
      </w:tblGrid>
      <w:tr>
        <w:trPr>
          <w:tblHeader/>
        </w:trPr>
        <w:tc>
          <w:tcPr>
            <w:tcW w:type="dxa" w:w="4900"/>
            <w:shd w:fill="2E5AAC" w:val="clear"/>
            <w:tcMar>
              <w:top w:type="dxa" w:w="80"/>
              <w:left w:type="dxa" w:w="100"/>
              <w:bottom w:type="dxa" w:w="80"/>
              <w:right w:type="dxa" w:w="100"/>
            </w:tcMar>
            <w:vAlign w:val="center"/>
          </w:tcPr>
          <w:p>
            <w:r>
              <w:rPr>
                <w:b/>
                <w:bCs/>
                <w:color w:val="FFFFFF"/>
                <w:sz w:val="20"/>
                <w:szCs w:val="20"/>
              </w:rPr>
              <w:t xml:space="preserve">Metric</w:t>
            </w:r>
          </w:p>
        </w:tc>
        <w:tc>
          <w:tcPr>
            <w:tcW w:type="dxa" w:w="4520"/>
            <w:shd w:fill="2E5AAC" w:val="clear"/>
            <w:tcMar>
              <w:top w:type="dxa" w:w="80"/>
              <w:left w:type="dxa" w:w="100"/>
              <w:bottom w:type="dxa" w:w="80"/>
              <w:right w:type="dxa" w:w="100"/>
            </w:tcMar>
            <w:vAlign w:val="center"/>
          </w:tcPr>
          <w:p>
            <w:r>
              <w:rPr>
                <w:b/>
                <w:bCs/>
                <w:color w:val="FFFFFF"/>
                <w:sz w:val="20"/>
                <w:szCs w:val="20"/>
              </w:rPr>
              <w:t xml:space="preserve">What it tells us</w:t>
            </w:r>
          </w:p>
        </w:tc>
      </w:tr>
      <w:tr>
        <w:tc>
          <w:tcPr>
            <w:tcW w:type="dxa" w:w="4900"/>
            <w:tcMar>
              <w:top w:type="dxa" w:w="80"/>
              <w:left w:type="dxa" w:w="100"/>
              <w:bottom w:type="dxa" w:w="80"/>
              <w:right w:type="dxa" w:w="100"/>
            </w:tcMar>
            <w:vAlign w:val="center"/>
          </w:tcPr>
          <w:p>
            <w:r>
              <w:rPr>
                <w:sz w:val="20"/>
                <w:szCs w:val="20"/>
              </w:rPr>
              <w:t xml:space="preserve">Win rate vs. single best model on held-out question set (blind human or rubric grading)</w:t>
            </w:r>
          </w:p>
        </w:tc>
        <w:tc>
          <w:tcPr>
            <w:tcW w:type="dxa" w:w="4520"/>
            <w:tcMar>
              <w:top w:type="dxa" w:w="80"/>
              <w:left w:type="dxa" w:w="100"/>
              <w:bottom w:type="dxa" w:w="80"/>
              <w:right w:type="dxa" w:w="100"/>
            </w:tcMar>
            <w:vAlign w:val="center"/>
          </w:tcPr>
          <w:p>
            <w:r>
              <w:rPr>
                <w:sz w:val="20"/>
                <w:szCs w:val="20"/>
              </w:rPr>
              <w:t xml:space="preserve">Whether the core hypothesis holds</w:t>
            </w:r>
          </w:p>
        </w:tc>
      </w:tr>
      <w:tr>
        <w:tc>
          <w:tcPr>
            <w:tcW w:type="dxa" w:w="4900"/>
            <w:tcMar>
              <w:top w:type="dxa" w:w="80"/>
              <w:left w:type="dxa" w:w="100"/>
              <w:bottom w:type="dxa" w:w="80"/>
              <w:right w:type="dxa" w:w="100"/>
            </w:tcMar>
            <w:vAlign w:val="center"/>
          </w:tcPr>
          <w:p>
            <w:r>
              <w:rPr>
                <w:sz w:val="20"/>
                <w:szCs w:val="20"/>
              </w:rPr>
              <w:t xml:space="preserve">Consensus score at finalization (avg. and distribution)</w:t>
            </w:r>
          </w:p>
        </w:tc>
        <w:tc>
          <w:tcPr>
            <w:tcW w:type="dxa" w:w="4520"/>
            <w:tcMar>
              <w:top w:type="dxa" w:w="80"/>
              <w:left w:type="dxa" w:w="100"/>
              <w:bottom w:type="dxa" w:w="80"/>
              <w:right w:type="dxa" w:w="100"/>
            </w:tcMar>
            <w:vAlign w:val="center"/>
          </w:tcPr>
          <w:p>
            <w:r>
              <w:rPr>
                <w:sz w:val="20"/>
                <w:szCs w:val="20"/>
              </w:rPr>
              <w:t xml:space="preserve">Whether the consensus engine is converging meaningfully rather than timing out</w:t>
            </w:r>
          </w:p>
        </w:tc>
      </w:tr>
      <w:tr>
        <w:tc>
          <w:tcPr>
            <w:tcW w:type="dxa" w:w="4900"/>
            <w:tcMar>
              <w:top w:type="dxa" w:w="80"/>
              <w:left w:type="dxa" w:w="100"/>
              <w:bottom w:type="dxa" w:w="80"/>
              <w:right w:type="dxa" w:w="100"/>
            </w:tcMar>
            <w:vAlign w:val="center"/>
          </w:tcPr>
          <w:p>
            <w:r>
              <w:rPr>
                <w:sz w:val="20"/>
                <w:szCs w:val="20"/>
              </w:rPr>
              <w:t xml:space="preserve">Cost per execution by time tier (3/5/10/15 min)</w:t>
            </w:r>
          </w:p>
        </w:tc>
        <w:tc>
          <w:tcPr>
            <w:tcW w:type="dxa" w:w="4520"/>
            <w:tcMar>
              <w:top w:type="dxa" w:w="80"/>
              <w:left w:type="dxa" w:w="100"/>
              <w:bottom w:type="dxa" w:w="80"/>
              <w:right w:type="dxa" w:w="100"/>
            </w:tcMar>
            <w:vAlign w:val="center"/>
          </w:tcPr>
          <w:p>
            <w:r>
              <w:rPr>
                <w:sz w:val="20"/>
                <w:szCs w:val="20"/>
              </w:rPr>
              <w:t xml:space="preserve">Whether the token/budget controller keeps unit economics sane</w:t>
            </w:r>
          </w:p>
        </w:tc>
      </w:tr>
      <w:tr>
        <w:tc>
          <w:tcPr>
            <w:tcW w:type="dxa" w:w="4900"/>
            <w:tcMar>
              <w:top w:type="dxa" w:w="80"/>
              <w:left w:type="dxa" w:w="100"/>
              <w:bottom w:type="dxa" w:w="80"/>
              <w:right w:type="dxa" w:w="100"/>
            </w:tcMar>
            <w:vAlign w:val="center"/>
          </w:tcPr>
          <w:p>
            <w:r>
              <w:rPr>
                <w:sz w:val="20"/>
                <w:szCs w:val="20"/>
              </w:rPr>
              <w:t xml:space="preserve">% of executions that finalize before the hard time limit vs. hit the safety cutoff</w:t>
            </w:r>
          </w:p>
        </w:tc>
        <w:tc>
          <w:tcPr>
            <w:tcW w:type="dxa" w:w="4520"/>
            <w:tcMar>
              <w:top w:type="dxa" w:w="80"/>
              <w:left w:type="dxa" w:w="100"/>
              <w:bottom w:type="dxa" w:w="80"/>
              <w:right w:type="dxa" w:w="100"/>
            </w:tcMar>
            <w:vAlign w:val="center"/>
          </w:tcPr>
          <w:p>
            <w:r>
              <w:rPr>
                <w:sz w:val="20"/>
                <w:szCs w:val="20"/>
              </w:rPr>
              <w:t xml:space="preserve">Health of the stopping algorithm</w:t>
            </w:r>
          </w:p>
        </w:tc>
      </w:tr>
      <w:tr>
        <w:tc>
          <w:tcPr>
            <w:tcW w:type="dxa" w:w="4900"/>
            <w:tcMar>
              <w:top w:type="dxa" w:w="80"/>
              <w:left w:type="dxa" w:w="100"/>
              <w:bottom w:type="dxa" w:w="80"/>
              <w:right w:type="dxa" w:w="100"/>
            </w:tcMar>
            <w:vAlign w:val="center"/>
          </w:tcPr>
          <w:p>
            <w:r>
              <w:rPr>
                <w:sz w:val="20"/>
                <w:szCs w:val="20"/>
              </w:rPr>
              <w:t xml:space="preserve">User retention / repeat question rate</w:t>
            </w:r>
          </w:p>
        </w:tc>
        <w:tc>
          <w:tcPr>
            <w:tcW w:type="dxa" w:w="4520"/>
            <w:tcMar>
              <w:top w:type="dxa" w:w="80"/>
              <w:left w:type="dxa" w:w="100"/>
              <w:bottom w:type="dxa" w:w="80"/>
              <w:right w:type="dxa" w:w="100"/>
            </w:tcMar>
            <w:vAlign w:val="center"/>
          </w:tcPr>
          <w:p>
            <w:r>
              <w:rPr>
                <w:sz w:val="20"/>
                <w:szCs w:val="20"/>
              </w:rPr>
              <w:t xml:space="preserve">Whether the answer quality justifies the wait</w:t>
            </w:r>
          </w:p>
        </w:tc>
      </w:tr>
      <w:tr>
        <w:tc>
          <w:tcPr>
            <w:tcW w:type="dxa" w:w="4900"/>
            <w:tcMar>
              <w:top w:type="dxa" w:w="80"/>
              <w:left w:type="dxa" w:w="100"/>
              <w:bottom w:type="dxa" w:w="80"/>
              <w:right w:type="dxa" w:w="100"/>
            </w:tcMar>
            <w:vAlign w:val="center"/>
          </w:tcPr>
          <w:p>
            <w:r>
              <w:rPr>
                <w:sz w:val="20"/>
                <w:szCs w:val="20"/>
              </w:rPr>
              <w:t xml:space="preserve">Source citation accuracy (spot-checked)</w:t>
            </w:r>
          </w:p>
        </w:tc>
        <w:tc>
          <w:tcPr>
            <w:tcW w:type="dxa" w:w="4520"/>
            <w:tcMar>
              <w:top w:type="dxa" w:w="80"/>
              <w:left w:type="dxa" w:w="100"/>
              <w:bottom w:type="dxa" w:w="80"/>
              <w:right w:type="dxa" w:w="100"/>
            </w:tcMar>
            <w:vAlign w:val="center"/>
          </w:tcPr>
          <w:p>
            <w:r>
              <w:rPr>
                <w:sz w:val="20"/>
                <w:szCs w:val="20"/>
              </w:rPr>
              <w:t xml:space="preserve">Trustworthiness of the research pipeline</w:t>
            </w:r>
          </w:p>
        </w:tc>
      </w:tr>
    </w:tbl>
    <w:p>
      <w:pPr>
        <w:pStyle w:val="Heading1"/>
        <w:spacing w:after="160" w:before="360"/>
      </w:pPr>
      <w:r>
        <w:t xml:space="preserve">4. Non-Goals (initial release)</w:t>
      </w:r>
    </w:p>
    <w:p>
      <w:pPr>
        <w:pStyle w:val="ListParagraph"/>
        <w:numPr>
          <w:ilvl w:val="0"/>
          <w:numId w:val="2"/>
        </w:numPr>
        <w:spacing w:after="60"/>
      </w:pPr>
      <w:r>
        <w:t xml:space="preserve">Not a general-purpose chatbot for casual, low-stakes conversation — Assembly is optimized for questions worth waiting minutes for.</w:t>
      </w:r>
    </w:p>
    <w:p>
      <w:pPr>
        <w:pStyle w:val="ListParagraph"/>
        <w:numPr>
          <w:ilvl w:val="0"/>
          <w:numId w:val="2"/>
        </w:numPr>
        <w:spacing w:after="60"/>
      </w:pPr>
      <w:r>
        <w:t xml:space="preserve">Not exposing the internal agent debate/chain-of-thought to end users.</w:t>
      </w:r>
    </w:p>
    <w:p>
      <w:pPr>
        <w:pStyle w:val="ListParagraph"/>
        <w:numPr>
          <w:ilvl w:val="0"/>
          <w:numId w:val="2"/>
        </w:numPr>
        <w:spacing w:after="60"/>
      </w:pPr>
      <w:r>
        <w:t xml:space="preserve">Not supporting user-configured agent teams or manual model selection in the MVP — team formation is fully automatic.</w:t>
      </w:r>
    </w:p>
    <w:p>
      <w:pPr>
        <w:pStyle w:val="ListParagraph"/>
        <w:numPr>
          <w:ilvl w:val="0"/>
          <w:numId w:val="2"/>
        </w:numPr>
        <w:spacing w:after="60"/>
      </w:pPr>
      <w:r>
        <w:t xml:space="preserve">Not attempting every specialist domain or every model provider on day one — MVP is deliberately scoped (see Section 12).</w:t>
      </w:r>
    </w:p>
    <w:p>
      <w:pPr>
        <w:pStyle w:val="ListParagraph"/>
        <w:numPr>
          <w:ilvl w:val="0"/>
          <w:numId w:val="2"/>
        </w:numPr>
        <w:spacing w:after="60"/>
      </w:pPr>
      <w:r>
        <w:t xml:space="preserve">Not finalizing pricing before real model and infrastructure costs are measured.</w:t>
      </w:r>
    </w:p>
    <w:p>
      <w:pPr>
        <w:pStyle w:val="Heading1"/>
        <w:spacing w:after="160" w:before="360"/>
      </w:pPr>
      <w:r>
        <w:t xml:space="preserve">5. Target Users</w:t>
      </w:r>
    </w:p>
    <w:p>
      <w:pPr>
        <w:pStyle w:val="Heading2"/>
        <w:spacing w:after="120" w:before="260"/>
      </w:pPr>
      <w:r>
        <w:t xml:space="preserve">5.1 Primary personas</w:t>
      </w:r>
    </w:p>
    <w:p>
      <w:pPr>
        <w:pStyle w:val="ListParagraph"/>
        <w:numPr>
          <w:ilvl w:val="0"/>
          <w:numId w:val="2"/>
        </w:numPr>
        <w:spacing w:after="60"/>
      </w:pPr>
      <w:r>
        <w:t xml:space="preserve">Developers — debugging, architecture trade-offs, code review-style questions.</w:t>
      </w:r>
    </w:p>
    <w:p>
      <w:pPr>
        <w:pStyle w:val="ListParagraph"/>
        <w:numPr>
          <w:ilvl w:val="0"/>
          <w:numId w:val="2"/>
        </w:numPr>
        <w:spacing w:after="60"/>
      </w:pPr>
      <w:r>
        <w:t xml:space="preserve">Students — math, science, and concept questions where a well-reasoned, verified explanation matters more than speed.</w:t>
      </w:r>
    </w:p>
    <w:p>
      <w:pPr>
        <w:pStyle w:val="ListParagraph"/>
        <w:numPr>
          <w:ilvl w:val="0"/>
          <w:numId w:val="2"/>
        </w:numPr>
        <w:spacing w:after="60"/>
      </w:pPr>
      <w:r>
        <w:t xml:space="preserve">Researchers — literature-style research questions needing multiple sources cross-checked against each other.</w:t>
      </w:r>
    </w:p>
    <w:p>
      <w:pPr>
        <w:pStyle w:val="Heading2"/>
        <w:spacing w:after="120" w:before="260"/>
      </w:pPr>
      <w:r>
        <w:t xml:space="preserve">5.2 Primary problem categories</w:t>
      </w:r>
    </w:p>
    <w:p>
      <w:pPr>
        <w:pStyle w:val="ListParagraph"/>
        <w:numPr>
          <w:ilvl w:val="0"/>
          <w:numId w:val="2"/>
        </w:numPr>
        <w:spacing w:after="60"/>
      </w:pPr>
      <w:r>
        <w:t xml:space="preserve">Math and science</w:t>
      </w:r>
    </w:p>
    <w:p>
      <w:pPr>
        <w:pStyle w:val="ListParagraph"/>
        <w:numPr>
          <w:ilvl w:val="0"/>
          <w:numId w:val="2"/>
        </w:numPr>
        <w:spacing w:after="60"/>
      </w:pPr>
      <w:r>
        <w:t xml:space="preserve">General questions</w:t>
      </w:r>
    </w:p>
    <w:p>
      <w:pPr>
        <w:pStyle w:val="ListParagraph"/>
        <w:numPr>
          <w:ilvl w:val="0"/>
          <w:numId w:val="2"/>
        </w:numPr>
        <w:spacing w:after="60"/>
      </w:pPr>
      <w:r>
        <w:t xml:space="preserve">Coding</w:t>
      </w:r>
    </w:p>
    <w:p>
      <w:pPr>
        <w:pStyle w:val="ListParagraph"/>
        <w:numPr>
          <w:ilvl w:val="0"/>
          <w:numId w:val="2"/>
        </w:numPr>
        <w:spacing w:after="60"/>
      </w:pPr>
      <w:r>
        <w:t xml:space="preserve">Research</w:t>
      </w:r>
    </w:p>
    <w:p>
      <w:pPr>
        <w:pStyle w:val="ListParagraph"/>
        <w:numPr>
          <w:ilvl w:val="0"/>
          <w:numId w:val="2"/>
        </w:numPr>
        <w:spacing w:after="60"/>
      </w:pPr>
      <w:r>
        <w:t xml:space="preserve">Complex multi-step problems</w:t>
      </w:r>
    </w:p>
    <w:p>
      <w:pPr>
        <w:spacing w:after="200"/>
      </w:pPr>
      <w:r>
        <w:rPr>
          <w:i/>
          <w:iCs/>
          <w:color w:val="5B5B5B"/>
          <w:sz w:val="20"/>
          <w:szCs w:val="20"/>
        </w:rPr>
        <w:t xml:space="preserve">Additional domains are expected post-MVP, but these five categories should drive initial product and orchestration design.</w:t>
      </w:r>
    </w:p>
    <w:p>
      <w:pPr>
        <w:pStyle w:val="Heading1"/>
        <w:spacing w:after="160" w:before="360"/>
      </w:pPr>
      <w:r>
        <w:t xml:space="preserve">6. Core Product Experience</w:t>
      </w:r>
    </w:p>
    <w:p>
      <w:pPr>
        <w:spacing w:after="160" w:line="300"/>
      </w:pPr>
      <w:r>
        <w:t xml:space="preserve">The user submits a question and selects a thinking-time budget from four options: 3, 5, 10, or 15 minutes. From that point, Assembly automatically determines everything else: problem type, required capabilities, number of agents, which models to use, specialist roles, whether web research is needed, how many debate/verification rounds are necessary, and when the team has reached sufficient consensus. The user never manually configures the team.</w:t>
      </w:r>
    </w:p>
    <w:p>
      <w:pPr>
        <w:pStyle w:val="Heading2"/>
        <w:spacing w:after="120" w:before="260"/>
      </w:pPr>
      <w:r>
        <w:t xml:space="preserve">6.1 End-to-end workflow</w:t>
      </w:r>
    </w:p>
    <w:p>
      <w:pPr>
        <w:pStyle w:val="ListParagraph"/>
        <w:numPr>
          <w:ilvl w:val="0"/>
          <w:numId w:val="3"/>
        </w:numPr>
        <w:spacing w:after="60"/>
      </w:pPr>
      <w:r>
        <w:t xml:space="preserve">User submits a question.</w:t>
      </w:r>
    </w:p>
    <w:p>
      <w:pPr>
        <w:pStyle w:val="ListParagraph"/>
        <w:numPr>
          <w:ilvl w:val="0"/>
          <w:numId w:val="3"/>
        </w:numPr>
        <w:spacing w:after="60"/>
      </w:pPr>
      <w:r>
        <w:t xml:space="preserve">Problem Understanding / Planner classifies the problem type and complexity.</w:t>
      </w:r>
    </w:p>
    <w:p>
      <w:pPr>
        <w:pStyle w:val="ListParagraph"/>
        <w:numPr>
          <w:ilvl w:val="0"/>
          <w:numId w:val="3"/>
        </w:numPr>
        <w:spacing w:after="60"/>
      </w:pPr>
      <w:r>
        <w:t xml:space="preserve">Team Orchestrator forms a temporary team and assigns models to roles.</w:t>
      </w:r>
    </w:p>
    <w:p>
      <w:pPr>
        <w:pStyle w:val="ListParagraph"/>
        <w:numPr>
          <w:ilvl w:val="0"/>
          <w:numId w:val="3"/>
        </w:numPr>
        <w:spacing w:after="60"/>
      </w:pPr>
      <w:r>
        <w:t xml:space="preserve">Agents solve independently (Shared Workspace holds each agent's output).</w:t>
      </w:r>
    </w:p>
    <w:p>
      <w:pPr>
        <w:pStyle w:val="ListParagraph"/>
        <w:numPr>
          <w:ilvl w:val="0"/>
          <w:numId w:val="3"/>
        </w:numPr>
        <w:spacing w:after="60"/>
      </w:pPr>
      <w:r>
        <w:t xml:space="preserve">Agent Debate: critique, research, and verification happen in parallel/sequence.</w:t>
      </w:r>
    </w:p>
    <w:p>
      <w:pPr>
        <w:pStyle w:val="ListParagraph"/>
        <w:numPr>
          <w:ilvl w:val="0"/>
          <w:numId w:val="3"/>
        </w:numPr>
        <w:spacing w:after="60"/>
      </w:pPr>
      <w:r>
        <w:t xml:space="preserve">Consensus Check evaluates whether the team has converged.</w:t>
      </w:r>
    </w:p>
    <w:p>
      <w:pPr>
        <w:pStyle w:val="ListParagraph"/>
        <w:numPr>
          <w:ilvl w:val="0"/>
          <w:numId w:val="3"/>
        </w:numPr>
        <w:spacing w:after="60"/>
      </w:pPr>
      <w:r>
        <w:t xml:space="preserve">If not converged and time remains, another round runs; otherwise the system proceeds.</w:t>
      </w:r>
    </w:p>
    <w:p>
      <w:pPr>
        <w:pStyle w:val="ListParagraph"/>
        <w:numPr>
          <w:ilvl w:val="0"/>
          <w:numId w:val="3"/>
        </w:numPr>
        <w:spacing w:after="60"/>
      </w:pPr>
      <w:r>
        <w:t xml:space="preserve">Final Synthesizer produces the answer and source list.</w:t>
      </w:r>
    </w:p>
    <w:p>
      <w:pPr>
        <w:pStyle w:val="ListParagraph"/>
        <w:numPr>
          <w:ilvl w:val="0"/>
          <w:numId w:val="3"/>
        </w:numPr>
        <w:spacing w:after="60"/>
      </w:pPr>
      <w:r>
        <w:t xml:space="preserve">User receives the final answer and sources — never the raw debate.</w:t>
      </w:r>
    </w:p>
    <w:p>
      <w:pPr>
        <w:spacing w:after="200"/>
      </w:pPr>
      <w:r>
        <w:rPr>
          <w:i/>
          <w:iCs/>
          <w:color w:val="5B5B5B"/>
          <w:sz w:val="20"/>
          <w:szCs w:val="20"/>
        </w:rPr>
        <w:t xml:space="preserve">Critical distinction: Assembly is not "ask several models the same question and average the answers." The agents form a genuine temporary collaborative team with independent reasoning, critique, and verification.</w:t>
      </w:r>
    </w:p>
    <w:p>
      <w:pPr>
        <w:pStyle w:val="Heading1"/>
        <w:spacing w:after="160" w:before="360"/>
      </w:pPr>
      <w:r>
        <w:t xml:space="preserve">7. Functional Requirements</w:t>
      </w:r>
    </w:p>
    <w:p>
      <w:pPr>
        <w:pStyle w:val="Heading2"/>
        <w:spacing w:after="120" w:before="260"/>
      </w:pPr>
      <w:r>
        <w:t xml:space="preserve">7.1 Dynamic AI Team Formation</w:t>
      </w:r>
    </w:p>
    <w:p>
      <w:pPr>
        <w:spacing w:after="160" w:line="300"/>
      </w:pPr>
      <w:r>
        <w:t xml:space="preserve">Users never select specialist roles manually. Assembly determines the team automatically based on the classified problem type and complexity.</w:t>
      </w:r>
    </w:p>
    <w:p>
      <w:pPr>
        <w:spacing w:after="120" w:line="300"/>
      </w:pPr>
      <w:r>
        <w:rPr>
          <w:b/>
          <w:bCs/>
        </w:rPr>
        <w:t xml:space="preserve">Example: </w:t>
      </w:r>
      <w:r>
        <w:t xml:space="preserve">For "Why does this algorithm have O(n log n) complexity, and how can I optimize it?" Assembly might create an Algorithm Solver, a Complexity Analyst, a Code Analyst, an Alternative Approach Researcher, and a Critic/Verifier — each mapped to a different underlying model.</w:t>
      </w:r>
    </w:p>
    <w:p>
      <w:pPr>
        <w:spacing w:after="160" w:line="300"/>
      </w:pPr>
      <w:r>
        <w:t xml:space="preserve">The user sees only progress and the final result, never the internal agent conversation.</w:t>
      </w:r>
    </w:p>
    <w:p>
      <w:pPr>
        <w:pStyle w:val="Heading2"/>
        <w:spacing w:after="120" w:before="260"/>
      </w:pPr>
      <w:r>
        <w:t xml:space="preserve">7.2 Agent Lifecycle</w:t>
      </w:r>
    </w:p>
    <w:p>
      <w:pPr>
        <w:pStyle w:val="Heading3"/>
        <w:spacing w:after="100" w:before="200"/>
      </w:pPr>
      <w:r>
        <w:t xml:space="preserve">Stage 1 — Independent solving</w:t>
      </w:r>
    </w:p>
    <w:p>
      <w:pPr>
        <w:spacing w:after="160" w:line="300"/>
      </w:pPr>
      <w:r>
        <w:t xml:space="preserve">Each agent works independently first and cannot see other agents' answers yet, reducing early groupthink.</w:t>
      </w:r>
    </w:p>
    <w:p>
      <w:pPr>
        <w:pStyle w:val="Heading3"/>
        <w:spacing w:after="100" w:before="200"/>
      </w:pPr>
      <w:r>
        <w:t xml:space="preserve">Stage 2 — Share conclusions</w:t>
      </w:r>
    </w:p>
    <w:p>
      <w:pPr>
        <w:spacing w:after="160" w:line="300"/>
      </w:pPr>
      <w:r>
        <w:t xml:space="preserve">Agents publish structured findings (conclusion, evidence, confidence) to the shared workspace.</w:t>
      </w:r>
    </w:p>
    <w:p>
      <w:pPr>
        <w:pStyle w:val="Heading3"/>
        <w:spacing w:after="100" w:before="200"/>
      </w:pPr>
      <w:r>
        <w:t xml:space="preserve">Stage 3 — Cross-agent debate</w:t>
      </w:r>
    </w:p>
    <w:p>
      <w:pPr>
        <w:spacing w:after="160" w:line="300"/>
      </w:pPr>
      <w:r>
        <w:t xml:space="preserve">Agents review each other's conclusions and surface incorrect assumptions, missing evidence, contradictions, weak reasoning, unsupported claims, or better alternative approaches. Every round of debate must resolve a disagreement, add evidence, improve a solution, remove an error, or increase confidence — not produce conversational filler.</w:t>
      </w:r>
    </w:p>
    <w:p>
      <w:pPr>
        <w:pStyle w:val="Heading2"/>
        <w:spacing w:after="120" w:before="260"/>
      </w:pPr>
      <w:r>
        <w:t xml:space="preserve">7.3 Debate Rounds</w:t>
      </w:r>
    </w:p>
    <w:p>
      <w:pPr>
        <w:spacing w:after="160" w:line="300"/>
      </w:pPr>
      <w:r>
        <w:t xml:space="preserve">A high-complexity execution may run through independent solutions, cross-examination, research/evidence verification, disagreement resolution, and a consensus evaluation before final synthesis. The number of rounds is not fixed — Assembly continues while more work is useful and time remains.</w:t>
      </w:r>
    </w:p>
    <w:p>
      <w:pPr>
        <w:pStyle w:val="Heading2"/>
        <w:spacing w:after="120" w:before="260"/>
      </w:pPr>
      <w:r>
        <w:t xml:space="preserve">7.4 Time Budget System</w:t>
      </w:r>
    </w:p>
    <w:p>
      <w:pPr>
        <w:spacing w:after="160" w:line="300"/>
      </w:pPr>
      <w:r>
        <w:t xml:space="preserve">The time budget (3 / 5 / 10 / 15 minutes) is a hard orchestration constraint, not a soft suggestion. It is the primary lever the orchestrator uses to decide team size, round count, and whether web research and deep verification are affordable.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shd w:fill="2E5AAC" w:val="clear"/>
            <w:tcMar>
              <w:top w:type="dxa" w:w="80"/>
              <w:left w:type="dxa" w:w="100"/>
              <w:bottom w:type="dxa" w:w="80"/>
              <w:right w:type="dxa" w:w="100"/>
            </w:tcMar>
            <w:vAlign w:val="center"/>
          </w:tcPr>
          <w:p>
            <w:r>
              <w:rPr>
                <w:b/>
                <w:bCs/>
                <w:color w:val="FFFFFF"/>
                <w:sz w:val="20"/>
                <w:szCs w:val="20"/>
              </w:rPr>
              <w:t xml:space="preserve">Time tier</w:t>
            </w:r>
          </w:p>
        </w:tc>
        <w:tc>
          <w:tcPr>
            <w:tcW w:type="dxa" w:w="7220"/>
            <w:shd w:fill="2E5AAC" w:val="clear"/>
            <w:tcMar>
              <w:top w:type="dxa" w:w="80"/>
              <w:left w:type="dxa" w:w="100"/>
              <w:bottom w:type="dxa" w:w="80"/>
              <w:right w:type="dxa" w:w="100"/>
            </w:tcMar>
            <w:vAlign w:val="center"/>
          </w:tcPr>
          <w:p>
            <w:r>
              <w:rPr>
                <w:b/>
                <w:bCs/>
                <w:color w:val="FFFFFF"/>
                <w:sz w:val="20"/>
                <w:szCs w:val="20"/>
              </w:rPr>
              <w:t xml:space="preserve">Indicative strategy</w:t>
            </w:r>
          </w:p>
        </w:tc>
      </w:tr>
      <w:tr>
        <w:tc>
          <w:tcPr>
            <w:tcW w:type="dxa" w:w="2200"/>
            <w:tcMar>
              <w:top w:type="dxa" w:w="80"/>
              <w:left w:type="dxa" w:w="100"/>
              <w:bottom w:type="dxa" w:w="80"/>
              <w:right w:type="dxa" w:w="100"/>
            </w:tcMar>
            <w:vAlign w:val="center"/>
          </w:tcPr>
          <w:p>
            <w:r>
              <w:rPr>
                <w:sz w:val="20"/>
                <w:szCs w:val="20"/>
              </w:rPr>
              <w:t xml:space="preserve">3 minutes</w:t>
            </w:r>
          </w:p>
        </w:tc>
        <w:tc>
          <w:tcPr>
            <w:tcW w:type="dxa" w:w="7220"/>
            <w:tcMar>
              <w:top w:type="dxa" w:w="80"/>
              <w:left w:type="dxa" w:w="100"/>
              <w:bottom w:type="dxa" w:w="80"/>
              <w:right w:type="dxa" w:w="100"/>
            </w:tcMar>
            <w:vAlign w:val="center"/>
          </w:tcPr>
          <w:p>
            <w:r>
              <w:rPr>
                <w:sz w:val="20"/>
                <w:szCs w:val="20"/>
              </w:rPr>
              <w:t xml:space="preserve">2–3 agents, 1 debate/verification round, fast synthesis</w:t>
            </w:r>
          </w:p>
        </w:tc>
      </w:tr>
      <w:tr>
        <w:tc>
          <w:tcPr>
            <w:tcW w:type="dxa" w:w="2200"/>
            <w:tcMar>
              <w:top w:type="dxa" w:w="80"/>
              <w:left w:type="dxa" w:w="100"/>
              <w:bottom w:type="dxa" w:w="80"/>
              <w:right w:type="dxa" w:w="100"/>
            </w:tcMar>
            <w:vAlign w:val="center"/>
          </w:tcPr>
          <w:p>
            <w:r>
              <w:rPr>
                <w:sz w:val="20"/>
                <w:szCs w:val="20"/>
              </w:rPr>
              <w:t xml:space="preserve">5 minutes</w:t>
            </w:r>
          </w:p>
        </w:tc>
        <w:tc>
          <w:tcPr>
            <w:tcW w:type="dxa" w:w="7220"/>
            <w:tcMar>
              <w:top w:type="dxa" w:w="80"/>
              <w:left w:type="dxa" w:w="100"/>
              <w:bottom w:type="dxa" w:w="80"/>
              <w:right w:type="dxa" w:w="100"/>
            </w:tcMar>
            <w:vAlign w:val="center"/>
          </w:tcPr>
          <w:p>
            <w:r>
              <w:rPr>
                <w:sz w:val="20"/>
                <w:szCs w:val="20"/>
              </w:rPr>
              <w:t xml:space="preserve">3–4 agents, 2 debate rounds, basic verification</w:t>
            </w:r>
          </w:p>
        </w:tc>
      </w:tr>
      <w:tr>
        <w:tc>
          <w:tcPr>
            <w:tcW w:type="dxa" w:w="2200"/>
            <w:tcMar>
              <w:top w:type="dxa" w:w="80"/>
              <w:left w:type="dxa" w:w="100"/>
              <w:bottom w:type="dxa" w:w="80"/>
              <w:right w:type="dxa" w:w="100"/>
            </w:tcMar>
            <w:vAlign w:val="center"/>
          </w:tcPr>
          <w:p>
            <w:r>
              <w:rPr>
                <w:sz w:val="20"/>
                <w:szCs w:val="20"/>
              </w:rPr>
              <w:t xml:space="preserve">10 minutes</w:t>
            </w:r>
          </w:p>
        </w:tc>
        <w:tc>
          <w:tcPr>
            <w:tcW w:type="dxa" w:w="7220"/>
            <w:tcMar>
              <w:top w:type="dxa" w:w="80"/>
              <w:left w:type="dxa" w:w="100"/>
              <w:bottom w:type="dxa" w:w="80"/>
              <w:right w:type="dxa" w:w="100"/>
            </w:tcMar>
            <w:vAlign w:val="center"/>
          </w:tcPr>
          <w:p>
            <w:r>
              <w:rPr>
                <w:sz w:val="20"/>
                <w:szCs w:val="20"/>
              </w:rPr>
              <w:t xml:space="preserve">4–6 agents, multiple debate rounds, web research, cross-verification</w:t>
            </w:r>
          </w:p>
        </w:tc>
      </w:tr>
      <w:tr>
        <w:tc>
          <w:tcPr>
            <w:tcW w:type="dxa" w:w="2200"/>
            <w:tcMar>
              <w:top w:type="dxa" w:w="80"/>
              <w:left w:type="dxa" w:w="100"/>
              <w:bottom w:type="dxa" w:w="80"/>
              <w:right w:type="dxa" w:w="100"/>
            </w:tcMar>
            <w:vAlign w:val="center"/>
          </w:tcPr>
          <w:p>
            <w:r>
              <w:rPr>
                <w:sz w:val="20"/>
                <w:szCs w:val="20"/>
              </w:rPr>
              <w:t xml:space="preserve">15 minutes</w:t>
            </w:r>
          </w:p>
        </w:tc>
        <w:tc>
          <w:tcPr>
            <w:tcW w:type="dxa" w:w="7220"/>
            <w:tcMar>
              <w:top w:type="dxa" w:w="80"/>
              <w:left w:type="dxa" w:w="100"/>
              <w:bottom w:type="dxa" w:w="80"/>
              <w:right w:type="dxa" w:w="100"/>
            </w:tcMar>
            <w:vAlign w:val="center"/>
          </w:tcPr>
          <w:p>
            <w:r>
              <w:rPr>
                <w:sz w:val="20"/>
                <w:szCs w:val="20"/>
              </w:rPr>
              <w:t xml:space="preserve">5–8 agents, deep research, multiple critique rounds, source verification, final consensus</w:t>
            </w:r>
          </w:p>
        </w:tc>
      </w:tr>
    </w:tbl>
    <w:p>
      <w:pPr>
        <w:spacing w:after="200"/>
      </w:pPr>
      <w:r>
        <w:rPr>
          <w:i/>
          <w:iCs/>
          <w:color w:val="5B5B5B"/>
          <w:sz w:val="20"/>
          <w:szCs w:val="20"/>
        </w:rPr>
        <w:t xml:space="preserve">These are illustrative strategies, not hard-coded rules. Assembly should dynamically decide whether additional time is better spent on another agent, another research cycle, deeper verification, another debate round, code execution/testing, or source checking.</w:t>
      </w:r>
    </w:p>
    <w:p>
      <w:pPr>
        <w:pStyle w:val="Heading2"/>
        <w:spacing w:after="120" w:before="260"/>
      </w:pPr>
      <w:r>
        <w:t xml:space="preserve">7.5 Consensus Engine</w:t>
      </w:r>
    </w:p>
    <w:p>
      <w:pPr>
        <w:spacing w:after="160" w:line="300"/>
      </w:pPr>
      <w:r>
        <w:t xml:space="preserve">Assembly requires an actual Consensus Controller, not just a final LLM call. Each agent returns structured output including its position, confidence, which agents it supports or disagrees with, evidence, and remaining uncertainty. The consensus engine evaluates agreement across independent agents, evidence quality, independent verification, contradictions, confidence, remaining uncertainty, and new information produced per round, and emits a consensus score that determines whether to stop or continue.</w:t>
      </w:r>
    </w:p>
    <w:p>
      <w:pPr>
        <w:pStyle w:val="Heading2"/>
        <w:spacing w:after="120" w:before="260"/>
      </w:pPr>
      <w:r>
        <w:t xml:space="preserve">7.6 Preventing AI Echo Chambers</w:t>
      </w:r>
    </w:p>
    <w:p>
      <w:pPr>
        <w:spacing w:after="160" w:line="300"/>
      </w:pPr>
      <w:r>
        <w:t xml:space="preserve">A major risk in multi-agent systems is cascading trust: one model makes a wrong claim, the next model trusts it, the next trusts that one, and the wrong answer looks like consensus. Assembly must actively guard against this via independent first-pass reasoning, evidence requirements attached to claims, a dedicated critic agent whose role is to find flaws ("what could everyone here be wrong about?"), and adversarial verification, where the orchestrator can explicitly assign an agent to assume the current consensus is wrong and find the strongest counterargument.</w:t>
      </w:r>
    </w:p>
    <w:p>
      <w:pPr>
        <w:pStyle w:val="Heading2"/>
        <w:spacing w:after="120" w:before="260"/>
      </w:pPr>
      <w:r>
        <w:t xml:space="preserve">7.7 Research Engine</w:t>
      </w:r>
    </w:p>
    <w:p>
      <w:pPr>
        <w:spacing w:after="160" w:line="300"/>
      </w:pPr>
      <w:r>
        <w:t xml:space="preserve">Web research is a core feature, not an add-on, since research is one of Assembly's target use cases. For research-heavy questions, multiple research agents gather from different source groups, a source collector aggregates them, source credibility is analyzed, cross-verification runs across sources, and only the sources actually used appear in the final answer.</w:t>
      </w:r>
    </w:p>
    <w:p>
      <w:pPr>
        <w:pStyle w:val="Heading2"/>
        <w:spacing w:after="120" w:before="260"/>
      </w:pPr>
      <w:r>
        <w:t xml:space="preserve">7.8 Coding Mode</w:t>
      </w:r>
    </w:p>
    <w:p>
      <w:pPr>
        <w:spacing w:after="160" w:line="300"/>
      </w:pPr>
      <w:r>
        <w:t xml:space="preserve">Coding problems use a specialized team and workflow: Problem Analyzer, Solution Architect, Implementation Agent, Security Reviewer, Performance Reviewer, and Debugging Agent, collaborating around a shared implementation artifact (code, tests, requirements, analysis) rather than each producing an isolated implementation.</w:t>
      </w:r>
    </w:p>
    <w:p>
      <w:pPr>
        <w:pStyle w:val="Heading2"/>
        <w:spacing w:after="120" w:before="260"/>
      </w:pPr>
      <w:r>
        <w:t xml:space="preserve">7.9 General-Question Mode &amp; Problem Classification</w:t>
      </w:r>
    </w:p>
    <w:p>
      <w:pPr>
        <w:spacing w:after="160" w:line="300"/>
      </w:pPr>
      <w:r>
        <w:t xml:space="preserve">Assembly must classify complexity before forming a team. Low-complexity questions (e.g. "What is photosynthesis?") get 2 agents, minimal debate, and a fast answer. High-complexity questions (e.g. comparing multiple treatment approaches) get 5–6 agents, research, and multiple verification rounds. This classification step directly improves speed, cost, user experience, and resource utilization.</w:t>
      </w:r>
    </w:p>
    <w:p>
      <w:pPr>
        <w:pStyle w:val="Heading2"/>
        <w:spacing w:after="120" w:before="260"/>
      </w:pPr>
      <w:r>
        <w:t xml:space="preserve">7.10 Final Answer Behavior</w:t>
      </w:r>
    </w:p>
    <w:p>
      <w:pPr>
        <w:spacing w:after="160" w:line="300"/>
      </w:pPr>
      <w:r>
        <w:t xml:space="preserve">The user sees only the final synthesized answer and the sources used — never agent-by-agent chain-of-thought. A progress UI may surface high-level system state (e.g. "5 agents researching, 3 disagreements identified, 2 sources being verified, Consensus: 84%, Time remaining: 03:21") to build confidence without leaking private deliberation.</w:t>
      </w:r>
    </w:p>
    <w:p>
      <w:pPr>
        <w:pStyle w:val="Heading2"/>
        <w:spacing w:after="120" w:before="260"/>
      </w:pPr>
      <w:r>
        <w:t xml:space="preserve">7.11 Authentication and User Accounts</w:t>
      </w:r>
    </w:p>
    <w:p>
      <w:pPr>
        <w:spacing w:after="160" w:line="300"/>
      </w:pPr>
      <w:r>
        <w:t xml:space="preserve">The application supports sign up, login, Google OAuth, and password reset. Each execution is associated with the authenticated user.</w:t>
      </w:r>
    </w:p>
    <w:p>
      <w:pPr>
        <w:spacing w:after="120" w:line="300"/>
      </w:pPr>
      <w:r>
        <w:rPr>
          <w:b/>
          <w:bCs/>
        </w:rPr>
        <w:t xml:space="preserve">User dashboard sections: </w:t>
      </w:r>
      <w:r>
        <w:t xml:space="preserve">Recent Questions, Saved Conversations, Usage, Saved Teams, Account.</w:t>
      </w:r>
    </w:p>
    <w:p>
      <w:pPr>
        <w:pStyle w:val="Heading2"/>
        <w:spacing w:after="120" w:before="260"/>
      </w:pPr>
      <w:r>
        <w:t xml:space="preserve">7.12 Monetization</w:t>
      </w:r>
    </w:p>
    <w:p>
      <w:pPr>
        <w:spacing w:after="160" w:line="300"/>
      </w:pPr>
      <w:r>
        <w:t xml:space="preserve">The system naturally supports usage-based tiers, finalized only after real model and infrastructure costs are measured: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600"/>
        <w:gridCol w:w="6820"/>
      </w:tblGrid>
      <w:tr>
        <w:trPr>
          <w:tblHeader/>
        </w:trPr>
        <w:tc>
          <w:tcPr>
            <w:tcW w:type="dxa" w:w="2600"/>
            <w:shd w:fill="2E5AAC" w:val="clear"/>
            <w:tcMar>
              <w:top w:type="dxa" w:w="80"/>
              <w:left w:type="dxa" w:w="100"/>
              <w:bottom w:type="dxa" w:w="80"/>
              <w:right w:type="dxa" w:w="100"/>
            </w:tcMar>
            <w:vAlign w:val="center"/>
          </w:tcPr>
          <w:p>
            <w:r>
              <w:rPr>
                <w:b/>
                <w:bCs/>
                <w:color w:val="FFFFFF"/>
                <w:sz w:val="20"/>
                <w:szCs w:val="20"/>
              </w:rPr>
              <w:t xml:space="preserve">Tier</w:t>
            </w:r>
          </w:p>
        </w:tc>
        <w:tc>
          <w:tcPr>
            <w:tcW w:type="dxa" w:w="6820"/>
            <w:shd w:fill="2E5AAC" w:val="clear"/>
            <w:tcMar>
              <w:top w:type="dxa" w:w="80"/>
              <w:left w:type="dxa" w:w="100"/>
              <w:bottom w:type="dxa" w:w="80"/>
              <w:right w:type="dxa" w:w="100"/>
            </w:tcMar>
            <w:vAlign w:val="center"/>
          </w:tcPr>
          <w:p>
            <w:r>
              <w:rPr>
                <w:b/>
                <w:bCs/>
                <w:color w:val="FFFFFF"/>
                <w:sz w:val="20"/>
                <w:szCs w:val="20"/>
              </w:rPr>
              <w:t xml:space="preserve">Indicative features</w:t>
            </w:r>
          </w:p>
        </w:tc>
      </w:tr>
      <w:tr>
        <w:tc>
          <w:tcPr>
            <w:tcW w:type="dxa" w:w="2600"/>
            <w:tcMar>
              <w:top w:type="dxa" w:w="80"/>
              <w:left w:type="dxa" w:w="100"/>
              <w:bottom w:type="dxa" w:w="80"/>
              <w:right w:type="dxa" w:w="100"/>
            </w:tcMar>
            <w:vAlign w:val="center"/>
          </w:tcPr>
          <w:p>
            <w:r>
              <w:rPr>
                <w:sz w:val="20"/>
                <w:szCs w:val="20"/>
              </w:rPr>
              <w:t xml:space="preserve">Free</w:t>
            </w:r>
          </w:p>
        </w:tc>
        <w:tc>
          <w:tcPr>
            <w:tcW w:type="dxa" w:w="6820"/>
            <w:tcMar>
              <w:top w:type="dxa" w:w="80"/>
              <w:left w:type="dxa" w:w="100"/>
              <w:bottom w:type="dxa" w:w="80"/>
              <w:right w:type="dxa" w:w="100"/>
            </w:tcMar>
            <w:vAlign w:val="center"/>
          </w:tcPr>
          <w:p>
            <w:r>
              <w:rPr>
                <w:sz w:val="20"/>
                <w:szCs w:val="20"/>
              </w:rPr>
              <w:t xml:space="preserve">3-minute execution, limited executions/day, fewer agents, basic models</w:t>
            </w:r>
          </w:p>
        </w:tc>
      </w:tr>
      <w:tr>
        <w:tc>
          <w:tcPr>
            <w:tcW w:type="dxa" w:w="2600"/>
            <w:tcMar>
              <w:top w:type="dxa" w:w="80"/>
              <w:left w:type="dxa" w:w="100"/>
              <w:bottom w:type="dxa" w:w="80"/>
              <w:right w:type="dxa" w:w="100"/>
            </w:tcMar>
            <w:vAlign w:val="center"/>
          </w:tcPr>
          <w:p>
            <w:r>
              <w:rPr>
                <w:sz w:val="20"/>
                <w:szCs w:val="20"/>
              </w:rPr>
              <w:t xml:space="preserve">Pro</w:t>
            </w:r>
          </w:p>
        </w:tc>
        <w:tc>
          <w:tcPr>
            <w:tcW w:type="dxa" w:w="6820"/>
            <w:tcMar>
              <w:top w:type="dxa" w:w="80"/>
              <w:left w:type="dxa" w:w="100"/>
              <w:bottom w:type="dxa" w:w="80"/>
              <w:right w:type="dxa" w:w="100"/>
            </w:tcMar>
            <w:vAlign w:val="center"/>
          </w:tcPr>
          <w:p>
            <w:r>
              <w:rPr>
                <w:sz w:val="20"/>
                <w:szCs w:val="20"/>
              </w:rPr>
              <w:t xml:space="preserve">15-minute execution, more agents, advanced models, deeper research, higher limits</w:t>
            </w:r>
          </w:p>
        </w:tc>
      </w:tr>
      <w:tr>
        <w:tc>
          <w:tcPr>
            <w:tcW w:type="dxa" w:w="2600"/>
            <w:tcMar>
              <w:top w:type="dxa" w:w="80"/>
              <w:left w:type="dxa" w:w="100"/>
              <w:bottom w:type="dxa" w:w="80"/>
              <w:right w:type="dxa" w:w="100"/>
            </w:tcMar>
            <w:vAlign w:val="center"/>
          </w:tcPr>
          <w:p>
            <w:r>
              <w:rPr>
                <w:sz w:val="20"/>
                <w:szCs w:val="20"/>
              </w:rPr>
              <w:t xml:space="preserve">Researcher / Developer</w:t>
            </w:r>
          </w:p>
        </w:tc>
        <w:tc>
          <w:tcPr>
            <w:tcW w:type="dxa" w:w="6820"/>
            <w:tcMar>
              <w:top w:type="dxa" w:w="80"/>
              <w:left w:type="dxa" w:w="100"/>
              <w:bottom w:type="dxa" w:w="80"/>
              <w:right w:type="dxa" w:w="100"/>
            </w:tcMar>
            <w:vAlign w:val="center"/>
          </w:tcPr>
          <w:p>
            <w:r>
              <w:rPr>
                <w:sz w:val="20"/>
                <w:szCs w:val="20"/>
              </w:rPr>
              <w:t xml:space="preserve">Higher execution limits, API access, export results, custom workflows, project memory, advanced research capabilities</w:t>
            </w:r>
          </w:p>
        </w:tc>
      </w:tr>
    </w:tbl>
    <w:p>
      <w:pPr>
        <w:pStyle w:val="Heading1"/>
        <w:spacing w:after="160" w:before="360"/>
      </w:pPr>
      <w:r>
        <w:t xml:space="preserve">8. UX Requirements</w:t>
      </w:r>
    </w:p>
    <w:p>
      <w:pPr>
        <w:pStyle w:val="Heading2"/>
        <w:spacing w:after="120" w:before="260"/>
      </w:pPr>
      <w:r>
        <w:t xml:space="preserve">8.1 Chat interface</w:t>
      </w:r>
    </w:p>
    <w:p>
      <w:pPr>
        <w:spacing w:after="160" w:line="300"/>
      </w:pPr>
      <w:r>
        <w:t xml:space="preserve">A familiar chat-style entry point: a question box, a thinking-time selector (3m / 5m / 10m / 15m), and a mode indicator (Auto).</w:t>
      </w:r>
    </w:p>
    <w:p>
      <w:pPr>
        <w:pStyle w:val="Heading2"/>
        <w:spacing w:after="120" w:before="260"/>
      </w:pPr>
      <w:r>
        <w:t xml:space="preserve">8.2 Team Progress Workspace</w:t>
      </w:r>
    </w:p>
    <w:p>
      <w:pPr>
        <w:spacing w:after="160" w:line="300"/>
      </w:pPr>
      <w:r>
        <w:t xml:space="preserve">While Assembly is working, the user sees a live, high-level status view — which agent roles are active and what they're doing (e.g. "Researcher — searching sources", "Critic — reviewing claims"), an overall consensus percentage, time remaining, and a lightweight team-activity feed. This view must never expose raw internal chain-of-thought or the full agent debate transcript.</w:t>
      </w:r>
    </w:p>
    <w:p>
      <w:pPr>
        <w:pStyle w:val="Heading1"/>
        <w:spacing w:after="160" w:before="360"/>
      </w:pPr>
      <w:r>
        <w:t xml:space="preserve">9. Technical Architecture</w:t>
      </w:r>
    </w:p>
    <w:p>
      <w:pPr>
        <w:pStyle w:val="Heading2"/>
        <w:spacing w:after="120" w:before="260"/>
      </w:pPr>
      <w:r>
        <w:t xml:space="preserve">9.1 Recommended stack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800"/>
        <w:gridCol w:w="6620"/>
      </w:tblGrid>
      <w:tr>
        <w:trPr>
          <w:tblHeader/>
        </w:trPr>
        <w:tc>
          <w:tcPr>
            <w:tcW w:type="dxa" w:w="2800"/>
            <w:shd w:fill="2E5AAC" w:val="clear"/>
            <w:tcMar>
              <w:top w:type="dxa" w:w="80"/>
              <w:left w:type="dxa" w:w="100"/>
              <w:bottom w:type="dxa" w:w="80"/>
              <w:right w:type="dxa" w:w="100"/>
            </w:tcMar>
            <w:vAlign w:val="center"/>
          </w:tcPr>
          <w:p>
            <w:r>
              <w:rPr>
                <w:b/>
                <w:bCs/>
                <w:color w:val="FFFFFF"/>
                <w:sz w:val="20"/>
                <w:szCs w:val="20"/>
              </w:rPr>
              <w:t xml:space="preserve">Layer</w:t>
            </w:r>
          </w:p>
        </w:tc>
        <w:tc>
          <w:tcPr>
            <w:tcW w:type="dxa" w:w="6620"/>
            <w:shd w:fill="2E5AAC" w:val="clear"/>
            <w:tcMar>
              <w:top w:type="dxa" w:w="80"/>
              <w:left w:type="dxa" w:w="100"/>
              <w:bottom w:type="dxa" w:w="80"/>
              <w:right w:type="dxa" w:w="100"/>
            </w:tcMar>
            <w:vAlign w:val="center"/>
          </w:tcPr>
          <w:p>
            <w:r>
              <w:rPr>
                <w:b/>
                <w:bCs/>
                <w:color w:val="FFFFFF"/>
                <w:sz w:val="20"/>
                <w:szCs w:val="20"/>
              </w:rPr>
              <w:t xml:space="preserve">Choice</w:t>
            </w:r>
          </w:p>
        </w:tc>
      </w:tr>
      <w:tr>
        <w:tc>
          <w:tcPr>
            <w:tcW w:type="dxa" w:w="2800"/>
            <w:tcMar>
              <w:top w:type="dxa" w:w="80"/>
              <w:left w:type="dxa" w:w="100"/>
              <w:bottom w:type="dxa" w:w="80"/>
              <w:right w:type="dxa" w:w="100"/>
            </w:tcMar>
            <w:vAlign w:val="center"/>
          </w:tcPr>
          <w:p>
            <w:r>
              <w:rPr>
                <w:sz w:val="20"/>
                <w:szCs w:val="20"/>
              </w:rPr>
              <w:t xml:space="preserve">Frontend</w:t>
            </w:r>
          </w:p>
        </w:tc>
        <w:tc>
          <w:tcPr>
            <w:tcW w:type="dxa" w:w="6620"/>
            <w:tcMar>
              <w:top w:type="dxa" w:w="80"/>
              <w:left w:type="dxa" w:w="100"/>
              <w:bottom w:type="dxa" w:w="80"/>
              <w:right w:type="dxa" w:w="100"/>
            </w:tcMar>
            <w:vAlign w:val="center"/>
          </w:tcPr>
          <w:p>
            <w:r>
              <w:rPr>
                <w:sz w:val="20"/>
                <w:szCs w:val="20"/>
              </w:rPr>
              <w:t xml:space="preserve">Next.js, TypeScript, Tailwind CSS</w:t>
            </w:r>
          </w:p>
        </w:tc>
      </w:tr>
      <w:tr>
        <w:tc>
          <w:tcPr>
            <w:tcW w:type="dxa" w:w="2800"/>
            <w:tcMar>
              <w:top w:type="dxa" w:w="80"/>
              <w:left w:type="dxa" w:w="100"/>
              <w:bottom w:type="dxa" w:w="80"/>
              <w:right w:type="dxa" w:w="100"/>
            </w:tcMar>
            <w:vAlign w:val="center"/>
          </w:tcPr>
          <w:p>
            <w:r>
              <w:rPr>
                <w:sz w:val="20"/>
                <w:szCs w:val="20"/>
              </w:rPr>
              <w:t xml:space="preserve">Backend</w:t>
            </w:r>
          </w:p>
        </w:tc>
        <w:tc>
          <w:tcPr>
            <w:tcW w:type="dxa" w:w="6620"/>
            <w:tcMar>
              <w:top w:type="dxa" w:w="80"/>
              <w:left w:type="dxa" w:w="100"/>
              <w:bottom w:type="dxa" w:w="80"/>
              <w:right w:type="dxa" w:w="100"/>
            </w:tcMar>
            <w:vAlign w:val="center"/>
          </w:tcPr>
          <w:p>
            <w:r>
              <w:rPr>
                <w:sz w:val="20"/>
                <w:szCs w:val="20"/>
              </w:rPr>
              <w:t xml:space="preserve">FastAPI (Python)</w:t>
            </w:r>
          </w:p>
        </w:tc>
      </w:tr>
      <w:tr>
        <w:tc>
          <w:tcPr>
            <w:tcW w:type="dxa" w:w="2800"/>
            <w:tcMar>
              <w:top w:type="dxa" w:w="80"/>
              <w:left w:type="dxa" w:w="100"/>
              <w:bottom w:type="dxa" w:w="80"/>
              <w:right w:type="dxa" w:w="100"/>
            </w:tcMar>
            <w:vAlign w:val="center"/>
          </w:tcPr>
          <w:p>
            <w:r>
              <w:rPr>
                <w:sz w:val="20"/>
                <w:szCs w:val="20"/>
              </w:rPr>
              <w:t xml:space="preserve">AI orchestration</w:t>
            </w:r>
          </w:p>
        </w:tc>
        <w:tc>
          <w:tcPr>
            <w:tcW w:type="dxa" w:w="6620"/>
            <w:tcMar>
              <w:top w:type="dxa" w:w="80"/>
              <w:left w:type="dxa" w:w="100"/>
              <w:bottom w:type="dxa" w:w="80"/>
              <w:right w:type="dxa" w:w="100"/>
            </w:tcMar>
            <w:vAlign w:val="center"/>
          </w:tcPr>
          <w:p>
            <w:r>
              <w:rPr>
                <w:sz w:val="20"/>
                <w:szCs w:val="20"/>
              </w:rPr>
              <w:t xml:space="preserve">Custom orchestration layer</w:t>
            </w:r>
          </w:p>
        </w:tc>
      </w:tr>
      <w:tr>
        <w:tc>
          <w:tcPr>
            <w:tcW w:type="dxa" w:w="2800"/>
            <w:tcMar>
              <w:top w:type="dxa" w:w="80"/>
              <w:left w:type="dxa" w:w="100"/>
              <w:bottom w:type="dxa" w:w="80"/>
              <w:right w:type="dxa" w:w="100"/>
            </w:tcMar>
            <w:vAlign w:val="center"/>
          </w:tcPr>
          <w:p>
            <w:r>
              <w:rPr>
                <w:sz w:val="20"/>
                <w:szCs w:val="20"/>
              </w:rPr>
              <w:t xml:space="preserve">Models</w:t>
            </w:r>
          </w:p>
        </w:tc>
        <w:tc>
          <w:tcPr>
            <w:tcW w:type="dxa" w:w="6620"/>
            <w:tcMar>
              <w:top w:type="dxa" w:w="80"/>
              <w:left w:type="dxa" w:w="100"/>
              <w:bottom w:type="dxa" w:w="80"/>
              <w:right w:type="dxa" w:w="100"/>
            </w:tcMar>
            <w:vAlign w:val="center"/>
          </w:tcPr>
          <w:p>
            <w:r>
              <w:rPr>
                <w:sz w:val="20"/>
                <w:szCs w:val="20"/>
              </w:rPr>
              <w:t xml:space="preserve">OpenAI/GPT, Google Gemini, Groq, selected open-source models</w:t>
            </w:r>
          </w:p>
        </w:tc>
      </w:tr>
      <w:tr>
        <w:tc>
          <w:tcPr>
            <w:tcW w:type="dxa" w:w="2800"/>
            <w:tcMar>
              <w:top w:type="dxa" w:w="80"/>
              <w:left w:type="dxa" w:w="100"/>
              <w:bottom w:type="dxa" w:w="80"/>
              <w:right w:type="dxa" w:w="100"/>
            </w:tcMar>
            <w:vAlign w:val="center"/>
          </w:tcPr>
          <w:p>
            <w:r>
              <w:rPr>
                <w:sz w:val="20"/>
                <w:szCs w:val="20"/>
              </w:rPr>
              <w:t xml:space="preserve">Database</w:t>
            </w:r>
          </w:p>
        </w:tc>
        <w:tc>
          <w:tcPr>
            <w:tcW w:type="dxa" w:w="6620"/>
            <w:tcMar>
              <w:top w:type="dxa" w:w="80"/>
              <w:left w:type="dxa" w:w="100"/>
              <w:bottom w:type="dxa" w:w="80"/>
              <w:right w:type="dxa" w:w="100"/>
            </w:tcMar>
            <w:vAlign w:val="center"/>
          </w:tcPr>
          <w:p>
            <w:r>
              <w:rPr>
                <w:sz w:val="20"/>
                <w:szCs w:val="20"/>
              </w:rPr>
              <w:t xml:space="preserve">PostgreSQL</w:t>
            </w:r>
          </w:p>
        </w:tc>
      </w:tr>
      <w:tr>
        <w:tc>
          <w:tcPr>
            <w:tcW w:type="dxa" w:w="2800"/>
            <w:tcMar>
              <w:top w:type="dxa" w:w="80"/>
              <w:left w:type="dxa" w:w="100"/>
              <w:bottom w:type="dxa" w:w="80"/>
              <w:right w:type="dxa" w:w="100"/>
            </w:tcMar>
            <w:vAlign w:val="center"/>
          </w:tcPr>
          <w:p>
            <w:r>
              <w:rPr>
                <w:sz w:val="20"/>
                <w:szCs w:val="20"/>
              </w:rPr>
              <w:t xml:space="preserve">Cache / queue / event bus</w:t>
            </w:r>
          </w:p>
        </w:tc>
        <w:tc>
          <w:tcPr>
            <w:tcW w:type="dxa" w:w="6620"/>
            <w:tcMar>
              <w:top w:type="dxa" w:w="80"/>
              <w:left w:type="dxa" w:w="100"/>
              <w:bottom w:type="dxa" w:w="80"/>
              <w:right w:type="dxa" w:w="100"/>
            </w:tcMar>
            <w:vAlign w:val="center"/>
          </w:tcPr>
          <w:p>
            <w:r>
              <w:rPr>
                <w:sz w:val="20"/>
                <w:szCs w:val="20"/>
              </w:rPr>
              <w:t xml:space="preserve">Redis (MVP); Redis Streams, NATS, or Kafka at scale</w:t>
            </w:r>
          </w:p>
        </w:tc>
      </w:tr>
      <w:tr>
        <w:tc>
          <w:tcPr>
            <w:tcW w:type="dxa" w:w="2800"/>
            <w:tcMar>
              <w:top w:type="dxa" w:w="80"/>
              <w:left w:type="dxa" w:w="100"/>
              <w:bottom w:type="dxa" w:w="80"/>
              <w:right w:type="dxa" w:w="100"/>
            </w:tcMar>
            <w:vAlign w:val="center"/>
          </w:tcPr>
          <w:p>
            <w:r>
              <w:rPr>
                <w:sz w:val="20"/>
                <w:szCs w:val="20"/>
              </w:rPr>
              <w:t xml:space="preserve">Authentication</w:t>
            </w:r>
          </w:p>
        </w:tc>
        <w:tc>
          <w:tcPr>
            <w:tcW w:type="dxa" w:w="6620"/>
            <w:tcMar>
              <w:top w:type="dxa" w:w="80"/>
              <w:left w:type="dxa" w:w="100"/>
              <w:bottom w:type="dxa" w:w="80"/>
              <w:right w:type="dxa" w:w="100"/>
            </w:tcMar>
            <w:vAlign w:val="center"/>
          </w:tcPr>
          <w:p>
            <w:r>
              <w:rPr>
                <w:sz w:val="20"/>
                <w:szCs w:val="20"/>
              </w:rPr>
              <w:t xml:space="preserve">Supabase Auth or equivalent</w:t>
            </w:r>
          </w:p>
        </w:tc>
      </w:tr>
      <w:tr>
        <w:tc>
          <w:tcPr>
            <w:tcW w:type="dxa" w:w="2800"/>
            <w:tcMar>
              <w:top w:type="dxa" w:w="80"/>
              <w:left w:type="dxa" w:w="100"/>
              <w:bottom w:type="dxa" w:w="80"/>
              <w:right w:type="dxa" w:w="100"/>
            </w:tcMar>
            <w:vAlign w:val="center"/>
          </w:tcPr>
          <w:p>
            <w:r>
              <w:rPr>
                <w:sz w:val="20"/>
                <w:szCs w:val="20"/>
              </w:rPr>
              <w:t xml:space="preserve">Deployment</w:t>
            </w:r>
          </w:p>
        </w:tc>
        <w:tc>
          <w:tcPr>
            <w:tcW w:type="dxa" w:w="6620"/>
            <w:tcMar>
              <w:top w:type="dxa" w:w="80"/>
              <w:left w:type="dxa" w:w="100"/>
              <w:bottom w:type="dxa" w:w="80"/>
              <w:right w:type="dxa" w:w="100"/>
            </w:tcMar>
            <w:vAlign w:val="center"/>
          </w:tcPr>
          <w:p>
            <w:r>
              <w:rPr>
                <w:sz w:val="20"/>
                <w:szCs w:val="20"/>
              </w:rPr>
              <w:t xml:space="preserve">Vercel (frontend); cloud infrastructure for FastAPI/workers</w:t>
            </w:r>
          </w:p>
        </w:tc>
      </w:tr>
    </w:tbl>
    <w:p>
      <w:pPr>
        <w:spacing w:after="200"/>
      </w:pPr>
      <w:r>
        <w:rPr>
          <w:i/>
          <w:iCs/>
          <w:color w:val="5B5B5B"/>
          <w:sz w:val="20"/>
          <w:szCs w:val="20"/>
        </w:rPr>
        <w:t xml:space="preserve">The model layer must be provider-agnostic — the orchestrator should never depend directly on one provider.</w:t>
      </w:r>
    </w:p>
    <w:p>
      <w:pPr>
        <w:pStyle w:val="Heading2"/>
        <w:spacing w:after="120" w:before="260"/>
      </w:pPr>
      <w:r>
        <w:t xml:space="preserve">9.2 System architecture</w:t>
      </w:r>
    </w:p>
    <w:p>
      <w:pPr>
        <w:spacing w:after="160" w:line="300"/>
      </w:pPr>
      <w:r>
        <w:t xml:space="preserve">Next.js UI → FastAPI API Gateway → Authentication + PostgreSQL, feeding an AI Orchestrator (Planner, Agent Manager, Time Controller, Consensus Engine, Cost Controller). The orchestrator drives an Agent Pool (GPT, Gemini, Groq, open-source models) and a Research Engine, both publishing to a Shared Workspace / Event Bus, which feeds Final Synthesis and produces the Answer + Sources returned to the user.</w:t>
      </w:r>
    </w:p>
    <w:p>
      <w:pPr>
        <w:pStyle w:val="Heading2"/>
        <w:spacing w:after="120" w:before="260"/>
      </w:pPr>
      <w:r>
        <w:t xml:space="preserve">9.3 Backend structure (indicative)</w:t>
      </w:r>
    </w:p>
    <w:p>
      <w:pPr>
        <w:spacing w:after="160" w:line="300"/>
      </w:pPr>
      <w:r>
        <w:t xml:space="preserve">api/ (auth, conversations, teams, executions) · orchestration/ (planner, orchestrator, agent_manager, consensus, debate, scheduler) · agents/ (base_agent, researcher, coder, analyst, critic, synthesizer) · providers/ (openai, gemini, groq, open_source) · research/ (search, scraper, source_ranker, citation_manager) · memory/ (conversation, team_memory, vector_store) · core/ (config, security, logging).</w:t>
      </w:r>
    </w:p>
    <w:p>
      <w:pPr>
        <w:pStyle w:val="Heading2"/>
        <w:spacing w:after="120" w:before="260"/>
      </w:pPr>
      <w:r>
        <w:t xml:space="preserve">9.4 Provider abstraction</w:t>
      </w:r>
    </w:p>
    <w:p>
      <w:pPr>
        <w:spacing w:after="160" w:line="300"/>
      </w:pPr>
      <w:r>
        <w:t xml:space="preserve">A common AIProvider interface (generate(messages, model, temperature, ...)) is implemented per provider (OpenAIProvider, GeminiProvider, GroqProvider, OpenSourceProvider), so models can be added or swapped without rewriting the orchestration layer.</w:t>
      </w:r>
    </w:p>
    <w:p>
      <w:pPr>
        <w:pStyle w:val="Heading2"/>
        <w:spacing w:after="120" w:before="260"/>
      </w:pPr>
      <w:r>
        <w:t xml:space="preserve">9.5 Database design</w:t>
      </w:r>
    </w:p>
    <w:p>
      <w:pPr>
        <w:spacing w:after="160" w:line="300"/>
      </w:pPr>
      <w:r>
        <w:t xml:space="preserve">PostgreSQL stores users, sessions, conversations, messages, executions, agents, agent_runs, agent_messages, debate_rounds, consensus_events, sources, citations, usage, and saved_teams. Structured storage (rather than raw conversation text) is required for debugging, analytics, and evaluation. Key records include agent_runs (execution, agent, model, role, token counts, status, confidence, timestamps) and agent_messages (round, agent, message type, content, claim, evidence, confidence, timestamp).</w:t>
      </w:r>
    </w:p>
    <w:p>
      <w:pPr>
        <w:pStyle w:val="Heading2"/>
        <w:spacing w:after="120" w:before="260"/>
      </w:pPr>
      <w:r>
        <w:t xml:space="preserve">9.6 Temporary team model</w:t>
      </w:r>
    </w:p>
    <w:p>
      <w:pPr>
        <w:spacing w:after="160" w:line="300"/>
      </w:pPr>
      <w:r>
        <w:t xml:space="preserve">A team exists for the lifetime of a single execution: created for the question, collaborates through consensus, and its lifecycle ends once the final answer is produced. Execution history is still stored for the user even though the team itself is not persistent.</w:t>
      </w:r>
    </w:p>
    <w:p>
      <w:pPr>
        <w:pStyle w:val="Heading2"/>
        <w:spacing w:after="120" w:before="260"/>
      </w:pPr>
      <w:r>
        <w:t xml:space="preserve">9.7 Model routing</w:t>
      </w:r>
    </w:p>
    <w:p>
      <w:pPr>
        <w:spacing w:after="160" w:line="300"/>
      </w:pPr>
      <w:r>
        <w:t xml:space="preserve">Model-to-agent mapping must not be hard-coded. A Model Router evaluates task type, complexity, cost, latency, required capability, context size, availability, and the user's time budget, then selects the appropriate model per role (e.g. a strong reasoning model for math, a strong coding model for implementation, a model with web search for research, a low-latency model for fast verification).</w:t>
      </w:r>
    </w:p>
    <w:p>
      <w:pPr>
        <w:pStyle w:val="Heading2"/>
        <w:spacing w:after="120" w:before="260"/>
      </w:pPr>
      <w:r>
        <w:t xml:space="preserve">9.8 Cost control</w:t>
      </w:r>
    </w:p>
    <w:p>
      <w:pPr>
        <w:spacing w:after="160" w:line="300"/>
      </w:pPr>
      <w:r>
        <w:t xml:space="preserve">A naive multi-agent architecture (many agents × many rounds × large context) can become extremely expensive. Each execution needs an explicit Time Budget, Token Budget, Agent Budget, and Search Budget (e.g. a 5-minute execution capped at 4 agents, 6 debate rounds, 60 web searches, and a token ceiling), continuously monitored by a Token &amp; Budget Controller that scales back or stops unnecessary work.</w:t>
      </w:r>
    </w:p>
    <w:p>
      <w:pPr>
        <w:pStyle w:val="Heading2"/>
        <w:spacing w:after="120" w:before="260"/>
      </w:pPr>
      <w:r>
        <w:t xml:space="preserve">9.9 Stopping algorithm</w:t>
      </w:r>
    </w:p>
    <w:p>
      <w:pPr>
        <w:spacing w:after="160" w:line="300"/>
      </w:pPr>
      <w:r>
        <w:t xml:space="preserve">Agents must never debate indefinitely. A stopping decision combines consensus score, evidence confidence, agreement stability, new-information rate, and remaining time. Example rule: consensus above 90%, new information below threshold, and no major unresolved contradiction → finalize; otherwise continue debating. Near the deadline, the system stops launching new work and forces final synthesis. If consensus stays weak, the final answer must state uncertainty rather than presenting false confidence.</w:t>
      </w:r>
    </w:p>
    <w:p>
      <w:pPr>
        <w:pStyle w:val="Heading2"/>
        <w:spacing w:after="120" w:before="260"/>
      </w:pPr>
      <w:r>
        <w:t xml:space="preserve">9.10 Failure handling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600"/>
        <w:gridCol w:w="5820"/>
      </w:tblGrid>
      <w:tr>
        <w:trPr>
          <w:tblHeader/>
        </w:trPr>
        <w:tc>
          <w:tcPr>
            <w:tcW w:type="dxa" w:w="3600"/>
            <w:shd w:fill="2E5AAC" w:val="clear"/>
            <w:tcMar>
              <w:top w:type="dxa" w:w="80"/>
              <w:left w:type="dxa" w:w="100"/>
              <w:bottom w:type="dxa" w:w="80"/>
              <w:right w:type="dxa" w:w="100"/>
            </w:tcMar>
            <w:vAlign w:val="center"/>
          </w:tcPr>
          <w:p>
            <w:r>
              <w:rPr>
                <w:b/>
                <w:bCs/>
                <w:color w:val="FFFFFF"/>
                <w:sz w:val="20"/>
                <w:szCs w:val="20"/>
              </w:rPr>
              <w:t xml:space="preserve">Failure mode</w:t>
            </w:r>
          </w:p>
        </w:tc>
        <w:tc>
          <w:tcPr>
            <w:tcW w:type="dxa" w:w="5820"/>
            <w:shd w:fill="2E5AAC" w:val="clear"/>
            <w:tcMar>
              <w:top w:type="dxa" w:w="80"/>
              <w:left w:type="dxa" w:w="100"/>
              <w:bottom w:type="dxa" w:w="80"/>
              <w:right w:type="dxa" w:w="100"/>
            </w:tcMar>
            <w:vAlign w:val="center"/>
          </w:tcPr>
          <w:p>
            <w:r>
              <w:rPr>
                <w:b/>
                <w:bCs/>
                <w:color w:val="FFFFFF"/>
                <w:sz w:val="20"/>
                <w:szCs w:val="20"/>
              </w:rPr>
              <w:t xml:space="preserve">Handling</w:t>
            </w:r>
          </w:p>
        </w:tc>
      </w:tr>
      <w:tr>
        <w:tc>
          <w:tcPr>
            <w:tcW w:type="dxa" w:w="3600"/>
            <w:tcMar>
              <w:top w:type="dxa" w:w="80"/>
              <w:left w:type="dxa" w:w="100"/>
              <w:bottom w:type="dxa" w:w="80"/>
              <w:right w:type="dxa" w:w="100"/>
            </w:tcMar>
            <w:vAlign w:val="center"/>
          </w:tcPr>
          <w:p>
            <w:r>
              <w:rPr>
                <w:sz w:val="20"/>
                <w:szCs w:val="20"/>
              </w:rPr>
              <w:t xml:space="preserve">Provider failure (e.g. Gemini unavailable)</w:t>
            </w:r>
          </w:p>
        </w:tc>
        <w:tc>
          <w:tcPr>
            <w:tcW w:type="dxa" w:w="5820"/>
            <w:tcMar>
              <w:top w:type="dxa" w:w="80"/>
              <w:left w:type="dxa" w:w="100"/>
              <w:bottom w:type="dxa" w:w="80"/>
              <w:right w:type="dxa" w:w="100"/>
            </w:tcMar>
            <w:vAlign w:val="center"/>
          </w:tcPr>
          <w:p>
            <w:r>
              <w:rPr>
                <w:sz w:val="20"/>
                <w:szCs w:val="20"/>
              </w:rPr>
              <w:t xml:space="preserve">Router detects the failure and selects a fallback model</w:t>
            </w:r>
          </w:p>
        </w:tc>
      </w:tr>
      <w:tr>
        <w:tc>
          <w:tcPr>
            <w:tcW w:type="dxa" w:w="3600"/>
            <w:tcMar>
              <w:top w:type="dxa" w:w="80"/>
              <w:left w:type="dxa" w:w="100"/>
              <w:bottom w:type="dxa" w:w="80"/>
              <w:right w:type="dxa" w:w="100"/>
            </w:tcMar>
            <w:vAlign w:val="center"/>
          </w:tcPr>
          <w:p>
            <w:r>
              <w:rPr>
                <w:sz w:val="20"/>
                <w:szCs w:val="20"/>
              </w:rPr>
              <w:t xml:space="preserve">Malformed agent response</w:t>
            </w:r>
          </w:p>
        </w:tc>
        <w:tc>
          <w:tcPr>
            <w:tcW w:type="dxa" w:w="5820"/>
            <w:tcMar>
              <w:top w:type="dxa" w:w="80"/>
              <w:left w:type="dxa" w:w="100"/>
              <w:bottom w:type="dxa" w:w="80"/>
              <w:right w:type="dxa" w:w="100"/>
            </w:tcMar>
            <w:vAlign w:val="center"/>
          </w:tcPr>
          <w:p>
            <w:r>
              <w:rPr>
                <w:sz w:val="20"/>
                <w:szCs w:val="20"/>
              </w:rPr>
              <w:t xml:space="preserve">Schema validation, retry once, then fallback</w:t>
            </w:r>
          </w:p>
        </w:tc>
      </w:tr>
      <w:tr>
        <w:tc>
          <w:tcPr>
            <w:tcW w:type="dxa" w:w="3600"/>
            <w:tcMar>
              <w:top w:type="dxa" w:w="80"/>
              <w:left w:type="dxa" w:w="100"/>
              <w:bottom w:type="dxa" w:w="80"/>
              <w:right w:type="dxa" w:w="100"/>
            </w:tcMar>
            <w:vAlign w:val="center"/>
          </w:tcPr>
          <w:p>
            <w:r>
              <w:rPr>
                <w:sz w:val="20"/>
                <w:szCs w:val="20"/>
              </w:rPr>
              <w:t xml:space="preserve">Strong disagreement between agents</w:t>
            </w:r>
          </w:p>
        </w:tc>
        <w:tc>
          <w:tcPr>
            <w:tcW w:type="dxa" w:w="5820"/>
            <w:tcMar>
              <w:top w:type="dxa" w:w="80"/>
              <w:left w:type="dxa" w:w="100"/>
              <w:bottom w:type="dxa" w:w="80"/>
              <w:right w:type="dxa" w:w="100"/>
            </w:tcMar>
            <w:vAlign w:val="center"/>
          </w:tcPr>
          <w:p>
            <w:r>
              <w:rPr>
                <w:sz w:val="20"/>
                <w:szCs w:val="20"/>
              </w:rPr>
              <w:t xml:space="preserve">Create a verification task, run research/testing, re-evaluate</w:t>
            </w:r>
          </w:p>
        </w:tc>
      </w:tr>
      <w:tr>
        <w:tc>
          <w:tcPr>
            <w:tcW w:type="dxa" w:w="3600"/>
            <w:tcMar>
              <w:top w:type="dxa" w:w="80"/>
              <w:left w:type="dxa" w:w="100"/>
              <w:bottom w:type="dxa" w:w="80"/>
              <w:right w:type="dxa" w:w="100"/>
            </w:tcMar>
            <w:vAlign w:val="center"/>
          </w:tcPr>
          <w:p>
            <w:r>
              <w:rPr>
                <w:sz w:val="20"/>
                <w:szCs w:val="20"/>
              </w:rPr>
              <w:t xml:space="preserve">Agent exceeds time allocation</w:t>
            </w:r>
          </w:p>
        </w:tc>
        <w:tc>
          <w:tcPr>
            <w:tcW w:type="dxa" w:w="5820"/>
            <w:tcMar>
              <w:top w:type="dxa" w:w="80"/>
              <w:left w:type="dxa" w:w="100"/>
              <w:bottom w:type="dxa" w:w="80"/>
              <w:right w:type="dxa" w:w="100"/>
            </w:tcMar>
            <w:vAlign w:val="center"/>
          </w:tcPr>
          <w:p>
            <w:r>
              <w:rPr>
                <w:sz w:val="20"/>
                <w:szCs w:val="20"/>
              </w:rPr>
              <w:t xml:space="preserve">Cancel or replace the agent, continue with the remaining team</w:t>
            </w:r>
          </w:p>
        </w:tc>
      </w:tr>
    </w:tbl>
    <w:p>
      <w:pPr>
        <w:pStyle w:val="Heading2"/>
        <w:spacing w:after="120" w:before="260"/>
      </w:pPr>
      <w:r>
        <w:t xml:space="preserve">9.11 Shared Workspace / Event Bus</w:t>
      </w:r>
    </w:p>
    <w:p>
      <w:pPr>
        <w:spacing w:after="160" w:line="300"/>
      </w:pPr>
      <w:r>
        <w:t xml:space="preserve">Agents communicate through a shared publish/read event system rather than only direct API-to-API conversations. This improves observability, retries, parallel execution, persistence, debugging, provider independence, and the ability to resume interrupted executions. Redis is sufficient for the MVP; Redis Streams, NATS, or Kafka are options at larger scale.</w:t>
      </w:r>
    </w:p>
    <w:p>
      <w:pPr>
        <w:pStyle w:val="Heading1"/>
        <w:spacing w:after="160" w:before="360"/>
      </w:pPr>
      <w:r>
        <w:t xml:space="preserve">10. MVP Scope</w:t>
      </w:r>
    </w:p>
    <w:p>
      <w:pPr>
        <w:spacing w:after="160" w:line="300"/>
      </w:pPr>
      <w:r>
        <w:t xml:space="preserve">The first version exists to prove one hypothesis: does a temporary multi-agent team produce better answers than a single AI model? The MVP should not attempt every feature.</w:t>
      </w:r>
    </w:p>
    <w:p>
      <w:pPr>
        <w:pStyle w:val="Heading2"/>
        <w:spacing w:after="120" w:before="260"/>
      </w:pPr>
      <w:r>
        <w:t xml:space="preserve">10.1 MVP frontend</w:t>
      </w:r>
    </w:p>
    <w:p>
      <w:pPr>
        <w:pStyle w:val="ListParagraph"/>
        <w:numPr>
          <w:ilvl w:val="0"/>
          <w:numId w:val="2"/>
        </w:numPr>
        <w:spacing w:after="60"/>
      </w:pPr>
      <w:r>
        <w:t xml:space="preserve">Chat interface</w:t>
      </w:r>
    </w:p>
    <w:p>
      <w:pPr>
        <w:pStyle w:val="ListParagraph"/>
        <w:numPr>
          <w:ilvl w:val="0"/>
          <w:numId w:val="2"/>
        </w:numPr>
        <w:spacing w:after="60"/>
      </w:pPr>
      <w:r>
        <w:t xml:space="preserve">Login / signup</w:t>
      </w:r>
    </w:p>
    <w:p>
      <w:pPr>
        <w:pStyle w:val="ListParagraph"/>
        <w:numPr>
          <w:ilvl w:val="0"/>
          <w:numId w:val="2"/>
        </w:numPr>
        <w:spacing w:after="60"/>
      </w:pPr>
      <w:r>
        <w:t xml:space="preserve">Time selector: 3–15 minutes</w:t>
      </w:r>
    </w:p>
    <w:p>
      <w:pPr>
        <w:pStyle w:val="ListParagraph"/>
        <w:numPr>
          <w:ilvl w:val="0"/>
          <w:numId w:val="2"/>
        </w:numPr>
        <w:spacing w:after="60"/>
      </w:pPr>
      <w:r>
        <w:t xml:space="preserve">Execution progress view</w:t>
      </w:r>
    </w:p>
    <w:p>
      <w:pPr>
        <w:pStyle w:val="ListParagraph"/>
        <w:numPr>
          <w:ilvl w:val="0"/>
          <w:numId w:val="2"/>
        </w:numPr>
        <w:spacing w:after="60"/>
      </w:pPr>
      <w:r>
        <w:t xml:space="preserve">Final answer display</w:t>
      </w:r>
    </w:p>
    <w:p>
      <w:pPr>
        <w:pStyle w:val="ListParagraph"/>
        <w:numPr>
          <w:ilvl w:val="0"/>
          <w:numId w:val="2"/>
        </w:numPr>
        <w:spacing w:after="60"/>
      </w:pPr>
      <w:r>
        <w:t xml:space="preserve">Sources display</w:t>
      </w:r>
    </w:p>
    <w:p>
      <w:pPr>
        <w:pStyle w:val="ListParagraph"/>
        <w:numPr>
          <w:ilvl w:val="0"/>
          <w:numId w:val="2"/>
        </w:numPr>
        <w:spacing w:after="60"/>
      </w:pPr>
      <w:r>
        <w:t xml:space="preserve">Conversation history</w:t>
      </w:r>
    </w:p>
    <w:p>
      <w:pPr>
        <w:pStyle w:val="Heading2"/>
        <w:spacing w:after="120" w:before="260"/>
      </w:pPr>
      <w:r>
        <w:t xml:space="preserve">10.2 MVP backend</w:t>
      </w:r>
    </w:p>
    <w:p>
      <w:pPr>
        <w:pStyle w:val="ListParagraph"/>
        <w:numPr>
          <w:ilvl w:val="0"/>
          <w:numId w:val="2"/>
        </w:numPr>
        <w:spacing w:after="60"/>
      </w:pPr>
      <w:r>
        <w:t xml:space="preserve">FastAPI</w:t>
      </w:r>
    </w:p>
    <w:p>
      <w:pPr>
        <w:pStyle w:val="ListParagraph"/>
        <w:numPr>
          <w:ilvl w:val="0"/>
          <w:numId w:val="2"/>
        </w:numPr>
        <w:spacing w:after="60"/>
      </w:pPr>
      <w:r>
        <w:t xml:space="preserve">Orchestrator</w:t>
      </w:r>
    </w:p>
    <w:p>
      <w:pPr>
        <w:pStyle w:val="ListParagraph"/>
        <w:numPr>
          <w:ilvl w:val="0"/>
          <w:numId w:val="2"/>
        </w:numPr>
        <w:spacing w:after="60"/>
      </w:pPr>
      <w:r>
        <w:t xml:space="preserve">Model router</w:t>
      </w:r>
    </w:p>
    <w:p>
      <w:pPr>
        <w:pStyle w:val="ListParagraph"/>
        <w:numPr>
          <w:ilvl w:val="0"/>
          <w:numId w:val="2"/>
        </w:numPr>
        <w:spacing w:after="60"/>
      </w:pPr>
      <w:r>
        <w:t xml:space="preserve">3–4 agents</w:t>
      </w:r>
    </w:p>
    <w:p>
      <w:pPr>
        <w:pStyle w:val="ListParagraph"/>
        <w:numPr>
          <w:ilvl w:val="0"/>
          <w:numId w:val="2"/>
        </w:numPr>
        <w:spacing w:after="60"/>
      </w:pPr>
      <w:r>
        <w:t xml:space="preserve">Agent communication</w:t>
      </w:r>
    </w:p>
    <w:p>
      <w:pPr>
        <w:pStyle w:val="ListParagraph"/>
        <w:numPr>
          <w:ilvl w:val="0"/>
          <w:numId w:val="2"/>
        </w:numPr>
        <w:spacing w:after="60"/>
      </w:pPr>
      <w:r>
        <w:t xml:space="preserve">Consensus engine</w:t>
      </w:r>
    </w:p>
    <w:p>
      <w:pPr>
        <w:pStyle w:val="ListParagraph"/>
        <w:numPr>
          <w:ilvl w:val="0"/>
          <w:numId w:val="2"/>
        </w:numPr>
        <w:spacing w:after="60"/>
      </w:pPr>
      <w:r>
        <w:t xml:space="preserve">Final synthesizer</w:t>
      </w:r>
    </w:p>
    <w:p>
      <w:pPr>
        <w:pStyle w:val="ListParagraph"/>
        <w:numPr>
          <w:ilvl w:val="0"/>
          <w:numId w:val="2"/>
        </w:numPr>
        <w:spacing w:after="60"/>
      </w:pPr>
      <w:r>
        <w:t xml:space="preserve">Web search</w:t>
      </w:r>
    </w:p>
    <w:p>
      <w:pPr>
        <w:pStyle w:val="ListParagraph"/>
        <w:numPr>
          <w:ilvl w:val="0"/>
          <w:numId w:val="2"/>
        </w:numPr>
        <w:spacing w:after="60"/>
      </w:pPr>
      <w:r>
        <w:t xml:space="preserve">PostgreSQL</w:t>
      </w:r>
    </w:p>
    <w:p>
      <w:pPr>
        <w:pStyle w:val="Heading2"/>
        <w:spacing w:after="120" w:before="260"/>
      </w:pPr>
      <w:r>
        <w:t xml:space="preserve">10.3 Initial agent types</w:t>
      </w:r>
    </w:p>
    <w:p>
      <w:pPr>
        <w:pStyle w:val="ListParagraph"/>
        <w:numPr>
          <w:ilvl w:val="0"/>
          <w:numId w:val="2"/>
        </w:numPr>
        <w:spacing w:after="60"/>
      </w:pPr>
      <w:r>
        <w:t xml:space="preserve">Solver</w:t>
      </w:r>
    </w:p>
    <w:p>
      <w:pPr>
        <w:pStyle w:val="ListParagraph"/>
        <w:numPr>
          <w:ilvl w:val="0"/>
          <w:numId w:val="2"/>
        </w:numPr>
        <w:spacing w:after="60"/>
      </w:pPr>
      <w:r>
        <w:t xml:space="preserve">Researcher</w:t>
      </w:r>
    </w:p>
    <w:p>
      <w:pPr>
        <w:pStyle w:val="ListParagraph"/>
        <w:numPr>
          <w:ilvl w:val="0"/>
          <w:numId w:val="2"/>
        </w:numPr>
        <w:spacing w:after="60"/>
      </w:pPr>
      <w:r>
        <w:t xml:space="preserve">Critic</w:t>
      </w:r>
    </w:p>
    <w:p>
      <w:pPr>
        <w:pStyle w:val="ListParagraph"/>
        <w:numPr>
          <w:ilvl w:val="0"/>
          <w:numId w:val="2"/>
        </w:numPr>
        <w:spacing w:after="60"/>
      </w:pPr>
      <w:r>
        <w:t xml:space="preserve">Synthesizer</w:t>
      </w:r>
    </w:p>
    <w:p>
      <w:pPr>
        <w:spacing w:after="200"/>
      </w:pPr>
      <w:r>
        <w:rPr>
          <w:i/>
          <w:iCs/>
          <w:color w:val="5B5B5B"/>
          <w:sz w:val="20"/>
          <w:szCs w:val="20"/>
        </w:rPr>
        <w:t xml:space="preserve">Do not start with ten specialized roles — expand agent types after the core loop is validated.</w:t>
      </w:r>
    </w:p>
    <w:p>
      <w:pPr>
        <w:pStyle w:val="Heading2"/>
        <w:spacing w:after="120" w:before="260"/>
      </w:pPr>
      <w:r>
        <w:t xml:space="preserve">10.4 Example MVP execution</w:t>
      </w:r>
    </w:p>
    <w:p>
      <w:pPr>
        <w:spacing w:after="160" w:line="300"/>
      </w:pPr>
      <w:r>
        <w:t xml:space="preserve">For the question "Is React better than Vue for a large cybersecurity platform?", the Planner classifies it as a medium-complexity technical comparison and forms a temporary team: a Solver (architecture analysis), a Researcher (current ecosystem evidence), an Analyst (scalability/performance), and a Critic (challenges assumptions). The team debates, verifies evidence, reaches consensus, and the Final Synthesizer returns an answer with sources — the user sees only that final output.</w:t>
      </w:r>
    </w:p>
    <w:p>
      <w:pPr>
        <w:pStyle w:val="Heading1"/>
        <w:spacing w:after="160" w:before="360"/>
      </w:pPr>
      <w:r>
        <w:t xml:space="preserve">11. Recommended Development Roadmap</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620"/>
      </w:tblGrid>
      <w:tr>
        <w:trPr>
          <w:tblHeader/>
        </w:trPr>
        <w:tc>
          <w:tcPr>
            <w:tcW w:type="dxa" w:w="1600"/>
            <w:shd w:fill="2E5AAC" w:val="clear"/>
            <w:tcMar>
              <w:top w:type="dxa" w:w="80"/>
              <w:left w:type="dxa" w:w="100"/>
              <w:bottom w:type="dxa" w:w="80"/>
              <w:right w:type="dxa" w:w="100"/>
            </w:tcMar>
            <w:vAlign w:val="center"/>
          </w:tcPr>
          <w:p>
            <w:r>
              <w:rPr>
                <w:b/>
                <w:bCs/>
                <w:color w:val="FFFFFF"/>
                <w:sz w:val="20"/>
                <w:szCs w:val="20"/>
              </w:rPr>
              <w:t xml:space="preserve">Phase</w:t>
            </w:r>
          </w:p>
        </w:tc>
        <w:tc>
          <w:tcPr>
            <w:tcW w:type="dxa" w:w="2200"/>
            <w:shd w:fill="2E5AAC" w:val="clear"/>
            <w:tcMar>
              <w:top w:type="dxa" w:w="80"/>
              <w:left w:type="dxa" w:w="100"/>
              <w:bottom w:type="dxa" w:w="80"/>
              <w:right w:type="dxa" w:w="100"/>
            </w:tcMar>
            <w:vAlign w:val="center"/>
          </w:tcPr>
          <w:p>
            <w:r>
              <w:rPr>
                <w:b/>
                <w:bCs/>
                <w:color w:val="FFFFFF"/>
                <w:sz w:val="20"/>
                <w:szCs w:val="20"/>
              </w:rPr>
              <w:t xml:space="preserve">Focus</w:t>
            </w:r>
          </w:p>
        </w:tc>
        <w:tc>
          <w:tcPr>
            <w:tcW w:type="dxa" w:w="5620"/>
            <w:shd w:fill="2E5AAC" w:val="clear"/>
            <w:tcMar>
              <w:top w:type="dxa" w:w="80"/>
              <w:left w:type="dxa" w:w="100"/>
              <w:bottom w:type="dxa" w:w="80"/>
              <w:right w:type="dxa" w:w="100"/>
            </w:tcMar>
            <w:vAlign w:val="center"/>
          </w:tcPr>
          <w:p>
            <w:r>
              <w:rPr>
                <w:b/>
                <w:bCs/>
                <w:color w:val="FFFFFF"/>
                <w:sz w:val="20"/>
                <w:szCs w:val="20"/>
              </w:rPr>
              <w:t xml:space="preserve">Key deliverables</w:t>
            </w:r>
          </w:p>
        </w:tc>
      </w:tr>
      <w:tr>
        <w:tc>
          <w:tcPr>
            <w:tcW w:type="dxa" w:w="1600"/>
            <w:tcMar>
              <w:top w:type="dxa" w:w="80"/>
              <w:left w:type="dxa" w:w="100"/>
              <w:bottom w:type="dxa" w:w="80"/>
              <w:right w:type="dxa" w:w="100"/>
            </w:tcMar>
            <w:vAlign w:val="center"/>
          </w:tcPr>
          <w:p>
            <w:r>
              <w:rPr>
                <w:sz w:val="20"/>
                <w:szCs w:val="20"/>
              </w:rPr>
              <w:t xml:space="preserve">1 — Foundation</w:t>
            </w:r>
          </w:p>
        </w:tc>
        <w:tc>
          <w:tcPr>
            <w:tcW w:type="dxa" w:w="2200"/>
            <w:tcMar>
              <w:top w:type="dxa" w:w="80"/>
              <w:left w:type="dxa" w:w="100"/>
              <w:bottom w:type="dxa" w:w="80"/>
              <w:right w:type="dxa" w:w="100"/>
            </w:tcMar>
            <w:vAlign w:val="center"/>
          </w:tcPr>
          <w:p>
            <w:r>
              <w:rPr>
                <w:sz w:val="20"/>
                <w:szCs w:val="20"/>
              </w:rPr>
              <w:t xml:space="preserve">Core app skeleton</w:t>
            </w:r>
          </w:p>
        </w:tc>
        <w:tc>
          <w:tcPr>
            <w:tcW w:type="dxa" w:w="5620"/>
            <w:tcMar>
              <w:top w:type="dxa" w:w="80"/>
              <w:left w:type="dxa" w:w="100"/>
              <w:bottom w:type="dxa" w:w="80"/>
              <w:right w:type="dxa" w:w="100"/>
            </w:tcMar>
            <w:vAlign w:val="center"/>
          </w:tcPr>
          <w:p>
            <w:r>
              <w:rPr>
                <w:sz w:val="20"/>
                <w:szCs w:val="20"/>
              </w:rPr>
              <w:t xml:space="preserve">Next.js, TypeScript, Tailwind, FastAPI, PostgreSQL, authentication, basic chat</w:t>
            </w:r>
          </w:p>
        </w:tc>
      </w:tr>
      <w:tr>
        <w:tc>
          <w:tcPr>
            <w:tcW w:type="dxa" w:w="1600"/>
            <w:tcMar>
              <w:top w:type="dxa" w:w="80"/>
              <w:left w:type="dxa" w:w="100"/>
              <w:bottom w:type="dxa" w:w="80"/>
              <w:right w:type="dxa" w:w="100"/>
            </w:tcMar>
            <w:vAlign w:val="center"/>
          </w:tcPr>
          <w:p>
            <w:r>
              <w:rPr>
                <w:sz w:val="20"/>
                <w:szCs w:val="20"/>
              </w:rPr>
              <w:t xml:space="preserve">2 — Multi-Model Layer</w:t>
            </w:r>
          </w:p>
        </w:tc>
        <w:tc>
          <w:tcPr>
            <w:tcW w:type="dxa" w:w="2200"/>
            <w:tcMar>
              <w:top w:type="dxa" w:w="80"/>
              <w:left w:type="dxa" w:w="100"/>
              <w:bottom w:type="dxa" w:w="80"/>
              <w:right w:type="dxa" w:w="100"/>
            </w:tcMar>
            <w:vAlign w:val="center"/>
          </w:tcPr>
          <w:p>
            <w:r>
              <w:rPr>
                <w:sz w:val="20"/>
                <w:szCs w:val="20"/>
              </w:rPr>
              <w:t xml:space="preserve">Provider integration</w:t>
            </w:r>
          </w:p>
        </w:tc>
        <w:tc>
          <w:tcPr>
            <w:tcW w:type="dxa" w:w="5620"/>
            <w:tcMar>
              <w:top w:type="dxa" w:w="80"/>
              <w:left w:type="dxa" w:w="100"/>
              <w:bottom w:type="dxa" w:w="80"/>
              <w:right w:type="dxa" w:w="100"/>
            </w:tcMar>
            <w:vAlign w:val="center"/>
          </w:tcPr>
          <w:p>
            <w:r>
              <w:rPr>
                <w:sz w:val="20"/>
                <w:szCs w:val="20"/>
              </w:rPr>
              <w:t xml:space="preserve">OpenAI, Gemini, Groq, open-source provider; common provider interface</w:t>
            </w:r>
          </w:p>
        </w:tc>
      </w:tr>
      <w:tr>
        <w:tc>
          <w:tcPr>
            <w:tcW w:type="dxa" w:w="1600"/>
            <w:tcMar>
              <w:top w:type="dxa" w:w="80"/>
              <w:left w:type="dxa" w:w="100"/>
              <w:bottom w:type="dxa" w:w="80"/>
              <w:right w:type="dxa" w:w="100"/>
            </w:tcMar>
            <w:vAlign w:val="center"/>
          </w:tcPr>
          <w:p>
            <w:r>
              <w:rPr>
                <w:sz w:val="20"/>
                <w:szCs w:val="20"/>
              </w:rPr>
              <w:t xml:space="preserve">3 — Agent System</w:t>
            </w:r>
          </w:p>
        </w:tc>
        <w:tc>
          <w:tcPr>
            <w:tcW w:type="dxa" w:w="2200"/>
            <w:tcMar>
              <w:top w:type="dxa" w:w="80"/>
              <w:left w:type="dxa" w:w="100"/>
              <w:bottom w:type="dxa" w:w="80"/>
              <w:right w:type="dxa" w:w="100"/>
            </w:tcMar>
            <w:vAlign w:val="center"/>
          </w:tcPr>
          <w:p>
            <w:r>
              <w:rPr>
                <w:sz w:val="20"/>
                <w:szCs w:val="20"/>
              </w:rPr>
              <w:t xml:space="preserve">Agent primitives</w:t>
            </w:r>
          </w:p>
        </w:tc>
        <w:tc>
          <w:tcPr>
            <w:tcW w:type="dxa" w:w="5620"/>
            <w:tcMar>
              <w:top w:type="dxa" w:w="80"/>
              <w:left w:type="dxa" w:w="100"/>
              <w:bottom w:type="dxa" w:w="80"/>
              <w:right w:type="dxa" w:w="100"/>
            </w:tcMar>
            <w:vAlign w:val="center"/>
          </w:tcPr>
          <w:p>
            <w:r>
              <w:rPr>
                <w:sz w:val="20"/>
                <w:szCs w:val="20"/>
              </w:rPr>
              <w:t xml:space="preserve">BaseAgent, ResearchAgent, SolverAgent, CriticAgent, SynthesizerAgent</w:t>
            </w:r>
          </w:p>
        </w:tc>
      </w:tr>
      <w:tr>
        <w:tc>
          <w:tcPr>
            <w:tcW w:type="dxa" w:w="1600"/>
            <w:tcMar>
              <w:top w:type="dxa" w:w="80"/>
              <w:left w:type="dxa" w:w="100"/>
              <w:bottom w:type="dxa" w:w="80"/>
              <w:right w:type="dxa" w:w="100"/>
            </w:tcMar>
            <w:vAlign w:val="center"/>
          </w:tcPr>
          <w:p>
            <w:r>
              <w:rPr>
                <w:sz w:val="20"/>
                <w:szCs w:val="20"/>
              </w:rPr>
              <w:t xml:space="preserve">4 — Orchestrator</w:t>
            </w:r>
          </w:p>
        </w:tc>
        <w:tc>
          <w:tcPr>
            <w:tcW w:type="dxa" w:w="2200"/>
            <w:tcMar>
              <w:top w:type="dxa" w:w="80"/>
              <w:left w:type="dxa" w:w="100"/>
              <w:bottom w:type="dxa" w:w="80"/>
              <w:right w:type="dxa" w:w="100"/>
            </w:tcMar>
            <w:vAlign w:val="center"/>
          </w:tcPr>
          <w:p>
            <w:r>
              <w:rPr>
                <w:sz w:val="20"/>
                <w:szCs w:val="20"/>
              </w:rPr>
              <w:t xml:space="preserve">Core orchestration</w:t>
            </w:r>
          </w:p>
        </w:tc>
        <w:tc>
          <w:tcPr>
            <w:tcW w:type="dxa" w:w="5620"/>
            <w:tcMar>
              <w:top w:type="dxa" w:w="80"/>
              <w:left w:type="dxa" w:w="100"/>
              <w:bottom w:type="dxa" w:w="80"/>
              <w:right w:type="dxa" w:w="100"/>
            </w:tcMar>
            <w:vAlign w:val="center"/>
          </w:tcPr>
          <w:p>
            <w:r>
              <w:rPr>
                <w:sz w:val="20"/>
                <w:szCs w:val="20"/>
              </w:rPr>
              <w:t xml:space="preserve">Planner, dynamic agent allocation, parallel execution, debate rounds, consensus detection, time budget control</w:t>
            </w:r>
          </w:p>
        </w:tc>
      </w:tr>
      <w:tr>
        <w:tc>
          <w:tcPr>
            <w:tcW w:type="dxa" w:w="1600"/>
            <w:tcMar>
              <w:top w:type="dxa" w:w="80"/>
              <w:left w:type="dxa" w:w="100"/>
              <w:bottom w:type="dxa" w:w="80"/>
              <w:right w:type="dxa" w:w="100"/>
            </w:tcMar>
            <w:vAlign w:val="center"/>
          </w:tcPr>
          <w:p>
            <w:r>
              <w:rPr>
                <w:sz w:val="20"/>
                <w:szCs w:val="20"/>
              </w:rPr>
              <w:t xml:space="preserve">5 — Research</w:t>
            </w:r>
          </w:p>
        </w:tc>
        <w:tc>
          <w:tcPr>
            <w:tcW w:type="dxa" w:w="2200"/>
            <w:tcMar>
              <w:top w:type="dxa" w:w="80"/>
              <w:left w:type="dxa" w:w="100"/>
              <w:bottom w:type="dxa" w:w="80"/>
              <w:right w:type="dxa" w:w="100"/>
            </w:tcMar>
            <w:vAlign w:val="center"/>
          </w:tcPr>
          <w:p>
            <w:r>
              <w:rPr>
                <w:sz w:val="20"/>
                <w:szCs w:val="20"/>
              </w:rPr>
              <w:t xml:space="preserve">Research pipeline</w:t>
            </w:r>
          </w:p>
        </w:tc>
        <w:tc>
          <w:tcPr>
            <w:tcW w:type="dxa" w:w="5620"/>
            <w:tcMar>
              <w:top w:type="dxa" w:w="80"/>
              <w:left w:type="dxa" w:w="100"/>
              <w:bottom w:type="dxa" w:w="80"/>
              <w:right w:type="dxa" w:w="100"/>
            </w:tcMar>
            <w:vAlign w:val="center"/>
          </w:tcPr>
          <w:p>
            <w:r>
              <w:rPr>
                <w:sz w:val="20"/>
                <w:szCs w:val="20"/>
              </w:rPr>
              <w:t xml:space="preserve">Web search, source extraction, source ranking, citation tracking, cross-verification</w:t>
            </w:r>
          </w:p>
        </w:tc>
      </w:tr>
      <w:tr>
        <w:tc>
          <w:tcPr>
            <w:tcW w:type="dxa" w:w="1600"/>
            <w:tcMar>
              <w:top w:type="dxa" w:w="80"/>
              <w:left w:type="dxa" w:w="100"/>
              <w:bottom w:type="dxa" w:w="80"/>
              <w:right w:type="dxa" w:w="100"/>
            </w:tcMar>
            <w:vAlign w:val="center"/>
          </w:tcPr>
          <w:p>
            <w:r>
              <w:rPr>
                <w:sz w:val="20"/>
                <w:szCs w:val="20"/>
              </w:rPr>
              <w:t xml:space="preserve">6 — Production Hardening</w:t>
            </w:r>
          </w:p>
        </w:tc>
        <w:tc>
          <w:tcPr>
            <w:tcW w:type="dxa" w:w="2200"/>
            <w:tcMar>
              <w:top w:type="dxa" w:w="80"/>
              <w:left w:type="dxa" w:w="100"/>
              <w:bottom w:type="dxa" w:w="80"/>
              <w:right w:type="dxa" w:w="100"/>
            </w:tcMar>
            <w:vAlign w:val="center"/>
          </w:tcPr>
          <w:p>
            <w:r>
              <w:rPr>
                <w:sz w:val="20"/>
                <w:szCs w:val="20"/>
              </w:rPr>
              <w:t xml:space="preserve">Reliability &amp; cost</w:t>
            </w:r>
          </w:p>
        </w:tc>
        <w:tc>
          <w:tcPr>
            <w:tcW w:type="dxa" w:w="5620"/>
            <w:tcMar>
              <w:top w:type="dxa" w:w="80"/>
              <w:left w:type="dxa" w:w="100"/>
              <w:bottom w:type="dxa" w:w="80"/>
              <w:right w:type="dxa" w:w="100"/>
            </w:tcMar>
            <w:vAlign w:val="center"/>
          </w:tcPr>
          <w:p>
            <w:r>
              <w:rPr>
                <w:sz w:val="20"/>
                <w:szCs w:val="20"/>
              </w:rPr>
              <w:t xml:space="preserve">Rate limiting, API key security, retry/fallback, cost tracking, observability, queue management, execution cancellation, provider health monitoring</w:t>
            </w:r>
          </w:p>
        </w:tc>
      </w:tr>
      <w:tr>
        <w:tc>
          <w:tcPr>
            <w:tcW w:type="dxa" w:w="1600"/>
            <w:tcMar>
              <w:top w:type="dxa" w:w="80"/>
              <w:left w:type="dxa" w:w="100"/>
              <w:bottom w:type="dxa" w:w="80"/>
              <w:right w:type="dxa" w:w="100"/>
            </w:tcMar>
            <w:vAlign w:val="center"/>
          </w:tcPr>
          <w:p>
            <w:r>
              <w:rPr>
                <w:sz w:val="20"/>
                <w:szCs w:val="20"/>
              </w:rPr>
              <w:t xml:space="preserve">7 — UX Polish</w:t>
            </w:r>
          </w:p>
        </w:tc>
        <w:tc>
          <w:tcPr>
            <w:tcW w:type="dxa" w:w="2200"/>
            <w:tcMar>
              <w:top w:type="dxa" w:w="80"/>
              <w:left w:type="dxa" w:w="100"/>
              <w:bottom w:type="dxa" w:w="80"/>
              <w:right w:type="dxa" w:w="100"/>
            </w:tcMar>
            <w:vAlign w:val="center"/>
          </w:tcPr>
          <w:p>
            <w:r>
              <w:rPr>
                <w:sz w:val="20"/>
                <w:szCs w:val="20"/>
              </w:rPr>
              <w:t xml:space="preserve">Experience layer</w:t>
            </w:r>
          </w:p>
        </w:tc>
        <w:tc>
          <w:tcPr>
            <w:tcW w:type="dxa" w:w="5620"/>
            <w:tcMar>
              <w:top w:type="dxa" w:w="80"/>
              <w:left w:type="dxa" w:w="100"/>
              <w:bottom w:type="dxa" w:w="80"/>
              <w:right w:type="dxa" w:w="100"/>
            </w:tcMar>
            <w:vAlign w:val="center"/>
          </w:tcPr>
          <w:p>
            <w:r>
              <w:rPr>
                <w:sz w:val="20"/>
                <w:szCs w:val="20"/>
              </w:rPr>
              <w:t xml:space="preserve">AI team progress, time remaining, consensus indicator, answer streaming, source cards, conversation history, saved teams, usage dashboard</w:t>
            </w:r>
          </w:p>
        </w:tc>
      </w:tr>
    </w:tbl>
    <w:p>
      <w:pPr>
        <w:pStyle w:val="Heading1"/>
        <w:spacing w:after="160" w:before="360"/>
      </w:pPr>
      <w:r>
        <w:t xml:space="preserve">12. Key Product Differentiator</w:t>
      </w:r>
    </w:p>
    <w:p>
      <w:pPr>
        <w:spacing w:after="160" w:line="300"/>
      </w:pPr>
      <w:r>
        <w:t xml:space="preserve">The product should not be marketed as "we use multiple AI models" — that framing is easy to copy and doesn't describe what makes Assembly different. The real differentiator is the orchestration layer: Assembly creates a temporary expert team, makes each member independently solve the problem, lets them challenge and verify one another, and continues until the team reaches a strong consensus or the user's time budget runs out.</w:t>
      </w:r>
    </w:p>
    <w:p>
      <w:pPr>
        <w:spacing w:after="160" w:line="300"/>
      </w:pPr>
      <w:r>
        <w:t xml:space="preserve">Assembly is best positioned as an AI consensus engine rather than a conventional chatbot. Its defining feature is not the number of models it calls — it's the system that decides which AI experts should work together, how they should challenge one another, when more research is necessary, and when the answer is strong enough to finalize.</w:t>
      </w:r>
    </w:p>
    <w:p>
      <w:pPr>
        <w:pStyle w:val="Heading1"/>
        <w:spacing w:after="160" w:before="360"/>
      </w:pPr>
      <w:r>
        <w:t xml:space="preserve">13. Risks &amp; Open Questions</w:t>
      </w:r>
    </w:p>
    <w:p>
      <w:pPr>
        <w:pStyle w:val="Heading2"/>
        <w:spacing w:after="120" w:before="260"/>
      </w:pPr>
      <w:r>
        <w:t xml:space="preserve">13.1 Risks</w:t>
      </w:r>
    </w:p>
    <w:p>
      <w:pPr>
        <w:pStyle w:val="ListParagraph"/>
        <w:numPr>
          <w:ilvl w:val="0"/>
          <w:numId w:val="2"/>
        </w:numPr>
        <w:spacing w:after="60"/>
      </w:pPr>
      <w:r>
        <w:t xml:space="preserve">Unit economics: multi-agent, multi-round executions are token-intensive; cost control must be proven before pricing is set.</w:t>
      </w:r>
    </w:p>
    <w:p>
      <w:pPr>
        <w:pStyle w:val="ListParagraph"/>
        <w:numPr>
          <w:ilvl w:val="0"/>
          <w:numId w:val="2"/>
        </w:numPr>
        <w:spacing w:after="60"/>
      </w:pPr>
      <w:r>
        <w:t xml:space="preserve">Latency vs. quality trade-off: users must perceive the wait (up to 15 minutes) as worth it, which depends heavily on the progress UI and answer quality.</w:t>
      </w:r>
    </w:p>
    <w:p>
      <w:pPr>
        <w:pStyle w:val="ListParagraph"/>
        <w:numPr>
          <w:ilvl w:val="0"/>
          <w:numId w:val="2"/>
        </w:numPr>
        <w:spacing w:after="60"/>
      </w:pPr>
      <w:r>
        <w:t xml:space="preserve">Echo-chamber failure mode: if independence and adversarial verification aren't enforced correctly, consensus can converge on a wrong answer with high confidence.</w:t>
      </w:r>
    </w:p>
    <w:p>
      <w:pPr>
        <w:pStyle w:val="ListParagraph"/>
        <w:numPr>
          <w:ilvl w:val="0"/>
          <w:numId w:val="2"/>
        </w:numPr>
        <w:spacing w:after="60"/>
      </w:pPr>
      <w:r>
        <w:t xml:space="preserve">Provider dependency and reliability: multi-provider orchestration increases the surface area for partial failures mid-execution.</w:t>
      </w:r>
    </w:p>
    <w:p>
      <w:pPr>
        <w:pStyle w:val="ListParagraph"/>
        <w:numPr>
          <w:ilvl w:val="0"/>
          <w:numId w:val="2"/>
        </w:numPr>
        <w:spacing w:after="60"/>
      </w:pPr>
      <w:r>
        <w:t xml:space="preserve">Evaluation difficulty: proving "better than a single model" requires a credible benchmark/grading methodology, which does not yet exist.</w:t>
      </w:r>
    </w:p>
    <w:p>
      <w:pPr>
        <w:pStyle w:val="Heading2"/>
        <w:spacing w:after="120" w:before="260"/>
      </w:pPr>
      <w:r>
        <w:t xml:space="preserve">13.2 Open questions</w:t>
      </w:r>
    </w:p>
    <w:p>
      <w:pPr>
        <w:pStyle w:val="ListParagraph"/>
        <w:numPr>
          <w:ilvl w:val="0"/>
          <w:numId w:val="2"/>
        </w:numPr>
        <w:spacing w:after="60"/>
      </w:pPr>
      <w:r>
        <w:t xml:space="preserve">What benchmark set and grading methodology will be used to test the core hypothesis before and after launch?</w:t>
      </w:r>
    </w:p>
    <w:p>
      <w:pPr>
        <w:pStyle w:val="ListParagraph"/>
        <w:numPr>
          <w:ilvl w:val="0"/>
          <w:numId w:val="2"/>
        </w:numPr>
        <w:spacing w:after="60"/>
      </w:pPr>
      <w:r>
        <w:t xml:space="preserve">What is the fallback experience if a user's time budget expires with no strong consensus reached?</w:t>
      </w:r>
    </w:p>
    <w:p>
      <w:pPr>
        <w:pStyle w:val="ListParagraph"/>
        <w:numPr>
          <w:ilvl w:val="0"/>
          <w:numId w:val="2"/>
        </w:numPr>
        <w:spacing w:after="60"/>
      </w:pPr>
      <w:r>
        <w:t xml:space="preserve">How are saved teams (mentioned in the user dashboard) actually reused — do they bias future team formation for that user?</w:t>
      </w:r>
    </w:p>
    <w:p>
      <w:pPr>
        <w:pStyle w:val="ListParagraph"/>
        <w:numPr>
          <w:ilvl w:val="0"/>
          <w:numId w:val="2"/>
        </w:numPr>
        <w:spacing w:after="60"/>
      </w:pPr>
      <w:r>
        <w:t xml:space="preserve">What are the actual per-tier usage limits, and how are they enforced against the token/agent/search budgets?</w:t>
      </w:r>
    </w:p>
    <w:p>
      <w:pPr>
        <w:pStyle w:val="ListParagraph"/>
        <w:numPr>
          <w:ilvl w:val="0"/>
          <w:numId w:val="2"/>
        </w:numPr>
        <w:spacing w:after="60"/>
      </w:pPr>
      <w:r>
        <w:t xml:space="preserve">What is the target initial model lineup for GA, given provider cost and capability changes since these notes were drafted?</w:t>
      </w:r>
    </w:p>
    <w:p>
      <w:pPr>
        <w:pBdr>
          <w:bottom w:val="single" w:color="CCCCCC" w:sz="6" w:space="1"/>
        </w:pBdr>
        <w:spacing w:after="300" w:before="100"/>
      </w:pPr>
      <w:r>
        <w:t xml:space="preserve"/>
      </w:r>
    </w:p>
    <w:p>
      <w:pPr>
        <w:spacing w:after="200"/>
      </w:pPr>
      <w:r>
        <w:rPr>
          <w:i/>
          <w:iCs/>
          <w:color w:val="5B5B5B"/>
          <w:sz w:val="20"/>
          <w:szCs w:val="20"/>
        </w:rPr>
        <w:t xml:space="preserve">This PRD was structured from the original Assembly product concept notes. Sections 7–9 should be revisited and re-prioritized once benchmark results from the MVP are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360"/>
    </w:pPr>
    <w:rPr>
      <w:rFonts w:ascii="Calibri" w:cs="Calibri" w:eastAsia="Calibri" w:hAnsi="Calibri"/>
      <w:b/>
      <w:bCs/>
      <w:color w:val="2E5AAC"/>
      <w:sz w:val="32"/>
      <w:szCs w:val="32"/>
    </w:rPr>
  </w:style>
  <w:style w:type="paragraph" w:styleId="Heading2">
    <w:name w:val="Heading 2"/>
    <w:basedOn w:val="Normal"/>
    <w:next w:val="Normal"/>
    <w:qFormat/>
    <w:pPr>
      <w:spacing w:after="120" w:before="280"/>
    </w:pPr>
    <w:rPr>
      <w:rFonts w:ascii="Calibri" w:cs="Calibri" w:eastAsia="Calibri" w:hAnsi="Calibri"/>
      <w:b/>
      <w:bCs/>
      <w:color w:val="1F1F1F"/>
      <w:sz w:val="26"/>
      <w:szCs w:val="26"/>
    </w:rPr>
  </w:style>
  <w:style w:type="paragraph" w:styleId="Heading3">
    <w:name w:val="Heading 3"/>
    <w:basedOn w:val="Normal"/>
    <w:next w:val="Normal"/>
    <w:qFormat/>
    <w:pPr>
      <w:spacing w:after="100" w:before="200"/>
    </w:pPr>
    <w:rPr>
      <w:rFonts w:ascii="Calibri" w:cs="Calibri" w:eastAsia="Calibri" w:hAnsi="Calibri"/>
      <w:b/>
      <w:bCs/>
      <w:color w:val="2E5AA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2026-08-15T20:37:22.055Z</dcterms:created>
  <dcterms:modified xsi:type="dcterms:W3CDTF">2026-08-15T20:37:22.070Z</dcterms:modified>
</cp:coreProperties>
</file>

<file path=docProps/custom.xml><?xml version="1.0" encoding="utf-8"?>
<Properties xmlns="http://schemas.openxmlformats.org/officeDocument/2006/custom-properties" xmlns:vt="http://schemas.openxmlformats.org/officeDocument/2006/docPropsVTypes"/>
</file>