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Acceptance Criteria — Taxonomy Process</w:t>
      </w:r>
    </w:p>
    <w:p>
      <w:pPr>
        <w:pStyle w:val="Heading2"/>
      </w:pPr>
      <w:r>
        <w:t xml:space="preserve">A. Taxonomy Design &amp; Structure</w:t>
      </w:r>
    </w:p>
    <w:tbl>
      <w:tblPr>
        <w:tblW w:w="936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1"/>
        <w:gridCol w:w="2714"/>
        <w:gridCol w:w="2715"/>
      </w:tblGrid>
      <w:tr>
        <w:trPr>
          <w:tblHeader/>
        </w:trPr>
        <w:tc>
          <w:tcPr>
            <w:tcW w:w="3931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2714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tcW w:w="2715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How measured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Mutually Exclusive (per facet)</w:t>
            </w:r>
            <w:r>
              <w:t xml:space="preserve"> — within one axis, a term belongs to one clear place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No ambiguous overlaps within a facet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Structural audit; MECE check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Collectively Exhaustive (coverage)</w:t>
            </w:r>
            <w:r>
              <w:t xml:space="preserve"> — the vocabulary covers the corpus's subject matter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95% of documents map to a non-"miscellaneous" term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% of docs landing in a valid category vs. "uncategorised"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Consistent granularity</w:t>
            </w:r>
            <w:r>
              <w:t xml:space="preserve"> — sibling terms sit at comparable levels of specificity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Level homogeneity verified per branch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Reviewer audit against design rules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Standards alignment</w:t>
            </w:r>
            <w:r>
              <w:t xml:space="preserve"> — facets map to a recognised legal standard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100% of top-level Areas of Law mapped to SALI/Seed URIs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Mapping coverage report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No orphans / no near-duplicates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0 unmapped or synonymous-duplicate terms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Automated dup/orphan scan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Multi-axis (faceted)</w:t>
            </w:r>
            <w:r>
              <w:t xml:space="preserve"> — jurisdiction, doc type, process, practice area are independent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All four facets present and independently assignable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Schema review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Versioned &amp; documented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Every release version-stamped with definitions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Governance record</w:t>
            </w:r>
          </w:p>
        </w:tc>
      </w:tr>
    </w:tbl>
    <w:p>
      <w:pPr>
        <w:pStyle w:val="Heading2"/>
      </w:pPr>
      <w:r>
        <w:t xml:space="preserve">B. Classification / Auto-Tagging Accuracy</w:t>
      </w:r>
    </w:p>
    <w:tbl>
      <w:tblPr>
        <w:tblW w:w="936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1"/>
        <w:gridCol w:w="2714"/>
        <w:gridCol w:w="2715"/>
      </w:tblGrid>
      <w:tr>
        <w:trPr>
          <w:tblHeader/>
        </w:trPr>
        <w:tc>
          <w:tcPr>
            <w:tcW w:w="3931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2714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Recommended target</w:t>
            </w:r>
          </w:p>
        </w:tc>
        <w:tc>
          <w:tcPr>
            <w:tcW w:w="2715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Precision</w:t>
            </w:r>
            <w:r>
              <w:t xml:space="preserve"> (tags assigned that are correct)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0.90 for primary facets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High precision matters most in legal — a wrong tag misleads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Recall</w:t>
            </w:r>
            <w:r>
              <w:t xml:space="preserve"> (correct tags that were found)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0.80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Trade-off with precision; tune per facet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F1 score</w:t>
            </w:r>
            <w:r>
              <w:t xml:space="preserve"> (harmonic mean)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0.85 per facet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The standard single acceptance number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Confidence-thresholded auto-accept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Auto-accept above a calibrated confidence; below → human review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Where estimated F1 ≥ agreed minimum, no human review required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Citation/entity normalization accuracy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0.95 exact-match to canonical form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Legal-specific; "Article 54" variants → one reference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No critical misclassification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0 high-risk errors (e.g., wrong jurisdiction) in the gold set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Legal risk gate</w:t>
            </w:r>
          </w:p>
        </w:tc>
      </w:tr>
    </w:tbl>
    <w:p>
      <w:pPr>
        <w:pStyle w:val="Heading2"/>
      </w:pPr>
      <w:r>
        <w:t xml:space="preserve">C. Label Reliability (Gold Standard)</w:t>
      </w:r>
    </w:p>
    <w:tbl>
      <w:tblPr>
        <w:tblW w:w="936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1"/>
        <w:gridCol w:w="2714"/>
        <w:gridCol w:w="2715"/>
      </w:tblGrid>
      <w:tr>
        <w:trPr>
          <w:tblHeader/>
        </w:trPr>
        <w:tc>
          <w:tcPr>
            <w:tcW w:w="3931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2714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tcW w:w="2715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Inter-annotator agreement</w:t>
            </w:r>
            <w:r>
              <w:t xml:space="preserve"> (Cohen's κ for 2 raters, Fleiss' κ for 3+)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κ ≥ 0.70 minimum; ≥ 0.80 preferred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0.70 is the common production-ML floor; 0.81–1.00 = "almost perfect" (Landis &amp; Koch)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Adjudication of disagreements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100% of κ-flagged conflicts resolved before gold set is frozen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Reviewer reconciliation log</w:t>
            </w:r>
          </w:p>
        </w:tc>
      </w:tr>
    </w:tbl>
    <w:p>
      <w:pPr>
        <w:pStyle w:val="Heading2"/>
      </w:pPr>
      <w:r>
        <w:t xml:space="preserve">D. Self-Healing / Evaluation Process</w:t>
      </w:r>
    </w:p>
    <w:tbl>
      <w:tblPr>
        <w:tblW w:w="936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1"/>
        <w:gridCol w:w="2714"/>
        <w:gridCol w:w="2715"/>
      </w:tblGrid>
      <w:tr>
        <w:trPr>
          <w:tblHeader/>
        </w:trPr>
        <w:tc>
          <w:tcPr>
            <w:tcW w:w="3931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2714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tcW w:w="2715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How measured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Keep precision</w:t>
            </w:r>
            <w:r>
              <w:t xml:space="preserve"> (terms kept that are genuinely useful)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0.95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Sample audit of auto-kept terms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False-discard rate</w:t>
            </w:r>
            <w:r>
              <w:t xml:space="preserve"> (useful terms wrongly discarded)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≤ 2%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Sample audit of auto-discarded terms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Auto-resolution rate</w:t>
            </w:r>
            <w:r>
              <w:t xml:space="preserve"> (share resolved without a human)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85% (rising over time)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Pipeline telemetry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Sampling-QA error tolerance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Audited error on auto-decisions &lt; 2%; if exceeded → tighten thresholds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Random-sample QA, each cycle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Human-queue containment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Expert-review volume within agreed staffing capacity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Queue depth monitoring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Decision permanence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100% of expert decisions persisted to Memory (never re-asked)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Memory audit</w:t>
            </w:r>
          </w:p>
        </w:tc>
      </w:tr>
    </w:tbl>
    <w:p>
      <w:pPr>
        <w:pStyle w:val="Heading2"/>
      </w:pPr>
      <w:r>
        <w:t xml:space="preserve">E. Findability &amp; User Validation</w:t>
      </w:r>
    </w:p>
    <w:tbl>
      <w:tblPr>
        <w:tblW w:w="936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31"/>
        <w:gridCol w:w="2714"/>
        <w:gridCol w:w="2715"/>
      </w:tblGrid>
      <w:tr>
        <w:trPr>
          <w:tblHeader/>
        </w:trPr>
        <w:tc>
          <w:tcPr>
            <w:tcW w:w="3931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tcW w:w="2714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tcW w:w="2715" w:type="dxa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How measured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Tree-test task success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≥ 80% of users find the right term/document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Tree testing (reverse card sort)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Closed card-sort agreement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Users sort terms into intended categories at high agreement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Closed card sort</w:t>
            </w:r>
          </w:p>
        </w:tc>
      </w:tr>
      <w:tr>
        <w:tc>
          <w:tcPr>
            <w:tcW w:w="3931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Label intuitiveness</w:t>
            </w:r>
          </w:p>
        </w:tc>
        <w:tc>
          <w:tcPr>
            <w:tcW w:w="2714" w:type="dxa"/>
            <w:vAlign w:val="center"/>
          </w:tcPr>
          <w:p>
            <w:pPr>
              <w:spacing w:before="40" w:after="40"/>
            </w:pPr>
            <w:r>
              <w:t xml:space="preserve">Names match users' mental models (no jargon mismatches)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/>
            </w:pPr>
            <w:r>
              <w:t xml:space="preserve">User testing feedback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color w:val="2E5496"/>
      <w:sz w:val="28"/>
      <w:szCs w:val="28"/>
    </w:rPr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