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Settlement Operations Report</w:t>
      </w:r>
    </w:p>
    <w:p>
      <w:r>
        <w:t>Report Date: 23 June 2026</w:t>
        <w:br/>
        <w:t>Settlement Window: June 2026 (20 trading days)</w:t>
        <w:br/>
        <w:t>Settlement Cycles: T+1 (standard) and T+0 (top 500 eligible stocks)</w:t>
      </w:r>
    </w:p>
    <w:p>
      <w:pPr>
        <w:pStyle w:val="Heading1"/>
      </w:pPr>
      <w:r>
        <w:t>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Trades Captured</w:t>
            </w:r>
          </w:p>
        </w:tc>
        <w:tc>
          <w:tcPr>
            <w:tcW w:type="dxa" w:w="4320"/>
          </w:tcPr>
          <w:p>
            <w:r>
              <w:t>983</w:t>
            </w:r>
          </w:p>
        </w:tc>
      </w:tr>
      <w:tr>
        <w:tc>
          <w:tcPr>
            <w:tcW w:type="dxa" w:w="4320"/>
          </w:tcPr>
          <w:p>
            <w:r>
              <w:t>Net Obligations (Final Stage)</w:t>
            </w:r>
          </w:p>
        </w:tc>
        <w:tc>
          <w:tcPr>
            <w:tcW w:type="dxa" w:w="4320"/>
          </w:tcPr>
          <w:p>
            <w:r>
              <w:t>2772</w:t>
            </w:r>
          </w:p>
        </w:tc>
      </w:tr>
      <w:tr>
        <w:tc>
          <w:tcPr>
            <w:tcW w:type="dxa" w:w="4320"/>
          </w:tcPr>
          <w:p>
            <w:r>
              <w:t>STP Rate</w:t>
            </w:r>
          </w:p>
        </w:tc>
        <w:tc>
          <w:tcPr>
            <w:tcW w:type="dxa" w:w="4320"/>
          </w:tcPr>
          <w:p>
            <w:r>
              <w:t>31.2%</w:t>
            </w:r>
          </w:p>
        </w:tc>
      </w:tr>
      <w:tr>
        <w:tc>
          <w:tcPr>
            <w:tcW w:type="dxa" w:w="4320"/>
          </w:tcPr>
          <w:p>
            <w:r>
              <w:t>Total Breaks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High-Risk Queue (Pre-Settlement)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Estimated Exception Cost</w:t>
            </w:r>
          </w:p>
        </w:tc>
        <w:tc>
          <w:tcPr>
            <w:tcW w:type="dxa" w:w="4320"/>
          </w:tcPr>
          <w:p>
            <w:r>
              <w:t>INR 805,000</w:t>
            </w:r>
          </w:p>
        </w:tc>
      </w:tr>
    </w:tbl>
    <w:p>
      <w:pPr>
        <w:pStyle w:val="Heading1"/>
      </w:pPr>
      <w:r>
        <w:t>Break Analysis</w:t>
      </w:r>
    </w:p>
    <w:p>
      <w:r>
        <w:t>A total of 58 breaks were detected across the settlement window. The distribution by type is as follows:</w:t>
      </w:r>
    </w:p>
    <w:p>
      <w:pPr>
        <w:pStyle w:val="ListBullet"/>
      </w:pPr>
      <w:r>
        <w:t>QUANTITY_MISMATCH: 30 (51.7%)</w:t>
      </w:r>
    </w:p>
    <w:p>
      <w:pPr>
        <w:pStyle w:val="ListBullet"/>
      </w:pPr>
      <w:r>
        <w:t>PRICE_MISMATCH: 28 (48.3%)</w:t>
      </w:r>
    </w:p>
    <w:p>
      <w:r>
        <w:br/>
        <w:t>Severity distribution: LOW: 38, MEDIUM: 11, HIGH: 9</w:t>
      </w:r>
    </w:p>
    <w:p>
      <w:pPr>
        <w:pStyle w:val="Heading1"/>
      </w:pPr>
      <w:r>
        <w:t>Agentic Triage Summary</w:t>
      </w:r>
    </w:p>
    <w:p>
      <w:r>
        <w:t>The LangGraph triage pipeline processed 58 breaks through the post-break triage path (classifier → root-cause investigator → resolution recommender → escalation checker → human approval gate). All 58 break resolutions are queued for human approval — no auto-resolution was performed.</w:t>
      </w:r>
    </w:p>
    <w:p>
      <w:r>
        <w:t>The pre-settlement fail-risk scan evaluated 50 pending obligations, identifying 9 as high-risk requiring proactive intervention.</w:t>
      </w:r>
    </w:p>
    <w:p>
      <w:pPr>
        <w:pStyle w:val="Heading1"/>
      </w:pPr>
      <w:r>
        <w:t>Position Reconciliation</w:t>
      </w:r>
    </w:p>
    <w:p>
      <w:r>
        <w:t>End-of-day position reconciliation compared 61 position lines between internally derived positions (from settled obligations) and custodian EOD holding statements. 0 positions (0.0% if total_positions &gt; 0 else 0) reconciled successfully.</w:t>
      </w:r>
    </w:p>
    <w:p>
      <w:pPr>
        <w:pStyle w:val="Heading1"/>
      </w:pPr>
      <w:r>
        <w:t>Audit &amp; Governance</w:t>
      </w:r>
    </w:p>
    <w:p>
      <w:r>
        <w:t>The agentic pipeline produced 340 audit log entries across all nodes. Each entry records the node name, input data, conclusion, and rationale — providing a complete reasoning chain for every agentic decision. This meets the governance requirement for agentic system auditability in financial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