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8B4513"/>
          <w:sz w:val="44"/>
        </w:rPr>
        <w:t>GitaMitra: System Architecture &amp; Technical Study Guide</w:t>
      </w:r>
    </w:p>
    <w:p>
      <w:pPr>
        <w:spacing w:after="280"/>
      </w:pPr>
      <w:r>
        <w:rPr>
          <w:i/>
          <w:color w:val="718096"/>
          <w:sz w:val="24"/>
        </w:rPr>
        <w:t>Comprehensive Engineering Reference, Technology Rationale, Concurrency &amp; Security Analysis</w:t>
      </w:r>
    </w:p>
    <w:p>
      <w:pPr>
        <w:spacing w:after="280"/>
      </w:pPr>
      <w:r>
        <w:rPr>
          <w:color w:val="D97706"/>
        </w:rPr>
        <w:t>————————————————————————————————————————————————————————————</w:t>
      </w:r>
    </w:p>
    <w:p>
      <w:pPr>
        <w:pStyle w:val="Heading1"/>
        <w:spacing w:before="320" w:after="120"/>
      </w:pPr>
      <w:r>
        <w:rPr>
          <w:b/>
          <w:color w:val="1E3A8A"/>
          <w:sz w:val="30"/>
        </w:rPr>
        <w:t>1. Executive Summary &amp; Philosophy</w:t>
      </w:r>
    </w:p>
    <w:p>
      <w:pPr>
        <w:spacing w:after="160"/>
      </w:pPr>
      <w:r>
        <w:t>GitaMitra is an agentic, compassionate spiritual companion grounded in the 700 verses of the Srimad Bhagavad Gita. Unlike generic chatbots that regurgitate cold summaries, GitaMitra operates as an authentic spiritual guide (embodying the Krishna-Arjuna dialogue). It features real-time Server-Sent Events (SSE) streaming, hybrid scripture retrieval (RAG), long-term cognitive memory across chat sessions, emotion-aware counseling, and voice interaction, all wrapped in a responsive Progressive Web Application (PWA).</w:t>
      </w:r>
    </w:p>
    <w:p>
      <w:pPr>
        <w:pStyle w:val="Heading1"/>
        <w:spacing w:before="320" w:after="120"/>
      </w:pPr>
      <w:r>
        <w:rPr>
          <w:b/>
          <w:color w:val="1E3A8A"/>
          <w:sz w:val="30"/>
        </w:rPr>
        <w:t>2. High-Level Multi-Tier Architecture</w:t>
      </w:r>
    </w:p>
    <w:p>
      <w:pPr>
        <w:spacing w:after="160"/>
      </w:pPr>
      <w:r>
        <w:t>The platform is architected around strict layer separation, high concurrency, and data isolation:</w:t>
      </w:r>
    </w:p>
    <w:p>
      <w:pPr>
        <w:pStyle w:val="ListBullet"/>
        <w:spacing w:after="60"/>
      </w:pPr>
      <w:r>
        <w:rPr>
          <w:b/>
          <w:color w:val="1A202C"/>
        </w:rPr>
        <w:t xml:space="preserve">Frontend Client Tier: </w:t>
      </w:r>
      <w:r>
        <w:rPr>
          <w:color w:val="1A202C"/>
        </w:rPr>
        <w:t>Next.js 16 with React 19, App Router, TypeScript, and Vanilla CSS. Serves mobile &amp; desktop with native PWA installation capability.</w:t>
      </w:r>
    </w:p>
    <w:p>
      <w:pPr>
        <w:pStyle w:val="ListBullet"/>
        <w:spacing w:after="60"/>
      </w:pPr>
      <w:r>
        <w:rPr>
          <w:b/>
          <w:color w:val="1A202C"/>
        </w:rPr>
        <w:t xml:space="preserve">API Gateway &amp; Server: </w:t>
      </w:r>
      <w:r>
        <w:rPr>
          <w:color w:val="1A202C"/>
        </w:rPr>
        <w:t>FastAPI (Python 3.11+) running on ASGI / Uvicorn. Native asyncio event loops deliver non-blocking token streaming.</w:t>
      </w:r>
    </w:p>
    <w:p>
      <w:pPr>
        <w:pStyle w:val="ListBullet"/>
        <w:spacing w:after="60"/>
      </w:pPr>
      <w:r>
        <w:rPr>
          <w:b/>
          <w:color w:val="1A202C"/>
        </w:rPr>
        <w:t xml:space="preserve">Companion Intelligence Engine: </w:t>
      </w:r>
      <w:r>
        <w:rPr>
          <w:color w:val="1A202C"/>
        </w:rPr>
        <w:t>Analyzes user emotions (Grief, Fear, Anger, Confusion) and dynamically selects counseling strategies (Karma, Jnana, Bhakti Yoga).</w:t>
      </w:r>
    </w:p>
    <w:p>
      <w:pPr>
        <w:pStyle w:val="ListBullet"/>
        <w:spacing w:after="60"/>
      </w:pPr>
      <w:r>
        <w:rPr>
          <w:b/>
          <w:color w:val="1A202C"/>
        </w:rPr>
        <w:t xml:space="preserve">Hybrid RAG Engine: </w:t>
      </w:r>
      <w:r>
        <w:rPr>
          <w:color w:val="1A202C"/>
        </w:rPr>
        <w:t>PostgreSQL + pgvector executes sub-20ms semantic queries combined with BM25 keyword matching and category metadata across 700 verses.</w:t>
      </w:r>
    </w:p>
    <w:p>
      <w:pPr>
        <w:pStyle w:val="ListBullet"/>
        <w:spacing w:after="60"/>
      </w:pPr>
      <w:r>
        <w:rPr>
          <w:b/>
          <w:color w:val="1A202C"/>
        </w:rPr>
        <w:t xml:space="preserve">Cognitive Memory Sanctuary: </w:t>
      </w:r>
      <w:r>
        <w:rPr>
          <w:color w:val="1A202C"/>
        </w:rPr>
        <w:t>Extracts, deduplicates, and recalls long-term user context, personal struggles, and spiritual reflections across conversations.</w:t>
      </w:r>
    </w:p>
    <w:p>
      <w:pPr>
        <w:pStyle w:val="ListBullet"/>
        <w:spacing w:after="60"/>
      </w:pPr>
      <w:r>
        <w:rPr>
          <w:b/>
          <w:color w:val="1A202C"/>
        </w:rPr>
        <w:t xml:space="preserve">Multi-Provider LLM Factory: </w:t>
      </w:r>
      <w:r>
        <w:rPr>
          <w:color w:val="1A202C"/>
        </w:rPr>
        <w:t>Abstracted interface supporting Groq (ultra-low latency), OpenAI, Google Gemini, and offline Mock testing.</w:t>
      </w:r>
    </w:p>
    <w:p>
      <w:pPr>
        <w:pStyle w:val="ListBullet"/>
        <w:spacing w:after="60"/>
      </w:pPr>
      <w:r>
        <w:rPr>
          <w:b/>
          <w:color w:val="1A202C"/>
        </w:rPr>
        <w:t xml:space="preserve">Voice &amp; Audio Pipeline: </w:t>
      </w:r>
      <w:r>
        <w:rPr>
          <w:color w:val="1A202C"/>
        </w:rPr>
        <w:t>Whisper STT (Speech-to-Text) and natural TTS (Text-to-Speech) with disk caching to minimize latency and API fees.</w:t>
      </w:r>
    </w:p>
    <w:p>
      <w:pPr>
        <w:pStyle w:val="Heading1"/>
        <w:spacing w:before="320" w:after="120"/>
      </w:pPr>
      <w:r>
        <w:rPr>
          <w:b/>
          <w:color w:val="1E3A8A"/>
          <w:sz w:val="30"/>
        </w:rPr>
        <w:t>3. In-Depth Component Analysis: Why &amp; How Each Was Chosen</w:t>
      </w:r>
    </w:p>
    <w:p>
      <w:pPr>
        <w:pStyle w:val="Heading2"/>
        <w:spacing w:before="240" w:after="80"/>
      </w:pPr>
      <w:r>
        <w:rPr>
          <w:b/>
          <w:color w:val="8B4513"/>
          <w:sz w:val="25"/>
        </w:rPr>
        <w:t>Next.js 16 (App Router) &amp; TypeScript</w:t>
      </w:r>
    </w:p>
    <w:p>
      <w:pPr>
        <w:spacing w:after="160"/>
      </w:pPr>
      <w:r>
        <w:t>Why Chosen: Search engines and seekers need instant access to sacred scriptures. Next.js statically prerenders all 18 chapters and 700 verses at build time for near-instant edge page loads. TypeScript enforces strict contracts between backend schemas and UI components to eliminate runtime bugs.</w:t>
        <w:br/>
        <w:t>How Used: Located in 'frontend/src/app/'. Prerenders static scripture at '/gita', streams live tokens via Server-Sent Events (SSE) at '/chat', and manages client-side authentication and theme contexts ('AuthContext' and 'ThemeContext').</w:t>
      </w:r>
    </w:p>
    <w:p>
      <w:pPr>
        <w:pStyle w:val="Heading2"/>
        <w:spacing w:before="240" w:after="80"/>
      </w:pPr>
      <w:r>
        <w:rPr>
          <w:b/>
          <w:color w:val="8B4513"/>
          <w:sz w:val="25"/>
        </w:rPr>
        <w:t>FastAPI &amp; Asynchronous Python (asyncio + asyncpg)</w:t>
      </w:r>
    </w:p>
    <w:p>
      <w:pPr>
        <w:spacing w:after="160"/>
      </w:pPr>
      <w:r>
        <w:t>Why Chosen: Traditional Python servers (standard Flask/Django) allocate one CPU thread per request. In AI streaming, each user connection stays open for 3-8 seconds while tokens stream. Synchronous servers would collapse under modest concurrency. FastAPI uses Python's native async event loop to handle thousands of concurrent SSE streams with trivial RAM (~50 KB per stream).</w:t>
        <w:br/>
        <w:t>How Used: Located in 'backend/app/main.py' and 'backend/app/api/endpoints/'. Endpoints use async def, SQLAlchemy async sessions, and non-blocking streaming responses via StreamingResponse.</w:t>
      </w:r>
    </w:p>
    <w:p>
      <w:pPr>
        <w:pStyle w:val="Heading2"/>
        <w:spacing w:before="240" w:after="80"/>
      </w:pPr>
      <w:r>
        <w:rPr>
          <w:b/>
          <w:color w:val="8B4513"/>
          <w:sz w:val="25"/>
        </w:rPr>
        <w:t>PostgreSQL with pgvector (Unified Database)</w:t>
      </w:r>
    </w:p>
    <w:p>
      <w:pPr>
        <w:spacing w:after="160"/>
      </w:pPr>
      <w:r>
        <w:t>Why Chosen: Running dedicated vector databases (Pinecone, Qdrant, Weaviate) adds high monthly infrastructure costs, network latency, and synchronization headaches. Storing relational data (users, chats, memories) alongside 768-dimensional vector embeddings in PostgreSQL ensures unified ACID transactions and simple backups.</w:t>
        <w:br/>
        <w:t>How Used: Containerized in 'docker-compose.yml' via 'ankane/pgvector:v0.5.1'. Defined in 'backend/app/models/gita.py' (Column(Vector(768))). Executes cosine distance queries (&lt;=&gt; operator) in under 15 milliseconds.</w:t>
      </w:r>
    </w:p>
    <w:p>
      <w:pPr>
        <w:pStyle w:val="Heading2"/>
        <w:spacing w:before="240" w:after="80"/>
      </w:pPr>
      <w:r>
        <w:rPr>
          <w:b/>
          <w:color w:val="8B4513"/>
          <w:sz w:val="25"/>
        </w:rPr>
        <w:t>Hybrid RAG (Semantic Vector + BM25 Keyword + Metadata)</w:t>
      </w:r>
    </w:p>
    <w:p>
      <w:pPr>
        <w:spacing w:after="160"/>
      </w:pPr>
      <w:r>
        <w:t>Why Chosen: Pure vector search fails when users ask for exact philosophical terms (e.g. 'Sankhya' or 'Gunas'), while pure keyword search fails when users express modern emotional dilemmas (e.g. 'I feel drained and unmotivated'). Combining both ensures the most contextually relevant shlokas are retrieved.</w:t>
        <w:br/>
        <w:t>How Used: Implemented in 'backend/app/services/rag.py'. It computes a weighted composite score: Score = (0.6 * CosineSimilarity) + (0.2 * BM25Keyword) + (0.2 * CategoryMatch), returning the top-K authentic verses.</w:t>
      </w:r>
    </w:p>
    <w:p>
      <w:pPr>
        <w:pStyle w:val="Heading2"/>
        <w:spacing w:before="240" w:after="80"/>
      </w:pPr>
      <w:r>
        <w:rPr>
          <w:b/>
          <w:color w:val="8B4513"/>
          <w:sz w:val="25"/>
        </w:rPr>
        <w:t>Cognitive Memory Sanctuary (Long-Term Memory)</w:t>
      </w:r>
    </w:p>
    <w:p>
      <w:pPr>
        <w:spacing w:after="160"/>
      </w:pPr>
      <w:r>
        <w:t>Why Chosen: Standard chatbots suffer from complete amnesia between conversations. A true spiritual mentor remembers who you are, your previous dilemmas, and your spiritual progress so you don't have to re-explain your life in every chat session.</w:t>
        <w:br/>
        <w:t>How Used: Located in 'backend/app/services/memory/'. 'extraction_service.py' extracts facts and dilemmas from dialogue, 'deduplicator.py' removes duplicates using semantic similarity, and 'retrieval_service.py' fetches relevant user context to inject into prompt generation.</w:t>
      </w:r>
    </w:p>
    <w:p>
      <w:pPr>
        <w:pStyle w:val="Heading2"/>
        <w:spacing w:before="240" w:after="80"/>
      </w:pPr>
      <w:r>
        <w:rPr>
          <w:b/>
          <w:color w:val="8B4513"/>
          <w:sz w:val="25"/>
        </w:rPr>
        <w:t>Companion Engine (Emotion &amp; Strategy Selection)</w:t>
      </w:r>
    </w:p>
    <w:p>
      <w:pPr>
        <w:spacing w:after="160"/>
      </w:pPr>
      <w:r>
        <w:t>Why Chosen: In the Gita, Arjuna was not lacking information; he was suffering from grief (Vishada), confusion (Moha), and fear (Bhaya). Different emotions require different spiritual yogas (Karma Yoga for paralysis, Jnana Yoga for confusion, Bhakti Yoga for despair).</w:t>
        <w:br/>
        <w:t>How Used: Located in 'backend/app/services/companion/'. 'emotion_service.py' identifies user emotional tone, and 'strategy_selector.py' adjusts pedagogical guidance and tone guidelines injected into the system prompt.</w:t>
      </w:r>
    </w:p>
    <w:p>
      <w:pPr>
        <w:pStyle w:val="Heading2"/>
        <w:spacing w:before="240" w:after="80"/>
      </w:pPr>
      <w:r>
        <w:rPr>
          <w:b/>
          <w:color w:val="8B4513"/>
          <w:sz w:val="25"/>
        </w:rPr>
        <w:t>Multi-Provider LLM Factory (Groq / OpenAI / Gemini / Mock)</w:t>
      </w:r>
    </w:p>
    <w:p>
      <w:pPr>
        <w:spacing w:after="160"/>
      </w:pPr>
      <w:r>
        <w:t>Why Chosen: Prevents vendor lock-in. Groq delivers lightning-fast inference (~250-500 tokens/sec), OpenAI/Gemini provide reliable fallback, and Mock enables full automated CI/CD testing with zero API costs.</w:t>
        <w:br/>
        <w:t>How Used: Located in 'backend/app/llm/factory.py'. Providers implement the BaseLLMProvider interface. Switching providers or models requires editing only the LLM_PROVIDER and LLM_MODEL environment variables in .env.</w:t>
      </w:r>
    </w:p>
    <w:p>
      <w:pPr>
        <w:pStyle w:val="Heading2"/>
        <w:spacing w:before="240" w:after="80"/>
      </w:pPr>
      <w:r>
        <w:rPr>
          <w:b/>
          <w:color w:val="8B4513"/>
          <w:sz w:val="25"/>
        </w:rPr>
        <w:t>Response Validation &amp; Hallucination Guard</w:t>
      </w:r>
    </w:p>
    <w:p>
      <w:pPr>
        <w:spacing w:after="160"/>
      </w:pPr>
      <w:r>
        <w:t>Why Chosen: LLMs can hallucinate nonexistent verses or misattribute citations. In a sacred scripture application, inaccurate citations destroy credibility. Additionally, raw '**' asterisks and robotic bullet headers break natural conversational flow.</w:t>
        <w:br/>
        <w:t>How Used: Located in 'backend/app/llm/validator.py'. Verifies all chapter/verse numbers against the authentic 700 verses, strips robotic line-start bold wrappers, and ensures clean, natural prose.</w:t>
      </w:r>
    </w:p>
    <w:p>
      <w:pPr>
        <w:pStyle w:val="Heading2"/>
        <w:spacing w:before="240" w:after="80"/>
      </w:pPr>
      <w:r>
        <w:rPr>
          <w:b/>
          <w:color w:val="8B4513"/>
          <w:sz w:val="25"/>
        </w:rPr>
        <w:t>Voice Engine (Whisper STT, Audio TTS, &amp; Disk Cache)</w:t>
      </w:r>
    </w:p>
    <w:p>
      <w:pPr>
        <w:spacing w:after="160"/>
      </w:pPr>
      <w:r>
        <w:t>Why Chosen: Many seekers prefer vocal expression or listening to recitation for meditation. Re-generating audio for identical verses wastes time and money.</w:t>
        <w:br/>
        <w:t>How Used: Located in 'backend/app/voice/'. Transcribes voice notes via Whisper, synthesizes speech, and caches generated audio files on disk ('/tmp/gitamitra_voice_cache') keyed by MD5 text hash.</w:t>
      </w:r>
    </w:p>
    <w:p>
      <w:pPr>
        <w:pStyle w:val="Heading2"/>
        <w:spacing w:before="240" w:after="80"/>
      </w:pPr>
      <w:r>
        <w:rPr>
          <w:b/>
          <w:color w:val="8B4513"/>
          <w:sz w:val="25"/>
        </w:rPr>
        <w:t>Sliding Window Rate Limiting</w:t>
      </w:r>
    </w:p>
    <w:p>
      <w:pPr>
        <w:spacing w:after="160"/>
      </w:pPr>
      <w:r>
        <w:t>Why Chosen: Defends against automated brute-force attacks, DDoS, spamming, and API bill exhaustion.</w:t>
        <w:br/>
        <w:t>How Used: Implemented in 'backend/app/core/rate_limit.py'. Enforces 10 req/min for Auth, 20 req/min for Chat, and 15 req/min for Voice, returning HTTP 429 with a Retry-After header if limits are exceeded.</w:t>
      </w:r>
    </w:p>
    <w:p>
      <w:pPr>
        <w:pStyle w:val="Heading1"/>
        <w:spacing w:before="320" w:after="120"/>
      </w:pPr>
      <w:r>
        <w:rPr>
          <w:b/>
          <w:color w:val="1E3A8A"/>
          <w:sz w:val="30"/>
        </w:rPr>
        <w:t>4. Concurrency, Load Capacity &amp; Scaling Analysis</w:t>
      </w:r>
    </w:p>
    <w:p>
      <w:pPr>
        <w:spacing w:after="160"/>
      </w:pPr>
      <w:r>
        <w:t>Understanding how the application behaves under traffic is critical for production deployment and scaling.</w:t>
      </w:r>
    </w:p>
    <w:tbl>
      <w:tblPr>
        <w:tblW w:type="auto" w:w="0"/>
        <w:jc w:val="center"/>
        <w:tblLook w:firstColumn="1" w:firstRow="1" w:lastColumn="0" w:lastRow="0" w:noHBand="0" w:noVBand="1" w:val="04A0"/>
      </w:tblPr>
      <w:tblGrid>
        <w:gridCol w:w="2448"/>
        <w:gridCol w:w="2448"/>
        <w:gridCol w:w="2448"/>
        <w:gridCol w:w="2448"/>
      </w:tblGrid>
      <w:tr>
        <w:tc>
          <w:tcPr>
            <w:tcW w:type="dxa" w:w="2448"/>
            <w:shd w:fill="1E3A8A"/>
            <w:tcMar>
              <w:top w:w="120" w:type="dxa"/>
              <w:bottom w:w="120" w:type="dxa"/>
              <w:left w:w="150" w:type="dxa"/>
              <w:right w:w="150" w:type="dxa"/>
            </w:tcMar>
          </w:tcPr>
          <w:p>
            <w:r>
              <w:rPr>
                <w:b/>
                <w:color w:val="FFFFFF"/>
              </w:rPr>
              <w:t>System Layer</w:t>
            </w:r>
          </w:p>
        </w:tc>
        <w:tc>
          <w:tcPr>
            <w:tcW w:type="dxa" w:w="2448"/>
            <w:shd w:fill="1E3A8A"/>
            <w:tcMar>
              <w:top w:w="120" w:type="dxa"/>
              <w:bottom w:w="120" w:type="dxa"/>
              <w:left w:w="150" w:type="dxa"/>
              <w:right w:w="150" w:type="dxa"/>
            </w:tcMar>
          </w:tcPr>
          <w:p>
            <w:r>
              <w:rPr>
                <w:b/>
                <w:color w:val="FFFFFF"/>
              </w:rPr>
              <w:t>Idle / Browsing Capacity</w:t>
            </w:r>
          </w:p>
        </w:tc>
        <w:tc>
          <w:tcPr>
            <w:tcW w:type="dxa" w:w="2448"/>
            <w:shd w:fill="1E3A8A"/>
            <w:tcMar>
              <w:top w:w="120" w:type="dxa"/>
              <w:bottom w:w="120" w:type="dxa"/>
              <w:left w:w="150" w:type="dxa"/>
              <w:right w:w="150" w:type="dxa"/>
            </w:tcMar>
          </w:tcPr>
          <w:p>
            <w:r>
              <w:rPr>
                <w:b/>
                <w:color w:val="FFFFFF"/>
              </w:rPr>
              <w:t>Simultaneous Active Chats</w:t>
            </w:r>
          </w:p>
        </w:tc>
        <w:tc>
          <w:tcPr>
            <w:tcW w:type="dxa" w:w="2448"/>
            <w:shd w:fill="1E3A8A"/>
            <w:tcMar>
              <w:top w:w="120" w:type="dxa"/>
              <w:bottom w:w="120" w:type="dxa"/>
              <w:left w:w="150" w:type="dxa"/>
              <w:right w:w="150" w:type="dxa"/>
            </w:tcMar>
          </w:tcPr>
          <w:p>
            <w:r>
              <w:rPr>
                <w:b/>
                <w:color w:val="FFFFFF"/>
              </w:rPr>
              <w:t>Primary Constraint</w:t>
            </w:r>
          </w:p>
        </w:tc>
      </w:tr>
      <w:tr>
        <w:tc>
          <w:tcPr>
            <w:tcW w:type="dxa" w:w="2448"/>
            <w:tcMar>
              <w:top w:w="100" w:type="dxa"/>
              <w:bottom w:w="100" w:type="dxa"/>
              <w:left w:w="150" w:type="dxa"/>
              <w:right w:w="150" w:type="dxa"/>
            </w:tcMar>
            <w:shd w:fill="F8FAFC"/>
          </w:tcPr>
          <w:p>
            <w:r>
              <w:t>Frontend (Next.js / CDN)</w:t>
            </w:r>
          </w:p>
        </w:tc>
        <w:tc>
          <w:tcPr>
            <w:tcW w:type="dxa" w:w="2448"/>
            <w:tcMar>
              <w:top w:w="100" w:type="dxa"/>
              <w:bottom w:w="100" w:type="dxa"/>
              <w:left w:w="150" w:type="dxa"/>
              <w:right w:w="150" w:type="dxa"/>
            </w:tcMar>
            <w:shd w:fill="FFFFFF"/>
          </w:tcPr>
          <w:p>
            <w:r>
              <w:t>100,000+ users</w:t>
            </w:r>
          </w:p>
        </w:tc>
        <w:tc>
          <w:tcPr>
            <w:tcW w:type="dxa" w:w="2448"/>
            <w:tcMar>
              <w:top w:w="100" w:type="dxa"/>
              <w:bottom w:w="100" w:type="dxa"/>
              <w:left w:w="150" w:type="dxa"/>
              <w:right w:w="150" w:type="dxa"/>
            </w:tcMar>
            <w:shd w:fill="F8FAFC"/>
          </w:tcPr>
          <w:p>
            <w:r>
              <w:t>100,000+ users</w:t>
            </w:r>
          </w:p>
        </w:tc>
        <w:tc>
          <w:tcPr>
            <w:tcW w:type="dxa" w:w="2448"/>
            <w:tcMar>
              <w:top w:w="100" w:type="dxa"/>
              <w:bottom w:w="100" w:type="dxa"/>
              <w:left w:w="150" w:type="dxa"/>
              <w:right w:w="150" w:type="dxa"/>
            </w:tcMar>
            <w:shd w:fill="FFFFFF"/>
          </w:tcPr>
          <w:p>
            <w:r>
              <w:t>Edge CDN bandwidth &amp; caching</w:t>
            </w:r>
          </w:p>
        </w:tc>
      </w:tr>
      <w:tr>
        <w:tc>
          <w:tcPr>
            <w:tcW w:type="dxa" w:w="2448"/>
            <w:tcMar>
              <w:top w:w="100" w:type="dxa"/>
              <w:bottom w:w="100" w:type="dxa"/>
              <w:left w:w="150" w:type="dxa"/>
              <w:right w:w="150" w:type="dxa"/>
            </w:tcMar>
            <w:shd w:fill="F8FAFC"/>
          </w:tcPr>
          <w:p>
            <w:r>
              <w:t>Backend (FastAPI / Uvicorn)</w:t>
            </w:r>
          </w:p>
        </w:tc>
        <w:tc>
          <w:tcPr>
            <w:tcW w:type="dxa" w:w="2448"/>
            <w:tcMar>
              <w:top w:w="100" w:type="dxa"/>
              <w:bottom w:w="100" w:type="dxa"/>
              <w:left w:w="150" w:type="dxa"/>
              <w:right w:w="150" w:type="dxa"/>
            </w:tcMar>
            <w:shd w:fill="FFFFFF"/>
          </w:tcPr>
          <w:p>
            <w:r>
              <w:t>5,000 – 10,000 users</w:t>
            </w:r>
          </w:p>
        </w:tc>
        <w:tc>
          <w:tcPr>
            <w:tcW w:type="dxa" w:w="2448"/>
            <w:tcMar>
              <w:top w:w="100" w:type="dxa"/>
              <w:bottom w:w="100" w:type="dxa"/>
              <w:left w:w="150" w:type="dxa"/>
              <w:right w:w="150" w:type="dxa"/>
            </w:tcMar>
            <w:shd w:fill="F8FAFC"/>
          </w:tcPr>
          <w:p>
            <w:r>
              <w:t>100 – 300 users / core</w:t>
            </w:r>
          </w:p>
        </w:tc>
        <w:tc>
          <w:tcPr>
            <w:tcW w:type="dxa" w:w="2448"/>
            <w:tcMar>
              <w:top w:w="100" w:type="dxa"/>
              <w:bottom w:w="100" w:type="dxa"/>
              <w:left w:w="150" w:type="dxa"/>
              <w:right w:w="150" w:type="dxa"/>
            </w:tcMar>
            <w:shd w:fill="FFFFFF"/>
          </w:tcPr>
          <w:p>
            <w:r>
              <w:t>Async event loop &amp; memory</w:t>
            </w:r>
          </w:p>
        </w:tc>
      </w:tr>
      <w:tr>
        <w:tc>
          <w:tcPr>
            <w:tcW w:type="dxa" w:w="2448"/>
            <w:tcMar>
              <w:top w:w="100" w:type="dxa"/>
              <w:bottom w:w="100" w:type="dxa"/>
              <w:left w:w="150" w:type="dxa"/>
              <w:right w:w="150" w:type="dxa"/>
            </w:tcMar>
            <w:shd w:fill="F8FAFC"/>
          </w:tcPr>
          <w:p>
            <w:r>
              <w:t>Database (PostgreSQL)</w:t>
            </w:r>
          </w:p>
        </w:tc>
        <w:tc>
          <w:tcPr>
            <w:tcW w:type="dxa" w:w="2448"/>
            <w:tcMar>
              <w:top w:w="100" w:type="dxa"/>
              <w:bottom w:w="100" w:type="dxa"/>
              <w:left w:w="150" w:type="dxa"/>
              <w:right w:w="150" w:type="dxa"/>
            </w:tcMar>
            <w:shd w:fill="FFFFFF"/>
          </w:tcPr>
          <w:p>
            <w:r>
              <w:t>10,000+ users</w:t>
            </w:r>
          </w:p>
        </w:tc>
        <w:tc>
          <w:tcPr>
            <w:tcW w:type="dxa" w:w="2448"/>
            <w:tcMar>
              <w:top w:w="100" w:type="dxa"/>
              <w:bottom w:w="100" w:type="dxa"/>
              <w:left w:w="150" w:type="dxa"/>
              <w:right w:w="150" w:type="dxa"/>
            </w:tcMar>
            <w:shd w:fill="F8FAFC"/>
          </w:tcPr>
          <w:p>
            <w:r>
              <w:t>30 – 100 concurrent queries</w:t>
            </w:r>
          </w:p>
        </w:tc>
        <w:tc>
          <w:tcPr>
            <w:tcW w:type="dxa" w:w="2448"/>
            <w:tcMar>
              <w:top w:w="100" w:type="dxa"/>
              <w:bottom w:w="100" w:type="dxa"/>
              <w:left w:w="150" w:type="dxa"/>
              <w:right w:w="150" w:type="dxa"/>
            </w:tcMar>
            <w:shd w:fill="FFFFFF"/>
          </w:tcPr>
          <w:p>
            <w:r>
              <w:t>Connection pool (DB_POOL_SIZE=10+20)</w:t>
            </w:r>
          </w:p>
        </w:tc>
      </w:tr>
      <w:tr>
        <w:tc>
          <w:tcPr>
            <w:tcW w:type="dxa" w:w="2448"/>
            <w:tcMar>
              <w:top w:w="100" w:type="dxa"/>
              <w:bottom w:w="100" w:type="dxa"/>
              <w:left w:w="150" w:type="dxa"/>
              <w:right w:w="150" w:type="dxa"/>
            </w:tcMar>
            <w:shd w:fill="F8FAFC"/>
          </w:tcPr>
          <w:p>
            <w:r>
              <w:t>LLM Provider (Free Tier)</w:t>
            </w:r>
          </w:p>
        </w:tc>
        <w:tc>
          <w:tcPr>
            <w:tcW w:type="dxa" w:w="2448"/>
            <w:tcMar>
              <w:top w:w="100" w:type="dxa"/>
              <w:bottom w:w="100" w:type="dxa"/>
              <w:left w:w="150" w:type="dxa"/>
              <w:right w:w="150" w:type="dxa"/>
            </w:tcMar>
            <w:shd w:fill="FFFFFF"/>
          </w:tcPr>
          <w:p>
            <w:r>
              <w:t>N/A</w:t>
            </w:r>
          </w:p>
        </w:tc>
        <w:tc>
          <w:tcPr>
            <w:tcW w:type="dxa" w:w="2448"/>
            <w:tcMar>
              <w:top w:w="100" w:type="dxa"/>
              <w:bottom w:w="100" w:type="dxa"/>
              <w:left w:w="150" w:type="dxa"/>
              <w:right w:w="150" w:type="dxa"/>
            </w:tcMar>
            <w:shd w:fill="F8FAFC"/>
          </w:tcPr>
          <w:p>
            <w:r>
              <w:t>2 – 5 users / minute</w:t>
            </w:r>
          </w:p>
        </w:tc>
        <w:tc>
          <w:tcPr>
            <w:tcW w:type="dxa" w:w="2448"/>
            <w:tcMar>
              <w:top w:w="100" w:type="dxa"/>
              <w:bottom w:w="100" w:type="dxa"/>
              <w:left w:w="150" w:type="dxa"/>
              <w:right w:w="150" w:type="dxa"/>
            </w:tcMar>
            <w:shd w:fill="FFFFFF"/>
          </w:tcPr>
          <w:p>
            <w:r>
              <w:t>30 RPM &amp; 6k-14k TPM rate limits</w:t>
            </w:r>
          </w:p>
        </w:tc>
      </w:tr>
      <w:tr>
        <w:tc>
          <w:tcPr>
            <w:tcW w:type="dxa" w:w="2448"/>
            <w:tcMar>
              <w:top w:w="100" w:type="dxa"/>
              <w:bottom w:w="100" w:type="dxa"/>
              <w:left w:w="150" w:type="dxa"/>
              <w:right w:w="150" w:type="dxa"/>
            </w:tcMar>
            <w:shd w:fill="F8FAFC"/>
          </w:tcPr>
          <w:p>
            <w:r>
              <w:t>LLM Provider (Paid Tier)</w:t>
            </w:r>
          </w:p>
        </w:tc>
        <w:tc>
          <w:tcPr>
            <w:tcW w:type="dxa" w:w="2448"/>
            <w:tcMar>
              <w:top w:w="100" w:type="dxa"/>
              <w:bottom w:w="100" w:type="dxa"/>
              <w:left w:w="150" w:type="dxa"/>
              <w:right w:w="150" w:type="dxa"/>
            </w:tcMar>
            <w:shd w:fill="FFFFFF"/>
          </w:tcPr>
          <w:p>
            <w:r>
              <w:t>N/A</w:t>
            </w:r>
          </w:p>
        </w:tc>
        <w:tc>
          <w:tcPr>
            <w:tcW w:type="dxa" w:w="2448"/>
            <w:tcMar>
              <w:top w:w="100" w:type="dxa"/>
              <w:bottom w:w="100" w:type="dxa"/>
              <w:left w:w="150" w:type="dxa"/>
              <w:right w:w="150" w:type="dxa"/>
            </w:tcMar>
            <w:shd w:fill="F8FAFC"/>
          </w:tcPr>
          <w:p>
            <w:r>
              <w:t>500 – 2,000+ users / minute</w:t>
            </w:r>
          </w:p>
        </w:tc>
        <w:tc>
          <w:tcPr>
            <w:tcW w:type="dxa" w:w="2448"/>
            <w:tcMar>
              <w:top w:w="100" w:type="dxa"/>
              <w:bottom w:w="100" w:type="dxa"/>
              <w:left w:w="150" w:type="dxa"/>
              <w:right w:w="150" w:type="dxa"/>
            </w:tcMar>
            <w:shd w:fill="FFFFFF"/>
          </w:tcPr>
          <w:p>
            <w:r>
              <w:t>Tier quota &amp; billing budget</w:t>
            </w:r>
          </w:p>
        </w:tc>
      </w:tr>
    </w:tbl>
    <w:p>
      <w:pPr>
        <w:spacing w:after="200"/>
      </w:pPr>
    </w:p>
    <w:p>
      <w:pPr>
        <w:pStyle w:val="Heading2"/>
        <w:spacing w:before="240" w:after="80"/>
      </w:pPr>
      <w:r>
        <w:rPr>
          <w:b/>
          <w:color w:val="8B4513"/>
          <w:sz w:val="25"/>
        </w:rPr>
        <w:t>Scaling to 50,000+ Daily Active Users</w:t>
      </w:r>
    </w:p>
    <w:p>
      <w:pPr>
        <w:pStyle w:val="ListBullet"/>
        <w:spacing w:after="60"/>
      </w:pPr>
      <w:r>
        <w:rPr>
          <w:b/>
          <w:color w:val="1A202C"/>
        </w:rPr>
        <w:t xml:space="preserve">1. LLM API Tier: </w:t>
      </w:r>
      <w:r>
        <w:rPr>
          <w:color w:val="1A202C"/>
        </w:rPr>
        <w:t>Configure Groq or OpenAI on a Pay-As-You-Go Developer Tier to lift the 30 RPM limit to 1,000-3,000+ RPM.</w:t>
      </w:r>
    </w:p>
    <w:p>
      <w:pPr>
        <w:pStyle w:val="ListBullet"/>
        <w:spacing w:after="60"/>
      </w:pPr>
      <w:r>
        <w:rPr>
          <w:b/>
          <w:color w:val="1A202C"/>
        </w:rPr>
        <w:t xml:space="preserve">2. Gunicorn Worker Scaling: </w:t>
      </w:r>
      <w:r>
        <w:rPr>
          <w:color w:val="1A202C"/>
        </w:rPr>
        <w:t>Switch CMD in Dockerfile to run Gunicorn with 4 Uvicorn workers: 'gunicorn app.main:app -w 4 -k uvicorn.workers.UvicornWorker -b 0.0.0.0:8000'.</w:t>
      </w:r>
    </w:p>
    <w:p>
      <w:pPr>
        <w:pStyle w:val="ListBullet"/>
        <w:spacing w:after="60"/>
      </w:pPr>
      <w:r>
        <w:rPr>
          <w:b/>
          <w:color w:val="1A202C"/>
        </w:rPr>
        <w:t xml:space="preserve">3. PgBouncer Connection Pooling: </w:t>
      </w:r>
      <w:r>
        <w:rPr>
          <w:color w:val="1A202C"/>
        </w:rPr>
        <w:t>Add PgBouncer in front of PostgreSQL to multiplex thousands of client connections onto a controlled pool of 30-50 real database connections.</w:t>
      </w:r>
    </w:p>
    <w:p>
      <w:pPr>
        <w:pStyle w:val="ListBullet"/>
        <w:spacing w:after="60"/>
      </w:pPr>
      <w:r>
        <w:rPr>
          <w:b/>
          <w:color w:val="1A202C"/>
        </w:rPr>
        <w:t xml:space="preserve">4. Distributed Redis Rate Limiting: </w:t>
      </w:r>
      <w:r>
        <w:rPr>
          <w:color w:val="1A202C"/>
        </w:rPr>
        <w:t>Replace the in-memory sliding window rate limiter with Redis so limits are enforced across multiple clustered backend instances.</w:t>
      </w:r>
    </w:p>
    <w:p>
      <w:pPr>
        <w:pStyle w:val="Heading1"/>
        <w:spacing w:before="320" w:after="120"/>
      </w:pPr>
      <w:r>
        <w:rPr>
          <w:b/>
          <w:color w:val="1E3A8A"/>
          <w:sz w:val="30"/>
        </w:rPr>
        <w:t>5. Comprehensive Security Architecture</w:t>
      </w:r>
    </w:p>
    <w:p>
      <w:pPr>
        <w:pStyle w:val="ListBullet"/>
        <w:spacing w:after="60"/>
      </w:pPr>
      <w:r>
        <w:rPr>
          <w:b/>
          <w:color w:val="1A202C"/>
        </w:rPr>
        <w:t xml:space="preserve">Password Encryption: </w:t>
      </w:r>
      <w:r>
        <w:rPr>
          <w:color w:val="1A202C"/>
        </w:rPr>
        <w:t>Passwords hashed using salted bcrypt / argon2 algorithms. Raw passwords are never stored, logged, or exposed in API errors.</w:t>
      </w:r>
    </w:p>
    <w:p>
      <w:pPr>
        <w:pStyle w:val="ListBullet"/>
        <w:spacing w:after="60"/>
      </w:pPr>
      <w:r>
        <w:rPr>
          <w:b/>
          <w:color w:val="1A202C"/>
        </w:rPr>
        <w:t xml:space="preserve">Session Security &amp; JWT: </w:t>
      </w:r>
      <w:r>
        <w:rPr>
          <w:color w:val="1A202C"/>
        </w:rPr>
        <w:t>Signed JSON Web Tokens (HS256) stored in HttpOnly, SameSite=Lax cookies to defend against Cross-Site Scripting (XSS) token theft.</w:t>
      </w:r>
    </w:p>
    <w:p>
      <w:pPr>
        <w:pStyle w:val="ListBullet"/>
        <w:spacing w:after="60"/>
      </w:pPr>
      <w:r>
        <w:rPr>
          <w:b/>
          <w:color w:val="1A202C"/>
        </w:rPr>
        <w:t xml:space="preserve">Multi-Tenant Isolation: </w:t>
      </w:r>
      <w:r>
        <w:rPr>
          <w:color w:val="1A202C"/>
        </w:rPr>
        <w:t>Every conversation, message, and memory is strictly bounded by user_id foreign key filters. A user cannot read, update, or delete another user's conversation (verified by automated tests returning 404/403).</w:t>
      </w:r>
    </w:p>
    <w:p>
      <w:pPr>
        <w:pStyle w:val="ListBullet"/>
        <w:spacing w:after="60"/>
      </w:pPr>
      <w:r>
        <w:rPr>
          <w:b/>
          <w:color w:val="1A202C"/>
        </w:rPr>
        <w:t xml:space="preserve">SQL Injection Defenses: </w:t>
      </w:r>
      <w:r>
        <w:rPr>
          <w:color w:val="1A202C"/>
        </w:rPr>
        <w:t>Zero raw string SQL interpolation. All queries use SQLAlchemy 2.0 ORM with parameterized binding.</w:t>
      </w:r>
    </w:p>
    <w:p>
      <w:pPr>
        <w:pStyle w:val="ListBullet"/>
        <w:spacing w:after="60"/>
      </w:pPr>
      <w:r>
        <w:rPr>
          <w:b/>
          <w:color w:val="1A202C"/>
        </w:rPr>
        <w:t xml:space="preserve">CORS &amp; Perimeter Guards: </w:t>
      </w:r>
      <w:r>
        <w:rPr>
          <w:color w:val="1A202C"/>
        </w:rPr>
        <w:t>CORS whitelist restricted via CORS_ALLOWED_ORIGINS. Request body size strictly validated (max message length 2,000 characters; max voice file 10 MB).</w:t>
      </w:r>
    </w:p>
    <w:p>
      <w:pPr>
        <w:pStyle w:val="Heading1"/>
        <w:spacing w:before="320" w:after="120"/>
      </w:pPr>
      <w:r>
        <w:rPr>
          <w:b/>
          <w:color w:val="1E3A8A"/>
          <w:sz w:val="30"/>
        </w:rPr>
        <w:t>6. Developer Study &amp; Modification Guide</w:t>
      </w:r>
    </w:p>
    <w:p>
      <w:pPr>
        <w:spacing w:after="160"/>
      </w:pPr>
      <w:r>
        <w:t>Use this reference when reading the codebase or delivering modifications:</w:t>
      </w:r>
    </w:p>
    <w:tbl>
      <w:tblPr>
        <w:tblW w:type="auto" w:w="0"/>
        <w:jc w:val="center"/>
        <w:tblLook w:firstColumn="1" w:firstRow="1" w:lastColumn="0" w:lastRow="0" w:noHBand="0" w:noVBand="1" w:val="04A0"/>
      </w:tblPr>
      <w:tblGrid>
        <w:gridCol w:w="3264"/>
        <w:gridCol w:w="3264"/>
        <w:gridCol w:w="3264"/>
      </w:tblGrid>
      <w:tr>
        <w:tc>
          <w:tcPr>
            <w:tcW w:type="dxa" w:w="3264"/>
            <w:shd w:fill="8B4513"/>
            <w:tcMar>
              <w:top w:w="120" w:type="dxa"/>
              <w:bottom w:w="120" w:type="dxa"/>
              <w:left w:w="150" w:type="dxa"/>
              <w:right w:w="150" w:type="dxa"/>
            </w:tcMar>
          </w:tcPr>
          <w:p>
            <w:r>
              <w:rPr>
                <w:b/>
                <w:color w:val="FFFFFF"/>
              </w:rPr>
              <w:t>Objective / Task</w:t>
            </w:r>
          </w:p>
        </w:tc>
        <w:tc>
          <w:tcPr>
            <w:tcW w:type="dxa" w:w="3264"/>
            <w:shd w:fill="8B4513"/>
            <w:tcMar>
              <w:top w:w="120" w:type="dxa"/>
              <w:bottom w:w="120" w:type="dxa"/>
              <w:left w:w="150" w:type="dxa"/>
              <w:right w:w="150" w:type="dxa"/>
            </w:tcMar>
          </w:tcPr>
          <w:p>
            <w:r>
              <w:rPr>
                <w:b/>
                <w:color w:val="FFFFFF"/>
              </w:rPr>
              <w:t>Target Files to Modify</w:t>
            </w:r>
          </w:p>
        </w:tc>
        <w:tc>
          <w:tcPr>
            <w:tcW w:type="dxa" w:w="3264"/>
            <w:shd w:fill="8B4513"/>
            <w:tcMar>
              <w:top w:w="120" w:type="dxa"/>
              <w:bottom w:w="120" w:type="dxa"/>
              <w:left w:w="150" w:type="dxa"/>
              <w:right w:w="150" w:type="dxa"/>
            </w:tcMar>
          </w:tcPr>
          <w:p>
            <w:r>
              <w:rPr>
                <w:b/>
                <w:color w:val="FFFFFF"/>
              </w:rPr>
              <w:t>Key Implementation Notes</w:t>
            </w:r>
          </w:p>
        </w:tc>
      </w:tr>
      <w:tr>
        <w:tc>
          <w:tcPr>
            <w:tcW w:type="dxa" w:w="3264"/>
            <w:tcMar>
              <w:top w:w="100" w:type="dxa"/>
              <w:bottom w:w="100" w:type="dxa"/>
              <w:left w:w="150" w:type="dxa"/>
              <w:right w:w="150" w:type="dxa"/>
            </w:tcMar>
            <w:shd w:fill="FDFBF7"/>
          </w:tcPr>
          <w:p>
            <w:r>
              <w:t>Change Chatbot Tone or Persona</w:t>
            </w:r>
          </w:p>
        </w:tc>
        <w:tc>
          <w:tcPr>
            <w:tcW w:type="dxa" w:w="3264"/>
            <w:tcMar>
              <w:top w:w="100" w:type="dxa"/>
              <w:bottom w:w="100" w:type="dxa"/>
              <w:left w:w="150" w:type="dxa"/>
              <w:right w:w="150" w:type="dxa"/>
            </w:tcMar>
            <w:shd w:fill="FFFFFF"/>
          </w:tcPr>
          <w:p>
            <w:r>
              <w:t>backend/app/llm/prompts/system/response_style.txt</w:t>
            </w:r>
          </w:p>
        </w:tc>
        <w:tc>
          <w:tcPr>
            <w:tcW w:type="dxa" w:w="3264"/>
            <w:tcMar>
              <w:top w:w="100" w:type="dxa"/>
              <w:bottom w:w="100" w:type="dxa"/>
              <w:left w:w="150" w:type="dxa"/>
              <w:right w:w="150" w:type="dxa"/>
            </w:tcMar>
            <w:shd w:fill="FDFBF7"/>
          </w:tcPr>
          <w:p>
            <w:r>
              <w:t>Defines Lord Krishna's tone, empathy, and formatting rules.</w:t>
            </w:r>
          </w:p>
        </w:tc>
      </w:tr>
      <w:tr>
        <w:tc>
          <w:tcPr>
            <w:tcW w:type="dxa" w:w="3264"/>
            <w:tcMar>
              <w:top w:w="100" w:type="dxa"/>
              <w:bottom w:w="100" w:type="dxa"/>
              <w:left w:w="150" w:type="dxa"/>
              <w:right w:w="150" w:type="dxa"/>
            </w:tcMar>
            <w:shd w:fill="FDFBF7"/>
          </w:tcPr>
          <w:p>
            <w:r>
              <w:t>Switch or Update LLM Model</w:t>
            </w:r>
          </w:p>
        </w:tc>
        <w:tc>
          <w:tcPr>
            <w:tcW w:type="dxa" w:w="3264"/>
            <w:tcMar>
              <w:top w:w="100" w:type="dxa"/>
              <w:bottom w:w="100" w:type="dxa"/>
              <w:left w:w="150" w:type="dxa"/>
              <w:right w:w="150" w:type="dxa"/>
            </w:tcMar>
            <w:shd w:fill="FFFFFF"/>
          </w:tcPr>
          <w:p>
            <w:r>
              <w:t>.env &amp; backend/app/core/config.py</w:t>
            </w:r>
          </w:p>
        </w:tc>
        <w:tc>
          <w:tcPr>
            <w:tcW w:type="dxa" w:w="3264"/>
            <w:tcMar>
              <w:top w:w="100" w:type="dxa"/>
              <w:bottom w:w="100" w:type="dxa"/>
              <w:left w:w="150" w:type="dxa"/>
              <w:right w:w="150" w:type="dxa"/>
            </w:tcMar>
            <w:shd w:fill="FDFBF7"/>
          </w:tcPr>
          <w:p>
            <w:r>
              <w:t>Change LLM_PROVIDER (groq/openai/gemini) and LLM_MODEL.</w:t>
            </w:r>
          </w:p>
        </w:tc>
      </w:tr>
      <w:tr>
        <w:tc>
          <w:tcPr>
            <w:tcW w:type="dxa" w:w="3264"/>
            <w:tcMar>
              <w:top w:w="100" w:type="dxa"/>
              <w:bottom w:w="100" w:type="dxa"/>
              <w:left w:w="150" w:type="dxa"/>
              <w:right w:w="150" w:type="dxa"/>
            </w:tcMar>
            <w:shd w:fill="FDFBF7"/>
          </w:tcPr>
          <w:p>
            <w:r>
              <w:t>Adjust Scripture Search Relevance</w:t>
            </w:r>
          </w:p>
        </w:tc>
        <w:tc>
          <w:tcPr>
            <w:tcW w:type="dxa" w:w="3264"/>
            <w:tcMar>
              <w:top w:w="100" w:type="dxa"/>
              <w:bottom w:w="100" w:type="dxa"/>
              <w:left w:w="150" w:type="dxa"/>
              <w:right w:w="150" w:type="dxa"/>
            </w:tcMar>
            <w:shd w:fill="FFFFFF"/>
          </w:tcPr>
          <w:p>
            <w:r>
              <w:t>.env &amp; backend/app/services/rag.py</w:t>
            </w:r>
          </w:p>
        </w:tc>
        <w:tc>
          <w:tcPr>
            <w:tcW w:type="dxa" w:w="3264"/>
            <w:tcMar>
              <w:top w:w="100" w:type="dxa"/>
              <w:bottom w:w="100" w:type="dxa"/>
              <w:left w:w="150" w:type="dxa"/>
              <w:right w:w="150" w:type="dxa"/>
            </w:tcMar>
            <w:shd w:fill="FDFBF7"/>
          </w:tcPr>
          <w:p>
            <w:r>
              <w:t>Tune RAG_SEMANTIC_WEIGHT (0.6), RAG_KEYWORD_WEIGHT (0.2), and RAG_TOP_K (5).</w:t>
            </w:r>
          </w:p>
        </w:tc>
      </w:tr>
      <w:tr>
        <w:tc>
          <w:tcPr>
            <w:tcW w:type="dxa" w:w="3264"/>
            <w:tcMar>
              <w:top w:w="100" w:type="dxa"/>
              <w:bottom w:w="100" w:type="dxa"/>
              <w:left w:w="150" w:type="dxa"/>
              <w:right w:w="150" w:type="dxa"/>
            </w:tcMar>
            <w:shd w:fill="FDFBF7"/>
          </w:tcPr>
          <w:p>
            <w:r>
              <w:t>Update Rate Limits</w:t>
            </w:r>
          </w:p>
        </w:tc>
        <w:tc>
          <w:tcPr>
            <w:tcW w:type="dxa" w:w="3264"/>
            <w:tcMar>
              <w:top w:w="100" w:type="dxa"/>
              <w:bottom w:w="100" w:type="dxa"/>
              <w:left w:w="150" w:type="dxa"/>
              <w:right w:w="150" w:type="dxa"/>
            </w:tcMar>
            <w:shd w:fill="FFFFFF"/>
          </w:tcPr>
          <w:p>
            <w:r>
              <w:t>backend/app/core/config.py</w:t>
            </w:r>
          </w:p>
        </w:tc>
        <w:tc>
          <w:tcPr>
            <w:tcW w:type="dxa" w:w="3264"/>
            <w:tcMar>
              <w:top w:w="100" w:type="dxa"/>
              <w:bottom w:w="100" w:type="dxa"/>
              <w:left w:w="150" w:type="dxa"/>
              <w:right w:w="150" w:type="dxa"/>
            </w:tcMar>
            <w:shd w:fill="FDFBF7"/>
          </w:tcPr>
          <w:p>
            <w:r>
              <w:t>Modify AUTH_RATE_LIMIT, CHAT_RATE_LIMIT, or VOICE_RATE_LIMIT.</w:t>
            </w:r>
          </w:p>
        </w:tc>
      </w:tr>
      <w:tr>
        <w:tc>
          <w:tcPr>
            <w:tcW w:type="dxa" w:w="3264"/>
            <w:tcMar>
              <w:top w:w="100" w:type="dxa"/>
              <w:bottom w:w="100" w:type="dxa"/>
              <w:left w:w="150" w:type="dxa"/>
              <w:right w:w="150" w:type="dxa"/>
            </w:tcMar>
            <w:shd w:fill="FDFBF7"/>
          </w:tcPr>
          <w:p>
            <w:r>
              <w:t>Modify Message Bubble UI / Shlokas</w:t>
            </w:r>
          </w:p>
        </w:tc>
        <w:tc>
          <w:tcPr>
            <w:tcW w:type="dxa" w:w="3264"/>
            <w:tcMar>
              <w:top w:w="100" w:type="dxa"/>
              <w:bottom w:w="100" w:type="dxa"/>
              <w:left w:w="150" w:type="dxa"/>
              <w:right w:w="150" w:type="dxa"/>
            </w:tcMar>
            <w:shd w:fill="FFFFFF"/>
          </w:tcPr>
          <w:p>
            <w:r>
              <w:t>frontend/src/components/chat/MessageBubble.tsx</w:t>
            </w:r>
          </w:p>
        </w:tc>
        <w:tc>
          <w:tcPr>
            <w:tcW w:type="dxa" w:w="3264"/>
            <w:tcMar>
              <w:top w:w="100" w:type="dxa"/>
              <w:bottom w:w="100" w:type="dxa"/>
              <w:left w:w="150" w:type="dxa"/>
              <w:right w:w="150" w:type="dxa"/>
            </w:tcMar>
            <w:shd w:fill="FDFBF7"/>
          </w:tcPr>
          <w:p>
            <w:r>
              <w:t>Controls Shloka cards, audio buttons, and inline bold rendering.</w:t>
            </w:r>
          </w:p>
        </w:tc>
      </w:tr>
      <w:tr>
        <w:tc>
          <w:tcPr>
            <w:tcW w:type="dxa" w:w="3264"/>
            <w:tcMar>
              <w:top w:w="100" w:type="dxa"/>
              <w:bottom w:w="100" w:type="dxa"/>
              <w:left w:w="150" w:type="dxa"/>
              <w:right w:w="150" w:type="dxa"/>
            </w:tcMar>
            <w:shd w:fill="FDFBF7"/>
          </w:tcPr>
          <w:p>
            <w:r>
              <w:t>Add/Remove Navigation Links</w:t>
            </w:r>
          </w:p>
        </w:tc>
        <w:tc>
          <w:tcPr>
            <w:tcW w:type="dxa" w:w="3264"/>
            <w:tcMar>
              <w:top w:w="100" w:type="dxa"/>
              <w:bottom w:w="100" w:type="dxa"/>
              <w:left w:w="150" w:type="dxa"/>
              <w:right w:w="150" w:type="dxa"/>
            </w:tcMar>
            <w:shd w:fill="FFFFFF"/>
          </w:tcPr>
          <w:p>
            <w:r>
              <w:t>frontend/src/components/chat/Sidebar.tsx</w:t>
            </w:r>
          </w:p>
        </w:tc>
        <w:tc>
          <w:tcPr>
            <w:tcW w:type="dxa" w:w="3264"/>
            <w:tcMar>
              <w:top w:w="100" w:type="dxa"/>
              <w:bottom w:w="100" w:type="dxa"/>
              <w:left w:w="150" w:type="dxa"/>
              <w:right w:w="150" w:type="dxa"/>
            </w:tcMar>
            <w:shd w:fill="FDFBF7"/>
          </w:tcPr>
          <w:p>
            <w:r>
              <w:t>Drawer navigation, conversation history, and profile popover.</w:t>
            </w:r>
          </w:p>
        </w:tc>
      </w:tr>
      <w:tr>
        <w:tc>
          <w:tcPr>
            <w:tcW w:type="dxa" w:w="3264"/>
            <w:tcMar>
              <w:top w:w="100" w:type="dxa"/>
              <w:bottom w:w="100" w:type="dxa"/>
              <w:left w:w="150" w:type="dxa"/>
              <w:right w:w="150" w:type="dxa"/>
            </w:tcMar>
            <w:shd w:fill="FDFBF7"/>
          </w:tcPr>
          <w:p>
            <w:r>
              <w:t>Run Backend Automated Tests</w:t>
            </w:r>
          </w:p>
        </w:tc>
        <w:tc>
          <w:tcPr>
            <w:tcW w:type="dxa" w:w="3264"/>
            <w:tcMar>
              <w:top w:w="100" w:type="dxa"/>
              <w:bottom w:w="100" w:type="dxa"/>
              <w:left w:w="150" w:type="dxa"/>
              <w:right w:w="150" w:type="dxa"/>
            </w:tcMar>
            <w:shd w:fill="FFFFFF"/>
          </w:tcPr>
          <w:p>
            <w:r>
              <w:t>Terminal</w:t>
            </w:r>
          </w:p>
        </w:tc>
        <w:tc>
          <w:tcPr>
            <w:tcW w:type="dxa" w:w="3264"/>
            <w:tcMar>
              <w:top w:w="100" w:type="dxa"/>
              <w:bottom w:w="100" w:type="dxa"/>
              <w:left w:w="150" w:type="dxa"/>
              <w:right w:w="150" w:type="dxa"/>
            </w:tcMar>
            <w:shd w:fill="FDFBF7"/>
          </w:tcPr>
          <w:p>
            <w:r>
              <w:t>Execute 'python -m pytest backend/tests/test_chat.py'.</w:t>
            </w:r>
          </w:p>
        </w:tc>
      </w:tr>
      <w:tr>
        <w:tc>
          <w:tcPr>
            <w:tcW w:type="dxa" w:w="3264"/>
            <w:tcMar>
              <w:top w:w="100" w:type="dxa"/>
              <w:bottom w:w="100" w:type="dxa"/>
              <w:left w:w="150" w:type="dxa"/>
              <w:right w:w="150" w:type="dxa"/>
            </w:tcMar>
            <w:shd w:fill="FDFBF7"/>
          </w:tcPr>
          <w:p>
            <w:r>
              <w:t>Verify Production Build</w:t>
            </w:r>
          </w:p>
        </w:tc>
        <w:tc>
          <w:tcPr>
            <w:tcW w:type="dxa" w:w="3264"/>
            <w:tcMar>
              <w:top w:w="100" w:type="dxa"/>
              <w:bottom w:w="100" w:type="dxa"/>
              <w:left w:w="150" w:type="dxa"/>
              <w:right w:w="150" w:type="dxa"/>
            </w:tcMar>
            <w:shd w:fill="FFFFFF"/>
          </w:tcPr>
          <w:p>
            <w:r>
              <w:t>Terminal (in frontend/)</w:t>
            </w:r>
          </w:p>
        </w:tc>
        <w:tc>
          <w:tcPr>
            <w:tcW w:type="dxa" w:w="3264"/>
            <w:tcMar>
              <w:top w:w="100" w:type="dxa"/>
              <w:bottom w:w="100" w:type="dxa"/>
              <w:left w:w="150" w:type="dxa"/>
              <w:right w:w="150" w:type="dxa"/>
            </w:tcMar>
            <w:shd w:fill="FDFBF7"/>
          </w:tcPr>
          <w:p>
            <w:r>
              <w:t>Execute 'npm run build' to test TypeScript and bundling.</w:t>
            </w:r>
          </w:p>
        </w:tc>
      </w:tr>
    </w:tbl>
    <w:p>
      <w:pPr>
        <w:spacing w:after="400"/>
      </w:pPr>
    </w:p>
    <w:p>
      <w:pPr>
        <w:jc w:val="center"/>
      </w:pPr>
      <w:r>
        <w:rPr>
          <w:i/>
          <w:color w:val="718096"/>
          <w:sz w:val="18"/>
        </w:rPr>
        <w:t>Generated for GitaMitra Developer Onboarding &amp; Architecture Review •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