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Globex Corporation</w:t>
      </w:r>
    </w:p>
    <w:p>
      <w:r>
        <w:t>Rue de la Loi 227, 1040 Brussels, Belgium</w:t>
      </w:r>
    </w:p>
    <w:p>
      <w:pPr>
        <w:pStyle w:val="Heading1"/>
      </w:pPr>
      <w:r>
        <w:t>Invoice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Seller</w:t>
            </w:r>
          </w:p>
        </w:tc>
        <w:tc>
          <w:tcPr>
            <w:tcW w:type="dxa" w:w="4320"/>
          </w:tcPr>
          <w:p>
            <w:r>
              <w:t>Globex Corporation</w:t>
            </w:r>
          </w:p>
        </w:tc>
      </w:tr>
      <w:tr>
        <w:tc>
          <w:tcPr>
            <w:tcW w:type="dxa" w:w="4320"/>
          </w:tcPr>
          <w:p>
            <w:r>
              <w:t>Invoice No</w:t>
            </w:r>
          </w:p>
        </w:tc>
        <w:tc>
          <w:tcPr>
            <w:tcW w:type="dxa" w:w="4320"/>
          </w:tcPr>
          <w:p>
            <w:r>
              <w:t>GX-7781</w:t>
            </w:r>
          </w:p>
        </w:tc>
      </w:tr>
      <w:tr>
        <w:tc>
          <w:tcPr>
            <w:tcW w:type="dxa" w:w="4320"/>
          </w:tcPr>
          <w:p>
            <w:r>
              <w:t>Invoice date</w:t>
            </w:r>
          </w:p>
        </w:tc>
        <w:tc>
          <w:tcPr>
            <w:tcW w:type="dxa" w:w="4320"/>
          </w:tcPr>
          <w:p>
            <w:r>
              <w:t>2026-02-03</w:t>
            </w:r>
          </w:p>
        </w:tc>
      </w:tr>
      <w:tr>
        <w:tc>
          <w:tcPr>
            <w:tcW w:type="dxa" w:w="4320"/>
          </w:tcPr>
          <w:p>
            <w:r>
              <w:t>Customer</w:t>
            </w:r>
          </w:p>
        </w:tc>
        <w:tc>
          <w:tcPr>
            <w:tcW w:type="dxa" w:w="4320"/>
          </w:tcPr>
          <w:p>
            <w:r>
              <w:t>Northwind Trading Company</w:t>
            </w:r>
          </w:p>
        </w:tc>
      </w:tr>
      <w:tr>
        <w:tc>
          <w:tcPr>
            <w:tcW w:type="dxa" w:w="4320"/>
          </w:tcPr>
          <w:p>
            <w:r>
              <w:t>Payment terms</w:t>
            </w:r>
          </w:p>
        </w:tc>
        <w:tc>
          <w:tcPr>
            <w:tcW w:type="dxa" w:w="4320"/>
          </w:tcPr>
          <w:p>
            <w:r>
              <w:t>Net 15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Service</w:t>
            </w:r>
          </w:p>
        </w:tc>
        <w:tc>
          <w:tcPr>
            <w:tcW w:type="dxa" w:w="2880"/>
          </w:tcPr>
          <w:p>
            <w:r>
              <w:t>Qty</w:t>
            </w:r>
          </w:p>
        </w:tc>
        <w:tc>
          <w:tcPr>
            <w:tcW w:type="dxa" w:w="2880"/>
          </w:tcPr>
          <w:p>
            <w:r>
              <w:t>Amount</w:t>
            </w:r>
          </w:p>
        </w:tc>
      </w:tr>
      <w:tr>
        <w:tc>
          <w:tcPr>
            <w:tcW w:type="dxa" w:w="2880"/>
          </w:tcPr>
          <w:p>
            <w:r>
              <w:t>Quarterly compliance review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750.00</w:t>
            </w:r>
          </w:p>
        </w:tc>
      </w:tr>
      <w:tr>
        <w:tc>
          <w:tcPr>
            <w:tcW w:type="dxa" w:w="2880"/>
          </w:tcPr>
          <w:p>
            <w:r>
              <w:t>Document handling charge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250.00</w:t>
            </w:r>
          </w:p>
        </w:tc>
      </w:tr>
    </w:tbl>
    <w:p/>
    <w:p>
      <w:r>
        <w:t>Amount before tax: 1,000.00 USD</w:t>
      </w:r>
    </w:p>
    <w:p>
      <w:r>
        <w:t>VAT (20%): 200.00 USD</w:t>
      </w:r>
    </w:p>
    <w:p>
      <w:r>
        <w:t>Amount due: 1,200.00 USD</w:t>
      </w:r>
    </w:p>
    <w:p/>
    <w:p>
      <w:r>
        <w:t>No purchase order number was supplied by the customer for this engagement.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