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ind w:firstLine="0"/>
        <w:jc w:val="center"/>
      </w:pPr>
      <w:r>
        <w:rPr>
          <w:b/>
          <w:color w:val="002147"/>
          <w:sz w:val="26"/>
        </w:rPr>
        <w:t>WaterTriage: A Data-Driven Water Quality Risk Scoring and Intervention Prioritization System for Uttar Pradesh and Bihar</w:t>
        <w:br/>
        <w:t>Anubhav Anand (Enrollment No. A41105223039) — B.Tech CSE, Amity University Uttar Pradesh, Greater Noida</w:t>
      </w:r>
    </w:p>
    <w:p>
      <w:pPr>
        <w:keepNext/>
        <w:spacing w:before="300" w:after="100"/>
        <w:ind w:firstLine="0"/>
      </w:pPr>
      <w:r>
        <w:rPr>
          <w:b/>
          <w:color w:val="002147"/>
          <w:sz w:val="28"/>
        </w:rPr>
        <w:t>Abstract</w:t>
      </w:r>
    </w:p>
    <w:p>
      <w:pPr>
        <w:spacing w:line="324" w:lineRule="auto" w:before="0" w:after="120"/>
        <w:ind w:firstLine="0"/>
        <w:jc w:val="both"/>
      </w:pPr>
      <w:r>
        <w:rPr>
          <w:sz w:val="23"/>
        </w:rPr>
        <w:t>Rural drinking water security across the Indo-Gangetic alluvial plains of Uttar Pradesh (75 districts) and Bihar (38 districts) is persistently challenged by geogenic contaminants—specifically arsenic, fluoride, and dissolved iron—alongside anthropogenic nitrate and fecal coliform pollution. Although the Government of India's Jal Jeevan Mission (JJM) collects habitation-level laboratory and field testing records within the Water Quality Management Information System (WQMIS), its public reporting interfaces are structured for macroeconomic administrative tracking rather than source-level or district-level remediation triage. This project designs, implements, and audits WaterTriage, a reproducible, containerized decision-support system built with Python, FastAPI, SQLAlchemy 2.0, PostgreSQL 16, and a six-tab React 18 frontend that ingests public JJM water quality datasets, scores contamination severity against Bureau of Indian Standards (BIS) IS 10500:2012 limits, and exposes ranked intervention priority queues.</w:t>
      </w:r>
    </w:p>
    <w:p>
      <w:pPr>
        <w:spacing w:line="324" w:lineRule="auto" w:before="0" w:after="120"/>
        <w:ind w:firstLine="0"/>
        <w:jc w:val="both"/>
      </w:pPr>
      <w:r>
        <w:rPr>
          <w:sz w:val="23"/>
        </w:rPr>
        <w:t>The system is evaluated across two complementary operational layers at repository commit 95b2162. First, on a frozen canonical corpus of 1,741 individual WQMIS laboratory test reports (Uttar Pradesh: 966; Bihar: 775; collected 2022-07-01 to 2022-11-19 across 6,792 discrete parameter readings), a three-way sensitivity audit compares the baseline tested-weight formulation (Model v1 at the IS 10500:2012 iron limit of 0.3 mg/L: 89 Critical, 392 High, 28 Medium, 1,232 Low; Bihar mean 18.36 vs. UP 12.68 despite medians of 0.00 vs. 4.08), a laboratory-limit sensitivity run (at the 1.0 mg/L iron threshold printed on all 876 raw WQMIS iron records: 5 Critical, 139 High, 30 Medium, 1,567 Low; UP mean 9.99 &gt; Bihar 1.58), and a coverage-adjusted total-weight formulation (Model v2 normalized over TOTAL_BIS_WEIGHT = 6.0 across all 10 BIS parameters with 40/20/10 bands: 3 Critical, 54 High, 125 Medium, 1,559 Low; UP mean 4.72 &gt; Bihar 2.32). This audit proves that Bihar's elevated baseline mean was an artifact of 70 single-parameter iron tests in Madhepura district (0.318–0.478 mg/L). Second, a non-destructive enrichment and four-tier fusion engine resolves 302 of 354 previously unassigned laboratory districts (85.3%) across 20 single-district laboratories via a two-step ASP.NET session cookie handshake (leaving only 52 samples [2.99%] in multi-district regional lab L158 and 0% missing in Bihar), recovers 305 village/habitation names (17.52%, up from 1.21%), and integrates official Form WQ6 village census tables (113 districts), the deduplicated 2009–2012 IMIS registry (100,690 events across all 93/93 historical districts), and CGWB 2012–2021 station series to achieve 100% risk-scoring coverage across all 113 canonical districts (46 Critical [32 pathogen overrides, 13 arsenic escalations, 1 score-driven], 27 High, 19 Medium, and 21 Low).</w:t>
      </w:r>
    </w:p>
    <w:p>
      <w:pPr>
        <w:spacing w:line="324" w:lineRule="auto" w:before="0" w:after="120"/>
        <w:ind w:firstLine="0"/>
        <w:jc w:val="both"/>
      </w:pPr>
      <w:r>
        <w:rPr>
          <w:b/>
          <w:sz w:val="23"/>
        </w:rPr>
        <w:t xml:space="preserve">Keywords: </w:t>
      </w:r>
      <w:r>
        <w:rPr>
          <w:sz w:val="23"/>
        </w:rPr>
        <w:t>Water Quality Surveillance; Jal Jeevan Mission (JJM); WQMIS; BIS IS 10500:2012; Multi-Tier Risk Scoring; Panel-Size Bias; FastAPI; React Decision-Support System.</w:t>
      </w:r>
    </w:p>
    <w:p>
      <w:pPr>
        <w:keepNext/>
        <w:spacing w:before="300" w:after="100"/>
        <w:ind w:firstLine="0"/>
      </w:pPr>
      <w:r>
        <w:rPr>
          <w:b/>
          <w:color w:val="002147"/>
          <w:sz w:val="28"/>
        </w:rPr>
        <w:t>1. Introduction</w:t>
      </w:r>
    </w:p>
    <w:p>
      <w:pPr>
        <w:spacing w:line="324" w:lineRule="auto" w:before="0" w:after="120"/>
        <w:ind w:firstLine="504"/>
        <w:jc w:val="both"/>
      </w:pPr>
      <w:r>
        <w:rPr>
          <w:sz w:val="23"/>
        </w:rPr>
        <w:t>Shallow and intermediate alluvial aquifers along the Middle Gangetic Plain supply drinking water to over three hundred million residents across Uttar Pradesh and Bihar. Because these unconsolidated Holocene and Pleistocene sediments undergo reductive dissolution of iron oxyhydroxides and localized weathering of fluoride-bearing minerals, rural groundwater sources frequently exceed safe drinking water thresholds for arsenic, fluoride, and iron, while shallow handpumps remain vulnerable to nitrate leaching and bacteriological contamination from domestic sewage [1, 2, 9]. Under the National Jal Jeevan Mission (JJM), the Department of Drinking Water and Sanitation (DDWS) operates the Water Quality Management Information System (WQMIS) to catalog laboratory test results from state, district, and sub-divisional laboratories alongside village-level Field Test Kit (FTK) summaries [1, 2].</w:t>
      </w:r>
    </w:p>
    <w:p>
      <w:pPr>
        <w:spacing w:line="324" w:lineRule="auto" w:before="0" w:after="120"/>
        <w:ind w:firstLine="504"/>
        <w:jc w:val="both"/>
      </w:pPr>
      <w:r>
        <w:rPr>
          <w:sz w:val="23"/>
        </w:rPr>
        <w:t>Despite the volume of testing data captured within WQMIS, local block development officers, public health engineers, and district collectors face a practical operational bottleneck: WQMIS publishes either macro-level tabular summaries (Formats WQ1 through WQ6) or isolated, per-sample printable HTML certificates (/WQMIS/Common/final_report_print) keyed by AES-encrypted sample identifiers. It does not provide an open, programmable triage engine that normalizes heterogeneous laboratory test panels against Bureau of Indian Standards (BIS) IS 10500:2012 health weights, prevents single-contaminant acute hazards from being diluted by compliant physical readings, or reconciles sparse point-in-time laboratory samples with district-wide village contamination censuses.</w:t>
      </w:r>
    </w:p>
    <w:p>
      <w:pPr>
        <w:spacing w:line="324" w:lineRule="auto" w:before="0" w:after="120"/>
        <w:ind w:firstLine="504"/>
        <w:jc w:val="both"/>
      </w:pPr>
      <w:r>
        <w:rPr>
          <w:sz w:val="23"/>
        </w:rPr>
        <w:t>To bridge this gap, this Minor Project (ETMN100) develops and audits WaterTriage, an end-to-end water quality risk scoring and intervention prioritization system covering all 75 districts of Uttar Pradesh and all 38 districts of Bihar (113 canonical districts in total). Specifically, the project addresses six core engineering and analytical objectives defined in the project synopsis: (1) automated acquisition, cleaning, and provenance-preserving enrichment of public JJM WQMIS laboratory reports and historical habitation registries; (2) relational modeling in PostgreSQL 16 with strict foreign-key integrity and duplicate-reading aggregation; (3) formulation and sensitivity auditing of a BIS IS 10500:2012 severity scoring engine with acute-hazard escalation; (4) multi-tier district fusion and historical recurrence evaluation across 100,690 historical events (2009–2012), 113 Form WQ6 district village censuses, and Central Ground Water Board (CGWB) 2012–2021 monitoring stations; (5) a modular FastAPI REST backend verified by automated unit and integration tests; and (6) an interactive six-tab React 18 decision-support dashboard.</w:t>
      </w:r>
    </w:p>
    <w:p>
      <w:pPr>
        <w:keepNext/>
        <w:spacing w:before="300" w:after="100"/>
        <w:ind w:firstLine="0"/>
      </w:pPr>
      <w:r>
        <w:rPr>
          <w:b/>
          <w:color w:val="002147"/>
          <w:sz w:val="28"/>
        </w:rPr>
        <w:t>2. Literature Review and Related Work</w:t>
      </w:r>
    </w:p>
    <w:p>
      <w:pPr>
        <w:keepNext/>
        <w:spacing w:before="220" w:after="80"/>
        <w:ind w:firstLine="0"/>
      </w:pPr>
      <w:r>
        <w:rPr>
          <w:b/>
          <w:color w:val="002147"/>
          <w:sz w:val="24"/>
        </w:rPr>
        <w:t>2.1 National Water Quality Surveillance Architecture (WQMIS &amp; JJM)</w:t>
      </w:r>
    </w:p>
    <w:p>
      <w:pPr>
        <w:spacing w:line="324" w:lineRule="auto" w:before="0" w:after="120"/>
        <w:ind w:firstLine="504"/>
        <w:jc w:val="both"/>
      </w:pPr>
      <w:r>
        <w:rPr>
          <w:sz w:val="23"/>
        </w:rPr>
        <w:t>Under the JJM Drinking Water Quality Monitoring &amp; Surveillance Framework [2], state and district laboratories upload chemical and bacteriological test outcomes to the central WQMIS portal [1]. Publicly accessible views include aggregate state/district tables (Form WQ6 reporting contaminated village counts across 16 parameters) and individual sample printouts. Field evaluations in Uttar Pradesh districts such as Etawah demonstrate that while household tap connections have expanded rapidly under JJM, localized physicochemical and microbial exceedances persist at point-of-use and source levels, necessitating targeted remediation scheduling rather than uniform administrative reporting [7].</w:t>
      </w:r>
    </w:p>
    <w:p>
      <w:pPr>
        <w:keepNext/>
        <w:spacing w:before="220" w:after="80"/>
        <w:ind w:firstLine="0"/>
      </w:pPr>
      <w:r>
        <w:rPr>
          <w:b/>
          <w:color w:val="002147"/>
          <w:sz w:val="24"/>
        </w:rPr>
        <w:t>2.2 Hydrogeochemical Contamination in Uttar Pradesh and Bihar</w:t>
      </w:r>
    </w:p>
    <w:p>
      <w:pPr>
        <w:spacing w:line="324" w:lineRule="auto" w:before="0" w:after="120"/>
        <w:ind w:firstLine="504"/>
        <w:jc w:val="both"/>
      </w:pPr>
      <w:r>
        <w:rPr>
          <w:sz w:val="23"/>
        </w:rPr>
        <w:t>Spatial hydrogeochemical studies across the Indo-Gangetic basin document distinct regional hazard regimes across Uttar Pradesh and Bihar [8, 9]. Holocene meander-belt corridors along the Ganga, Ghaghara, Gandak, and Kosi rivers—spanning districts such as Bahraich, Ballia, and Lakhimpur Kheri in Uttar Pradesh and Bhagalpur, Begusarai, Bhojpur, Buxar, Samastipur, and Katihar in Bihar—exhibit elevated geogenic arsenic mobilization driven by reductive dissolution of iron oxides [9]. Conversely, semi-arid southwestern and central tracts of Uttar Pradesh (including Agra, Firozabad, Unnao, and Rae Bareli) and crystalline-fringe districts of southern Bihar experience high groundwater fluoride and salinity (TDS) loads [5, 8], while Kosi-basin districts in north-eastern Bihar (such as Madhepura, Supaul, Purnia, and Saharsa) exhibit pervasive dissolved iron exceedance.</w:t>
      </w:r>
    </w:p>
    <w:p>
      <w:pPr>
        <w:keepNext/>
        <w:spacing w:before="220" w:after="80"/>
        <w:ind w:firstLine="0"/>
      </w:pPr>
      <w:r>
        <w:rPr>
          <w:b/>
          <w:color w:val="002147"/>
          <w:sz w:val="24"/>
        </w:rPr>
        <w:t>2.3 Structural Failure Modes of Classical Water Quality Indices (WQI)</w:t>
      </w:r>
    </w:p>
    <w:p>
      <w:pPr>
        <w:spacing w:line="324" w:lineRule="auto" w:before="0" w:after="120"/>
        <w:ind w:firstLine="504"/>
        <w:jc w:val="both"/>
      </w:pPr>
      <w:r>
        <w:rPr>
          <w:sz w:val="23"/>
        </w:rPr>
        <w:t>Weighted arithmetic Water Quality Index (WQI) formulations—originally popularized by Brown et al. and Horton and widely applied across Indian aquifers [4, 5, 6]—compute a linear weighted average of sub-index ratios across measured parameters. When deployed directly for public-health intervention triage on operational government laboratory logs, standard WQI formulations exhibit two severe mathematical failure modes:</w:t>
      </w:r>
    </w:p>
    <w:p>
      <w:pPr>
        <w:pStyle w:val="ListBullet"/>
        <w:spacing w:line="300" w:lineRule="auto" w:before="20" w:after="80"/>
        <w:ind w:firstLine="0"/>
        <w:jc w:val="both"/>
      </w:pPr>
      <w:r>
        <w:rPr>
          <w:b/>
          <w:sz w:val="22"/>
        </w:rPr>
        <w:t xml:space="preserve">1. Eclipsing (Multi-Parameter Dilution): </w:t>
      </w:r>
      <w:r>
        <w:rPr>
          <w:sz w:val="22"/>
        </w:rPr>
        <w:t>When a water sample contains a lethal or acute contaminant—such as Escherichia coli (&gt; 0 CFU/100 mL) or arsenic (&gt; 0.01 mg/L)—alongside seven or eight compliant physical and aesthetic parameters (pH, TDS, turbidity, sulphate, hardness), a linear weighted average dilutes the composite score into a 'Low' or 'Medium' band [4, 6]. In public-health triage, any acute pathogen or toxic heavy-metal breach must unconditionally escalate the source to the highest intervention tier.</w:t>
      </w:r>
    </w:p>
    <w:p>
      <w:pPr>
        <w:pStyle w:val="ListBullet"/>
        <w:spacing w:line="300" w:lineRule="auto" w:before="20" w:after="80"/>
        <w:ind w:firstLine="0"/>
        <w:jc w:val="both"/>
      </w:pPr>
      <w:r>
        <w:rPr>
          <w:b/>
          <w:sz w:val="22"/>
        </w:rPr>
        <w:t xml:space="preserve">2. Panel-Size Denominator Bias (Incomplete Laboratory Panels): </w:t>
      </w:r>
      <w:r>
        <w:rPr>
          <w:sz w:val="22"/>
        </w:rPr>
        <w:t>Routine government testing laboratories rarely run a uniform 10-parameter panel on every sample; field follow-ups frequently test only 1 to 3 targeted parameters. If the composite score divides the weighted severity sum solely by the weights of tested parameters (sum of w_i,tested), a single-parameter test that marginally exceeds an aesthetic threshold (such as dissolved iron at 0.32 mg/L) achieves a normalized ratio of w_iron / w_iron = 1.0 (100.0 on a 0–100 scale), ranking above a 7-parameter sample with severe fluoride and nitrate breaches. WaterTriage explicitly diagnoses and resolves both failure modes.</w:t>
      </w:r>
    </w:p>
    <w:p>
      <w:pPr>
        <w:keepNext/>
        <w:spacing w:before="300" w:after="100"/>
        <w:ind w:firstLine="0"/>
      </w:pPr>
      <w:r>
        <w:rPr>
          <w:b/>
          <w:color w:val="002147"/>
          <w:sz w:val="28"/>
        </w:rPr>
        <w:t>3. System Architecture and Methodology</w:t>
      </w:r>
    </w:p>
    <w:p>
      <w:pPr>
        <w:keepNext/>
        <w:spacing w:before="220" w:after="80"/>
        <w:ind w:firstLine="0"/>
      </w:pPr>
      <w:r>
        <w:rPr>
          <w:b/>
          <w:color w:val="002147"/>
          <w:sz w:val="24"/>
        </w:rPr>
        <w:t>3.1 Four-Stage Pipeline and Relational Database Schema</w:t>
      </w:r>
    </w:p>
    <w:p>
      <w:pPr>
        <w:spacing w:line="324" w:lineRule="auto" w:before="0" w:after="120"/>
        <w:ind w:firstLine="504"/>
        <w:jc w:val="both"/>
      </w:pPr>
      <w:r>
        <w:rPr>
          <w:sz w:val="23"/>
        </w:rPr>
        <w:t>WaterTriage is architected as a reproducible four-stage pipeline orchestrated via Docker Compose (docker-compose.yml): (1) Acquisition &amp; Non-Destructive Enrichment (backend/etl/crawl_fast.py, wqmis.py, load_wqmis.py, load_historical.py, and scripts/close_data_gaps.py); (2) Relational Persistence in PostgreSQL 16 (container watertriage-db); (3) Analytical Scoring &amp; Multi-Tier Fusion (backend/app/engine/scoring.py, pipeline.py, recurrence.py, and scripts/build_full_113_district_triage.py); and (4) API &amp; Frontend Serving (FastAPI backend on port 8000 with 8 routers and 20 endpoints, paired with a React 18 + Vite single-page application in dashboard/src/App.jsx).</w:t>
      </w:r>
    </w:p>
    <w:p>
      <w:pPr>
        <w:spacing w:line="324" w:lineRule="auto" w:before="0" w:after="120"/>
        <w:ind w:firstLine="504"/>
        <w:jc w:val="both"/>
      </w:pPr>
      <w:r>
        <w:rPr>
          <w:sz w:val="23"/>
        </w:rPr>
        <w:t>The PostgreSQL database schema (backend/app/models.py, managed via Alembic migrations) normalizes source-level and historical surveillance data across eight domain tables (plus alembic_version): states, districts, villages, bis_parameters, water_samples, readings, risk_scores, interventions, and historical_contamination. Separating water_samples (one row per laboratory report, keyed by unique wqmis_sample_id) from readings (individual parameter measurements linked by foreign key) accommodates variable-length laboratory panels (1 to 10 parameters per sample). When a raw WQMIS HTML report contains duplicate rows for the same parameter, backend/app/engine/pipeline.py aggregates them by retaining the maximum severity reading so no breach is silently overwritten.</w:t>
      </w:r>
    </w:p>
    <w:p>
      <w:pPr>
        <w:keepNext/>
        <w:spacing w:before="220" w:after="80"/>
        <w:ind w:firstLine="0"/>
      </w:pPr>
      <w:r>
        <w:rPr>
          <w:b/>
          <w:color w:val="002147"/>
          <w:sz w:val="24"/>
        </w:rPr>
        <w:t>3.2 BIS IS 10500:2012 Threshold Specification and Dual Scoring Formulations</w:t>
      </w:r>
    </w:p>
    <w:p>
      <w:pPr>
        <w:spacing w:line="324" w:lineRule="auto" w:before="0" w:after="120"/>
        <w:ind w:firstLine="504"/>
        <w:jc w:val="both"/>
      </w:pPr>
      <w:r>
        <w:rPr>
          <w:sz w:val="23"/>
        </w:rPr>
        <w:t>Every chemical and bacteriological reading is evaluated against the primary Bureau of Indian Standards IS 10500:2012 specification (Second Revision, incorporating Amendment No. 1 of June 2015) [3]. Table 1 documents all ten parameters configured in backend/app/engine/scoring.py, their exact IS 10500:2012 table and item citations, acceptable limits (a_i), permissible limits in the absence of an alternate source (p_i), health-risk weights (w_i, summing to TOTAL_BIS_WEIGHT = 6.0), and the acceptable limits printed inside the raw WQMIS laboratory HTML reports.</w:t>
      </w:r>
    </w:p>
    <w:tbl>
      <w:tblPr>
        <w:tblW w:type="auto" w:w="0"/>
        <w:jc w:val="center"/>
        <w:tblLook w:firstColumn="1" w:firstRow="1" w:lastColumn="0" w:lastRow="0" w:noHBand="0" w:noVBand="1" w:val="04A0"/>
      </w:tblPr>
      <w:tblGrid>
        <w:gridCol w:w="1662"/>
        <w:gridCol w:w="1662"/>
        <w:gridCol w:w="1662"/>
        <w:gridCol w:w="1662"/>
        <w:gridCol w:w="1662"/>
      </w:tblGrid>
      <w:tr>
        <w:trPr>
          <w:tblHeader/>
        </w:trPr>
        <w:tc>
          <w:tcPr>
            <w:tcW w:type="dxa" w:w="1662"/>
            <w:vAlign w:val="center"/>
            <w:shd w:fill="002147"/>
          </w:tcPr>
          <w:p>
            <w:pPr>
              <w:keepNext/>
              <w:spacing w:before="60" w:after="60" w:line="252" w:lineRule="auto"/>
              <w:ind w:firstLine="0"/>
            </w:pPr>
            <w:r>
              <w:rPr>
                <w:b/>
                <w:color w:val="FFFFFF"/>
                <w:sz w:val="20"/>
              </w:rPr>
              <w:t>Parameter (Engine Key)</w:t>
            </w:r>
          </w:p>
        </w:tc>
        <w:tc>
          <w:tcPr>
            <w:tcW w:type="dxa" w:w="1662"/>
            <w:vAlign w:val="center"/>
            <w:shd w:fill="002147"/>
          </w:tcPr>
          <w:p>
            <w:pPr>
              <w:keepNext/>
              <w:spacing w:before="60" w:after="60" w:line="252" w:lineRule="auto"/>
              <w:ind w:firstLine="0"/>
            </w:pPr>
            <w:r>
              <w:rPr>
                <w:b/>
                <w:color w:val="FFFFFF"/>
                <w:sz w:val="20"/>
              </w:rPr>
              <w:t>BIS IS 10500:2012 Ref.</w:t>
            </w:r>
          </w:p>
        </w:tc>
        <w:tc>
          <w:tcPr>
            <w:tcW w:type="dxa" w:w="1662"/>
            <w:vAlign w:val="center"/>
            <w:shd w:fill="002147"/>
          </w:tcPr>
          <w:p>
            <w:pPr>
              <w:keepNext/>
              <w:spacing w:before="60" w:after="60" w:line="252" w:lineRule="auto"/>
              <w:ind w:firstLine="0"/>
            </w:pPr>
            <w:r>
              <w:rPr>
                <w:b/>
                <w:color w:val="FFFFFF"/>
                <w:sz w:val="20"/>
              </w:rPr>
              <w:t>Scorer Acceptable / Permissible</w:t>
            </w:r>
          </w:p>
        </w:tc>
        <w:tc>
          <w:tcPr>
            <w:tcW w:type="dxa" w:w="1662"/>
            <w:vAlign w:val="center"/>
            <w:shd w:fill="002147"/>
          </w:tcPr>
          <w:p>
            <w:pPr>
              <w:keepNext/>
              <w:spacing w:before="60" w:after="60" w:line="252" w:lineRule="auto"/>
              <w:ind w:firstLine="0"/>
            </w:pPr>
            <w:r>
              <w:rPr>
                <w:b/>
                <w:color w:val="FFFFFF"/>
                <w:sz w:val="20"/>
              </w:rPr>
              <w:t>Lab-Printed Limit (records.jsonl)</w:t>
            </w:r>
          </w:p>
        </w:tc>
        <w:tc>
          <w:tcPr>
            <w:tcW w:type="dxa" w:w="1662"/>
            <w:vAlign w:val="center"/>
            <w:shd w:fill="002147"/>
          </w:tcPr>
          <w:p>
            <w:pPr>
              <w:keepNext/>
              <w:spacing w:before="60" w:after="60" w:line="252" w:lineRule="auto"/>
              <w:ind w:firstLine="0"/>
            </w:pPr>
            <w:r>
              <w:rPr>
                <w:b/>
                <w:color w:val="FFFFFF"/>
                <w:sz w:val="20"/>
              </w:rPr>
              <w:t>Weight (w_i) &amp; Strategy</w:t>
            </w:r>
          </w:p>
        </w:tc>
      </w:tr>
      <w:tr>
        <w:trPr>
          <w:cantSplit/>
        </w:trPr>
        <w:tc>
          <w:tcPr>
            <w:tcW w:type="dxa" w:w="1662"/>
            <w:vAlign w:val="center"/>
          </w:tcPr>
          <w:p>
            <w:pPr>
              <w:spacing w:before="50" w:after="50" w:line="252" w:lineRule="auto"/>
              <w:ind w:firstLine="0"/>
            </w:pPr>
            <w:r>
              <w:rPr>
                <w:b/>
                <w:sz w:val="20"/>
              </w:rPr>
              <w:t>Total Arsenic (arsenic)</w:t>
            </w:r>
          </w:p>
        </w:tc>
        <w:tc>
          <w:tcPr>
            <w:tcW w:type="dxa" w:w="1662"/>
            <w:vAlign w:val="center"/>
          </w:tcPr>
          <w:p>
            <w:pPr>
              <w:spacing w:before="50" w:after="50" w:line="252" w:lineRule="auto"/>
              <w:ind w:firstLine="0"/>
            </w:pPr>
            <w:r>
              <w:rPr>
                <w:sz w:val="20"/>
              </w:rPr>
              <w:t>Table 3, Item (x) + Amend. 1</w:t>
            </w:r>
          </w:p>
        </w:tc>
        <w:tc>
          <w:tcPr>
            <w:tcW w:type="dxa" w:w="1662"/>
            <w:vAlign w:val="center"/>
          </w:tcPr>
          <w:p>
            <w:pPr>
              <w:spacing w:before="50" w:after="50" w:line="252" w:lineRule="auto"/>
              <w:ind w:firstLine="0"/>
            </w:pPr>
            <w:r>
              <w:rPr>
                <w:sz w:val="20"/>
              </w:rPr>
              <w:t>0.01 mg/L / None (No relax.)</w:t>
            </w:r>
          </w:p>
        </w:tc>
        <w:tc>
          <w:tcPr>
            <w:tcW w:type="dxa" w:w="1662"/>
            <w:vAlign w:val="center"/>
          </w:tcPr>
          <w:p>
            <w:pPr>
              <w:spacing w:before="50" w:after="50" w:line="252" w:lineRule="auto"/>
              <w:ind w:firstLine="0"/>
            </w:pPr>
            <w:r>
              <w:rPr>
                <w:sz w:val="20"/>
              </w:rPr>
              <w:t>0.01 mg/L / None (n = 259)</w:t>
            </w:r>
          </w:p>
        </w:tc>
        <w:tc>
          <w:tcPr>
            <w:tcW w:type="dxa" w:w="1662"/>
            <w:vAlign w:val="center"/>
          </w:tcPr>
          <w:p>
            <w:pPr>
              <w:spacing w:before="50" w:after="50" w:line="252" w:lineRule="auto"/>
              <w:ind w:firstLine="0"/>
            </w:pPr>
            <w:r>
              <w:rPr>
                <w:sz w:val="20"/>
              </w:rPr>
              <w:t>1.0 (threshold, Acute)</w:t>
            </w:r>
          </w:p>
        </w:tc>
      </w:tr>
      <w:tr>
        <w:trPr>
          <w:cantSplit/>
        </w:trPr>
        <w:tc>
          <w:tcPr>
            <w:tcW w:type="dxa" w:w="1662"/>
            <w:vAlign w:val="center"/>
            <w:shd w:fill="F4F7FA"/>
          </w:tcPr>
          <w:p>
            <w:pPr>
              <w:spacing w:before="50" w:after="50" w:line="252" w:lineRule="auto"/>
              <w:ind w:firstLine="0"/>
            </w:pPr>
            <w:r>
              <w:rPr>
                <w:b/>
                <w:sz w:val="20"/>
              </w:rPr>
              <w:t>E. coli (e_coli)</w:t>
            </w:r>
          </w:p>
        </w:tc>
        <w:tc>
          <w:tcPr>
            <w:tcW w:type="dxa" w:w="1662"/>
            <w:vAlign w:val="center"/>
            <w:shd w:fill="F4F7FA"/>
          </w:tcPr>
          <w:p>
            <w:pPr>
              <w:spacing w:before="50" w:after="50" w:line="252" w:lineRule="auto"/>
              <w:ind w:firstLine="0"/>
            </w:pPr>
            <w:r>
              <w:rPr>
                <w:sz w:val="20"/>
              </w:rPr>
              <w:t>Table 6, Item (i)</w:t>
            </w:r>
          </w:p>
        </w:tc>
        <w:tc>
          <w:tcPr>
            <w:tcW w:type="dxa" w:w="1662"/>
            <w:vAlign w:val="center"/>
            <w:shd w:fill="F4F7FA"/>
          </w:tcPr>
          <w:p>
            <w:pPr>
              <w:spacing w:before="50" w:after="50" w:line="252" w:lineRule="auto"/>
              <w:ind w:firstLine="0"/>
            </w:pPr>
            <w:r>
              <w:rPr>
                <w:sz w:val="20"/>
              </w:rPr>
              <w:t>0 CFU/100mL / 0 (Absent)</w:t>
            </w:r>
          </w:p>
        </w:tc>
        <w:tc>
          <w:tcPr>
            <w:tcW w:type="dxa" w:w="1662"/>
            <w:vAlign w:val="center"/>
            <w:shd w:fill="F4F7FA"/>
          </w:tcPr>
          <w:p>
            <w:pPr>
              <w:spacing w:before="50" w:after="50" w:line="252" w:lineRule="auto"/>
              <w:ind w:firstLine="0"/>
            </w:pPr>
            <w:r>
              <w:rPr>
                <w:sz w:val="20"/>
              </w:rPr>
              <w:t>0 / 0 (n = 45)</w:t>
            </w:r>
          </w:p>
        </w:tc>
        <w:tc>
          <w:tcPr>
            <w:tcW w:type="dxa" w:w="1662"/>
            <w:vAlign w:val="center"/>
            <w:shd w:fill="F4F7FA"/>
          </w:tcPr>
          <w:p>
            <w:pPr>
              <w:spacing w:before="50" w:after="50" w:line="252" w:lineRule="auto"/>
              <w:ind w:firstLine="0"/>
            </w:pPr>
            <w:r>
              <w:rPr>
                <w:sz w:val="20"/>
              </w:rPr>
              <w:t>0.9 (microbial, Acute)</w:t>
            </w:r>
          </w:p>
        </w:tc>
      </w:tr>
      <w:tr>
        <w:trPr>
          <w:cantSplit/>
        </w:trPr>
        <w:tc>
          <w:tcPr>
            <w:tcW w:type="dxa" w:w="1662"/>
            <w:vAlign w:val="center"/>
          </w:tcPr>
          <w:p>
            <w:pPr>
              <w:spacing w:before="50" w:after="50" w:line="252" w:lineRule="auto"/>
              <w:ind w:firstLine="0"/>
            </w:pPr>
            <w:r>
              <w:rPr>
                <w:b/>
                <w:sz w:val="20"/>
              </w:rPr>
              <w:t>Total Coliform (total_coliform)</w:t>
            </w:r>
          </w:p>
        </w:tc>
        <w:tc>
          <w:tcPr>
            <w:tcW w:type="dxa" w:w="1662"/>
            <w:vAlign w:val="center"/>
          </w:tcPr>
          <w:p>
            <w:pPr>
              <w:spacing w:before="50" w:after="50" w:line="252" w:lineRule="auto"/>
              <w:ind w:firstLine="0"/>
            </w:pPr>
            <w:r>
              <w:rPr>
                <w:sz w:val="20"/>
              </w:rPr>
              <w:t>Table 6, Item (ii)</w:t>
            </w:r>
          </w:p>
        </w:tc>
        <w:tc>
          <w:tcPr>
            <w:tcW w:type="dxa" w:w="1662"/>
            <w:vAlign w:val="center"/>
          </w:tcPr>
          <w:p>
            <w:pPr>
              <w:spacing w:before="50" w:after="50" w:line="252" w:lineRule="auto"/>
              <w:ind w:firstLine="0"/>
            </w:pPr>
            <w:r>
              <w:rPr>
                <w:sz w:val="20"/>
              </w:rPr>
              <w:t>0 MPN/100mL / 0 (Absent)</w:t>
            </w:r>
          </w:p>
        </w:tc>
        <w:tc>
          <w:tcPr>
            <w:tcW w:type="dxa" w:w="1662"/>
            <w:vAlign w:val="center"/>
          </w:tcPr>
          <w:p>
            <w:pPr>
              <w:spacing w:before="50" w:after="50" w:line="252" w:lineRule="auto"/>
              <w:ind w:firstLine="0"/>
            </w:pPr>
            <w:r>
              <w:rPr>
                <w:sz w:val="20"/>
              </w:rPr>
              <w:t>0 / 0 (n = 7)</w:t>
            </w:r>
          </w:p>
        </w:tc>
        <w:tc>
          <w:tcPr>
            <w:tcW w:type="dxa" w:w="1662"/>
            <w:vAlign w:val="center"/>
          </w:tcPr>
          <w:p>
            <w:pPr>
              <w:spacing w:before="50" w:after="50" w:line="252" w:lineRule="auto"/>
              <w:ind w:firstLine="0"/>
            </w:pPr>
            <w:r>
              <w:rPr>
                <w:sz w:val="20"/>
              </w:rPr>
              <w:t>0.9 (microbial, Acute)</w:t>
            </w:r>
          </w:p>
        </w:tc>
      </w:tr>
      <w:tr>
        <w:trPr>
          <w:cantSplit/>
        </w:trPr>
        <w:tc>
          <w:tcPr>
            <w:tcW w:type="dxa" w:w="1662"/>
            <w:vAlign w:val="center"/>
            <w:shd w:fill="F4F7FA"/>
          </w:tcPr>
          <w:p>
            <w:pPr>
              <w:spacing w:before="50" w:after="50" w:line="252" w:lineRule="auto"/>
              <w:ind w:firstLine="0"/>
            </w:pPr>
            <w:r>
              <w:rPr>
                <w:b/>
                <w:sz w:val="20"/>
              </w:rPr>
              <w:t>Fluoride (fluoride)</w:t>
            </w:r>
          </w:p>
        </w:tc>
        <w:tc>
          <w:tcPr>
            <w:tcW w:type="dxa" w:w="1662"/>
            <w:vAlign w:val="center"/>
            <w:shd w:fill="F4F7FA"/>
          </w:tcPr>
          <w:p>
            <w:pPr>
              <w:spacing w:before="50" w:after="50" w:line="252" w:lineRule="auto"/>
              <w:ind w:firstLine="0"/>
            </w:pPr>
            <w:r>
              <w:rPr>
                <w:sz w:val="20"/>
              </w:rPr>
              <w:t>Table 2, Item (xiii)</w:t>
            </w:r>
          </w:p>
        </w:tc>
        <w:tc>
          <w:tcPr>
            <w:tcW w:type="dxa" w:w="1662"/>
            <w:vAlign w:val="center"/>
            <w:shd w:fill="F4F7FA"/>
          </w:tcPr>
          <w:p>
            <w:pPr>
              <w:spacing w:before="50" w:after="50" w:line="252" w:lineRule="auto"/>
              <w:ind w:firstLine="0"/>
            </w:pPr>
            <w:r>
              <w:rPr>
                <w:sz w:val="20"/>
              </w:rPr>
              <w:t>1.0 mg/L / 1.5 mg/L</w:t>
            </w:r>
          </w:p>
        </w:tc>
        <w:tc>
          <w:tcPr>
            <w:tcW w:type="dxa" w:w="1662"/>
            <w:vAlign w:val="center"/>
            <w:shd w:fill="F4F7FA"/>
          </w:tcPr>
          <w:p>
            <w:pPr>
              <w:spacing w:before="50" w:after="50" w:line="252" w:lineRule="auto"/>
              <w:ind w:firstLine="0"/>
            </w:pPr>
            <w:r>
              <w:rPr>
                <w:sz w:val="20"/>
              </w:rPr>
              <w:t>1.0 / 1.5 mg/L (n = 893)</w:t>
            </w:r>
          </w:p>
        </w:tc>
        <w:tc>
          <w:tcPr>
            <w:tcW w:type="dxa" w:w="1662"/>
            <w:vAlign w:val="center"/>
            <w:shd w:fill="F4F7FA"/>
          </w:tcPr>
          <w:p>
            <w:pPr>
              <w:spacing w:before="50" w:after="50" w:line="252" w:lineRule="auto"/>
              <w:ind w:firstLine="0"/>
            </w:pPr>
            <w:r>
              <w:rPr>
                <w:sz w:val="20"/>
              </w:rPr>
              <w:t>0.8 (threshold)</w:t>
            </w:r>
          </w:p>
        </w:tc>
      </w:tr>
      <w:tr>
        <w:trPr>
          <w:cantSplit/>
        </w:trPr>
        <w:tc>
          <w:tcPr>
            <w:tcW w:type="dxa" w:w="1662"/>
            <w:vAlign w:val="center"/>
          </w:tcPr>
          <w:p>
            <w:pPr>
              <w:spacing w:before="50" w:after="50" w:line="252" w:lineRule="auto"/>
              <w:ind w:firstLine="0"/>
            </w:pPr>
            <w:r>
              <w:rPr>
                <w:b/>
                <w:sz w:val="20"/>
              </w:rPr>
              <w:t>Nitrate (nitrate)</w:t>
            </w:r>
          </w:p>
        </w:tc>
        <w:tc>
          <w:tcPr>
            <w:tcW w:type="dxa" w:w="1662"/>
            <w:vAlign w:val="center"/>
          </w:tcPr>
          <w:p>
            <w:pPr>
              <w:spacing w:before="50" w:after="50" w:line="252" w:lineRule="auto"/>
              <w:ind w:firstLine="0"/>
            </w:pPr>
            <w:r>
              <w:rPr>
                <w:sz w:val="20"/>
              </w:rPr>
              <w:t>Table 2, Item (xvii)</w:t>
            </w:r>
          </w:p>
        </w:tc>
        <w:tc>
          <w:tcPr>
            <w:tcW w:type="dxa" w:w="1662"/>
            <w:vAlign w:val="center"/>
          </w:tcPr>
          <w:p>
            <w:pPr>
              <w:spacing w:before="50" w:after="50" w:line="252" w:lineRule="auto"/>
              <w:ind w:firstLine="0"/>
            </w:pPr>
            <w:r>
              <w:rPr>
                <w:sz w:val="20"/>
              </w:rPr>
              <w:t>45.0 mg/L / None (No relax.)</w:t>
            </w:r>
          </w:p>
        </w:tc>
        <w:tc>
          <w:tcPr>
            <w:tcW w:type="dxa" w:w="1662"/>
            <w:vAlign w:val="center"/>
          </w:tcPr>
          <w:p>
            <w:pPr>
              <w:spacing w:before="50" w:after="50" w:line="252" w:lineRule="auto"/>
              <w:ind w:firstLine="0"/>
            </w:pPr>
            <w:r>
              <w:rPr>
                <w:sz w:val="20"/>
              </w:rPr>
              <w:t>45.0 mg/L / None (n = 583)</w:t>
            </w:r>
          </w:p>
        </w:tc>
        <w:tc>
          <w:tcPr>
            <w:tcW w:type="dxa" w:w="1662"/>
            <w:vAlign w:val="center"/>
          </w:tcPr>
          <w:p>
            <w:pPr>
              <w:spacing w:before="50" w:after="50" w:line="252" w:lineRule="auto"/>
              <w:ind w:firstLine="0"/>
            </w:pPr>
            <w:r>
              <w:rPr>
                <w:sz w:val="20"/>
              </w:rPr>
              <w:t>0.7 (threshold)</w:t>
            </w:r>
          </w:p>
        </w:tc>
      </w:tr>
      <w:tr>
        <w:trPr>
          <w:cantSplit/>
        </w:trPr>
        <w:tc>
          <w:tcPr>
            <w:tcW w:type="dxa" w:w="1662"/>
            <w:vAlign w:val="center"/>
            <w:shd w:fill="F4F7FA"/>
          </w:tcPr>
          <w:p>
            <w:pPr>
              <w:spacing w:before="50" w:after="50" w:line="252" w:lineRule="auto"/>
              <w:ind w:firstLine="0"/>
            </w:pPr>
            <w:r>
              <w:rPr>
                <w:b/>
                <w:sz w:val="20"/>
              </w:rPr>
              <w:t>Sulphate (sulphate)</w:t>
            </w:r>
          </w:p>
        </w:tc>
        <w:tc>
          <w:tcPr>
            <w:tcW w:type="dxa" w:w="1662"/>
            <w:vAlign w:val="center"/>
            <w:shd w:fill="F4F7FA"/>
          </w:tcPr>
          <w:p>
            <w:pPr>
              <w:spacing w:before="50" w:after="50" w:line="252" w:lineRule="auto"/>
              <w:ind w:firstLine="0"/>
            </w:pPr>
            <w:r>
              <w:rPr>
                <w:sz w:val="20"/>
              </w:rPr>
              <w:t>Table 2, Item (xiv)</w:t>
            </w:r>
          </w:p>
        </w:tc>
        <w:tc>
          <w:tcPr>
            <w:tcW w:type="dxa" w:w="1662"/>
            <w:vAlign w:val="center"/>
            <w:shd w:fill="F4F7FA"/>
          </w:tcPr>
          <w:p>
            <w:pPr>
              <w:spacing w:before="50" w:after="50" w:line="252" w:lineRule="auto"/>
              <w:ind w:firstLine="0"/>
            </w:pPr>
            <w:r>
              <w:rPr>
                <w:sz w:val="20"/>
              </w:rPr>
              <w:t>200.0 mg/L / 400.0 mg/L</w:t>
            </w:r>
          </w:p>
        </w:tc>
        <w:tc>
          <w:tcPr>
            <w:tcW w:type="dxa" w:w="1662"/>
            <w:vAlign w:val="center"/>
            <w:shd w:fill="F4F7FA"/>
          </w:tcPr>
          <w:p>
            <w:pPr>
              <w:spacing w:before="50" w:after="50" w:line="252" w:lineRule="auto"/>
              <w:ind w:firstLine="0"/>
            </w:pPr>
            <w:r>
              <w:rPr>
                <w:sz w:val="20"/>
              </w:rPr>
              <w:t>200.0 / 400.0 mg/L (n = 467)</w:t>
            </w:r>
          </w:p>
        </w:tc>
        <w:tc>
          <w:tcPr>
            <w:tcW w:type="dxa" w:w="1662"/>
            <w:vAlign w:val="center"/>
            <w:shd w:fill="F4F7FA"/>
          </w:tcPr>
          <w:p>
            <w:pPr>
              <w:spacing w:before="50" w:after="50" w:line="252" w:lineRule="auto"/>
              <w:ind w:firstLine="0"/>
            </w:pPr>
            <w:r>
              <w:rPr>
                <w:sz w:val="20"/>
              </w:rPr>
              <w:t>0.5 (threshold)</w:t>
            </w:r>
          </w:p>
        </w:tc>
      </w:tr>
      <w:tr>
        <w:trPr>
          <w:cantSplit/>
        </w:trPr>
        <w:tc>
          <w:tcPr>
            <w:tcW w:type="dxa" w:w="1662"/>
            <w:vAlign w:val="center"/>
          </w:tcPr>
          <w:p>
            <w:pPr>
              <w:spacing w:before="50" w:after="50" w:line="252" w:lineRule="auto"/>
              <w:ind w:firstLine="0"/>
            </w:pPr>
            <w:r>
              <w:rPr>
                <w:b/>
                <w:sz w:val="20"/>
              </w:rPr>
              <w:t>Iron (iron)</w:t>
            </w:r>
          </w:p>
        </w:tc>
        <w:tc>
          <w:tcPr>
            <w:tcW w:type="dxa" w:w="1662"/>
            <w:vAlign w:val="center"/>
          </w:tcPr>
          <w:p>
            <w:pPr>
              <w:spacing w:before="50" w:after="50" w:line="252" w:lineRule="auto"/>
              <w:ind w:firstLine="0"/>
            </w:pPr>
            <w:r>
              <w:rPr>
                <w:sz w:val="20"/>
              </w:rPr>
              <w:t>Table 2, Item (xii)</w:t>
            </w:r>
          </w:p>
        </w:tc>
        <w:tc>
          <w:tcPr>
            <w:tcW w:type="dxa" w:w="1662"/>
            <w:vAlign w:val="center"/>
          </w:tcPr>
          <w:p>
            <w:pPr>
              <w:spacing w:before="50" w:after="50" w:line="252" w:lineRule="auto"/>
              <w:ind w:firstLine="0"/>
            </w:pPr>
            <w:r>
              <w:rPr>
                <w:sz w:val="20"/>
              </w:rPr>
              <w:t>0.3 mg/L / None (No relax.)</w:t>
            </w:r>
          </w:p>
        </w:tc>
        <w:tc>
          <w:tcPr>
            <w:tcW w:type="dxa" w:w="1662"/>
            <w:vAlign w:val="center"/>
          </w:tcPr>
          <w:p>
            <w:pPr>
              <w:spacing w:before="50" w:after="50" w:line="252" w:lineRule="auto"/>
              <w:ind w:firstLine="0"/>
            </w:pPr>
            <w:r>
              <w:rPr>
                <w:sz w:val="20"/>
              </w:rPr>
              <w:t>1.0 mg/L / None (all 876 rows)</w:t>
            </w:r>
          </w:p>
        </w:tc>
        <w:tc>
          <w:tcPr>
            <w:tcW w:type="dxa" w:w="1662"/>
            <w:vAlign w:val="center"/>
          </w:tcPr>
          <w:p>
            <w:pPr>
              <w:spacing w:before="50" w:after="50" w:line="252" w:lineRule="auto"/>
              <w:ind w:firstLine="0"/>
            </w:pPr>
            <w:r>
              <w:rPr>
                <w:sz w:val="20"/>
              </w:rPr>
              <w:t>0.4 (threshold)</w:t>
            </w:r>
          </w:p>
        </w:tc>
      </w:tr>
      <w:tr>
        <w:trPr>
          <w:cantSplit/>
        </w:trPr>
        <w:tc>
          <w:tcPr>
            <w:tcW w:type="dxa" w:w="1662"/>
            <w:vAlign w:val="center"/>
            <w:shd w:fill="F4F7FA"/>
          </w:tcPr>
          <w:p>
            <w:pPr>
              <w:spacing w:before="50" w:after="50" w:line="252" w:lineRule="auto"/>
              <w:ind w:firstLine="0"/>
            </w:pPr>
            <w:r>
              <w:rPr>
                <w:b/>
                <w:sz w:val="20"/>
              </w:rPr>
              <w:t>Turbidity (turbidity)</w:t>
            </w:r>
          </w:p>
        </w:tc>
        <w:tc>
          <w:tcPr>
            <w:tcW w:type="dxa" w:w="1662"/>
            <w:vAlign w:val="center"/>
            <w:shd w:fill="F4F7FA"/>
          </w:tcPr>
          <w:p>
            <w:pPr>
              <w:spacing w:before="50" w:after="50" w:line="252" w:lineRule="auto"/>
              <w:ind w:firstLine="0"/>
            </w:pPr>
            <w:r>
              <w:rPr>
                <w:sz w:val="20"/>
              </w:rPr>
              <w:t>Table 1, Item (ii)</w:t>
            </w:r>
          </w:p>
        </w:tc>
        <w:tc>
          <w:tcPr>
            <w:tcW w:type="dxa" w:w="1662"/>
            <w:vAlign w:val="center"/>
            <w:shd w:fill="F4F7FA"/>
          </w:tcPr>
          <w:p>
            <w:pPr>
              <w:spacing w:before="50" w:after="50" w:line="252" w:lineRule="auto"/>
              <w:ind w:firstLine="0"/>
            </w:pPr>
            <w:r>
              <w:rPr>
                <w:sz w:val="20"/>
              </w:rPr>
              <w:t>1.0 NTU / 5.0 NTU</w:t>
            </w:r>
          </w:p>
        </w:tc>
        <w:tc>
          <w:tcPr>
            <w:tcW w:type="dxa" w:w="1662"/>
            <w:vAlign w:val="center"/>
            <w:shd w:fill="F4F7FA"/>
          </w:tcPr>
          <w:p>
            <w:pPr>
              <w:spacing w:before="50" w:after="50" w:line="252" w:lineRule="auto"/>
              <w:ind w:firstLine="0"/>
            </w:pPr>
            <w:r>
              <w:rPr>
                <w:sz w:val="20"/>
              </w:rPr>
              <w:t>1.0 / 5.0 NTU (n = 998)</w:t>
            </w:r>
          </w:p>
        </w:tc>
        <w:tc>
          <w:tcPr>
            <w:tcW w:type="dxa" w:w="1662"/>
            <w:vAlign w:val="center"/>
            <w:shd w:fill="F4F7FA"/>
          </w:tcPr>
          <w:p>
            <w:pPr>
              <w:spacing w:before="50" w:after="50" w:line="252" w:lineRule="auto"/>
              <w:ind w:firstLine="0"/>
            </w:pPr>
            <w:r>
              <w:rPr>
                <w:sz w:val="20"/>
              </w:rPr>
              <w:t>0.3 (threshold)</w:t>
            </w:r>
          </w:p>
        </w:tc>
      </w:tr>
      <w:tr>
        <w:trPr>
          <w:cantSplit/>
        </w:trPr>
        <w:tc>
          <w:tcPr>
            <w:tcW w:type="dxa" w:w="1662"/>
            <w:vAlign w:val="center"/>
          </w:tcPr>
          <w:p>
            <w:pPr>
              <w:spacing w:before="50" w:after="50" w:line="252" w:lineRule="auto"/>
              <w:ind w:firstLine="0"/>
            </w:pPr>
            <w:r>
              <w:rPr>
                <w:b/>
                <w:sz w:val="20"/>
              </w:rPr>
              <w:t>Total Dissolved Solids (tds)</w:t>
            </w:r>
          </w:p>
        </w:tc>
        <w:tc>
          <w:tcPr>
            <w:tcW w:type="dxa" w:w="1662"/>
            <w:vAlign w:val="center"/>
          </w:tcPr>
          <w:p>
            <w:pPr>
              <w:spacing w:before="50" w:after="50" w:line="252" w:lineRule="auto"/>
              <w:ind w:firstLine="0"/>
            </w:pPr>
            <w:r>
              <w:rPr>
                <w:sz w:val="20"/>
              </w:rPr>
              <w:t>Table 1, Item (vi)</w:t>
            </w:r>
          </w:p>
        </w:tc>
        <w:tc>
          <w:tcPr>
            <w:tcW w:type="dxa" w:w="1662"/>
            <w:vAlign w:val="center"/>
          </w:tcPr>
          <w:p>
            <w:pPr>
              <w:spacing w:before="50" w:after="50" w:line="252" w:lineRule="auto"/>
              <w:ind w:firstLine="0"/>
            </w:pPr>
            <w:r>
              <w:rPr>
                <w:sz w:val="20"/>
              </w:rPr>
              <w:t>500.0 mg/L / 2000.0 mg/L</w:t>
            </w:r>
          </w:p>
        </w:tc>
        <w:tc>
          <w:tcPr>
            <w:tcW w:type="dxa" w:w="1662"/>
            <w:vAlign w:val="center"/>
          </w:tcPr>
          <w:p>
            <w:pPr>
              <w:spacing w:before="50" w:after="50" w:line="252" w:lineRule="auto"/>
              <w:ind w:firstLine="0"/>
            </w:pPr>
            <w:r>
              <w:rPr>
                <w:sz w:val="20"/>
              </w:rPr>
              <w:t>500.0 / 2000.0 mg/L (n = 1,295)</w:t>
            </w:r>
          </w:p>
        </w:tc>
        <w:tc>
          <w:tcPr>
            <w:tcW w:type="dxa" w:w="1662"/>
            <w:vAlign w:val="center"/>
          </w:tcPr>
          <w:p>
            <w:pPr>
              <w:spacing w:before="50" w:after="50" w:line="252" w:lineRule="auto"/>
              <w:ind w:firstLine="0"/>
            </w:pPr>
            <w:r>
              <w:rPr>
                <w:sz w:val="20"/>
              </w:rPr>
              <w:t>0.3 (threshold)</w:t>
            </w:r>
          </w:p>
        </w:tc>
      </w:tr>
      <w:tr>
        <w:trPr>
          <w:cantSplit/>
        </w:trPr>
        <w:tc>
          <w:tcPr>
            <w:tcW w:type="dxa" w:w="1662"/>
            <w:vAlign w:val="center"/>
            <w:shd w:fill="F4F7FA"/>
          </w:tcPr>
          <w:p>
            <w:pPr>
              <w:spacing w:before="50" w:after="50" w:line="252" w:lineRule="auto"/>
              <w:ind w:firstLine="0"/>
            </w:pPr>
            <w:r>
              <w:rPr>
                <w:b/>
                <w:sz w:val="20"/>
              </w:rPr>
              <w:t>pH (ph)</w:t>
            </w:r>
          </w:p>
        </w:tc>
        <w:tc>
          <w:tcPr>
            <w:tcW w:type="dxa" w:w="1662"/>
            <w:vAlign w:val="center"/>
            <w:shd w:fill="F4F7FA"/>
          </w:tcPr>
          <w:p>
            <w:pPr>
              <w:spacing w:before="50" w:after="50" w:line="252" w:lineRule="auto"/>
              <w:ind w:firstLine="0"/>
            </w:pPr>
            <w:r>
              <w:rPr>
                <w:sz w:val="20"/>
              </w:rPr>
              <w:t>Table 1, Item (iv)</w:t>
            </w:r>
          </w:p>
        </w:tc>
        <w:tc>
          <w:tcPr>
            <w:tcW w:type="dxa" w:w="1662"/>
            <w:vAlign w:val="center"/>
            <w:shd w:fill="F4F7FA"/>
          </w:tcPr>
          <w:p>
            <w:pPr>
              <w:spacing w:before="50" w:after="50" w:line="252" w:lineRule="auto"/>
              <w:ind w:firstLine="0"/>
            </w:pPr>
            <w:r>
              <w:rPr>
                <w:sz w:val="20"/>
              </w:rPr>
              <w:t>6.5 – 8.5 (range)</w:t>
            </w:r>
          </w:p>
        </w:tc>
        <w:tc>
          <w:tcPr>
            <w:tcW w:type="dxa" w:w="1662"/>
            <w:vAlign w:val="center"/>
            <w:shd w:fill="F4F7FA"/>
          </w:tcPr>
          <w:p>
            <w:pPr>
              <w:spacing w:before="50" w:after="50" w:line="252" w:lineRule="auto"/>
              <w:ind w:firstLine="0"/>
            </w:pPr>
            <w:r>
              <w:rPr>
                <w:sz w:val="20"/>
              </w:rPr>
              <w:t>6.5 – 8.5 (n = 1,369)</w:t>
            </w:r>
          </w:p>
        </w:tc>
        <w:tc>
          <w:tcPr>
            <w:tcW w:type="dxa" w:w="1662"/>
            <w:vAlign w:val="center"/>
            <w:shd w:fill="F4F7FA"/>
          </w:tcPr>
          <w:p>
            <w:pPr>
              <w:spacing w:before="50" w:after="50" w:line="252" w:lineRule="auto"/>
              <w:ind w:firstLine="0"/>
            </w:pPr>
            <w:r>
              <w:rPr>
                <w:sz w:val="20"/>
              </w:rPr>
              <w:t>0.2 (range)</w:t>
            </w:r>
          </w:p>
        </w:tc>
      </w:tr>
    </w:tbl>
    <w:p>
      <w:pPr>
        <w:spacing w:before="0" w:after="80"/>
      </w:pPr>
    </w:p>
    <w:p>
      <w:pPr>
        <w:spacing w:line="324" w:lineRule="auto" w:before="0" w:after="120"/>
        <w:ind w:firstLine="504"/>
        <w:jc w:val="both"/>
      </w:pPr>
      <w:r>
        <w:rPr>
          <w:sz w:val="23"/>
        </w:rPr>
        <w:t>For any parameter i with acceptable limit a_i and permissible limit p_i &gt; a_i, the normalized per-parameter severity s_i in [0, 1] is 0.0 when v_i &lt;= a_i, and min(1.0, (v_i - a_i) / (p_i - a_i)) when v_i &gt; a_i. For no-relaxation chemical parameters (p_i = None: arsenic, nitrate, and iron under IS 10500:2012 Table 2) and zero-tolerance microbial indicators (E. coli, total coliform), any reading strictly exceeding a_i yields s_i = 1.0. For pH, excursions below 6.5 or above 8.5 scale linearly over 1.0 pH unit and saturate at 1.0. Two sample-level Composite Risk Score (CRS) formulations are implemented and compared:</w:t>
      </w:r>
    </w:p>
    <w:p>
      <w:pPr>
        <w:pStyle w:val="ListBullet"/>
        <w:spacing w:line="300" w:lineRule="auto" w:before="20" w:after="80"/>
        <w:ind w:firstLine="0"/>
        <w:jc w:val="both"/>
      </w:pPr>
      <w:r>
        <w:rPr>
          <w:b/>
          <w:sz w:val="22"/>
        </w:rPr>
        <w:t xml:space="preserve">Model v1 (Baseline Tested-Weight Formulation): </w:t>
      </w:r>
      <w:r>
        <w:rPr>
          <w:sz w:val="22"/>
        </w:rPr>
        <w:t>CRS_v1 = 100 * (sum of w_i * s_i) / (sum of w_i,tested) across the 8 core parameters (6,318 readings), classifying samples into Critical (&gt;= 75), High (50–74.99), Medium (25–49.99), and Low (&lt; 25), where any full parameter breach (s_i = 1.0) floors the band at High and any acute hazard floors at Critical.</w:t>
      </w:r>
    </w:p>
    <w:p>
      <w:pPr>
        <w:pStyle w:val="ListBullet"/>
        <w:spacing w:line="300" w:lineRule="auto" w:before="20" w:after="80"/>
        <w:ind w:firstLine="0"/>
        <w:jc w:val="both"/>
      </w:pPr>
      <w:r>
        <w:rPr>
          <w:b/>
          <w:sz w:val="22"/>
        </w:rPr>
        <w:t xml:space="preserve">Model v2 (Coverage-Adjusted Total-Weight Formulation, scoring.py): </w:t>
      </w:r>
      <w:r>
        <w:rPr>
          <w:sz w:val="22"/>
        </w:rPr>
        <w:t>CRS_v2 = 100 * (sum of w_i * s_i) / TOTAL_BIS_WEIGHT, where TOTAL_BIS_WEIGHT = 6.0 is the constant sum of weights across all 10 BIS parameters (scoring all 6,792 readings, including 467 sulphate and 7 total coliform readings). Zero readings for detection-limited parameters (arsenic, E. coli, total coliform) are treated as below-detection-limit, severity bands are calibrated to the reachable multi-parameter range (Critical &gt;= 40, High &gt;= 20, Medium &gt;= 10, Low &lt; 10), and automatic Critical band escalation is restricted strictly to ACUTE_HAZARDS (arsenic, E. coli, total coliform).</w:t>
      </w:r>
    </w:p>
    <w:p>
      <w:pPr>
        <w:keepNext/>
        <w:spacing w:before="220" w:after="80"/>
        <w:ind w:firstLine="0"/>
      </w:pPr>
      <w:r>
        <w:rPr>
          <w:b/>
          <w:color w:val="002147"/>
          <w:sz w:val="24"/>
        </w:rPr>
        <w:t>3.3 Non-Destructive Metadata Recovery &amp; Two-Step ASP.NET Session Handshake</w:t>
      </w:r>
    </w:p>
    <w:p>
      <w:pPr>
        <w:spacing w:line="324" w:lineRule="auto" w:before="0" w:after="120"/>
        <w:ind w:firstLine="504"/>
        <w:jc w:val="both"/>
      </w:pPr>
      <w:r>
        <w:rPr>
          <w:sz w:val="23"/>
        </w:rPr>
        <w:t>The canonical laboratory dataset (data/raw/wqmis/records.jsonl, MD5 checksum d76f8d347e52a74606498fb58c26ef61) was collected between 23 August and 20 September 2026 across four cumulative crawl checkpoints (149, 822, 1,322, and 1,822 lines). Excluding 81 empty payload responses yields 1,741 valid UP and Bihar laboratory samples (966 UP, 775 Bihar; collection dates 2022-07-01 to 2022-11-19) with 6,792 readings. In the raw submitter address block (Full Address:), 354 of 1,741 samples (20.3%: 339 UP, 15 Bihar) record District- Not available, and 1,720 of 1,741 samples (98.79%) record Village- Not available.</w:t>
      </w:r>
    </w:p>
    <w:p>
      <w:pPr>
        <w:spacing w:line="324" w:lineRule="auto" w:before="0" w:after="120"/>
        <w:ind w:firstLine="504"/>
        <w:jc w:val="both"/>
      </w:pPr>
      <w:r>
        <w:rPr>
          <w:sz w:val="23"/>
        </w:rPr>
        <w:t>Rather than mutating the frozen records.jsonl file, an enrichment utility (scripts/close_data_gaps.py -&gt; data/raw/wqmis/records_enriched.jsonl, MD5 27c11b42...) and an upgraded v2 crawler (backend/etl/crawl_fast.py) were engineered to close both gaps non-destructively:</w:t>
      </w:r>
    </w:p>
    <w:p>
      <w:pPr>
        <w:pStyle w:val="ListBullet"/>
        <w:spacing w:line="300" w:lineRule="auto" w:before="20" w:after="80"/>
        <w:ind w:firstLine="0"/>
        <w:jc w:val="both"/>
      </w:pPr>
      <w:r>
        <w:rPr>
          <w:b/>
          <w:sz w:val="22"/>
        </w:rPr>
        <w:t xml:space="preserve">1. Single-District Laboratory Resolution (302 / 354 Samples = 85.3% Resolved): </w:t>
      </w:r>
      <w:r>
        <w:rPr>
          <w:sz w:val="22"/>
        </w:rPr>
        <w:t>Every WQMIS sample ID embeds the testing laboratory identifier (e.g., U715825L405S1002693 -&gt; Lab L405). Offline cross-tabulation proved that 5 laboratories with 47 unassigned samples map 1-to-1 to a single named district in records.jsonl (L338 Kaushambi [21], L362 Prayagraj [18], L434 Ballia [6], L411 Shahjahanpur [1], L460 Lalitpur [1]). For the remaining 15 single-district laboratories (255 unassigned samples), direct requests to /WQMIS/Common/final_report_print fail without session state. By first issuing an HTTP GET to https://ejalshakti.gov.in/WQMIS/Report/Report_p to acquire ASP.NET_SessionId and __RequestVerificationToken_L1dRTUlT0 cookies before requesting final_report_print?s_id=&lt;AES_B64&gt;, the parser extracts the testing laboratory's physical district from &lt;div class="lab-address-panel"&gt;. This resolves all 15 laboratories (Table 2), cutting unassigned districts from 20.3% (354) to 2.99% (52) and reducing missing districts in Bihar to 0%. The remaining 52 samples belong to UP Jal Nigam State/Regional Laboratory L158 (Lucknow), which tests samples across 7 UP districts and is conservatively held back as multi_district_regional_lab:L158.</w:t>
      </w:r>
    </w:p>
    <w:p>
      <w:pPr>
        <w:pStyle w:val="ListBullet"/>
        <w:spacing w:line="300" w:lineRule="auto" w:before="20" w:after="80"/>
        <w:ind w:firstLine="0"/>
        <w:jc w:val="both"/>
      </w:pPr>
      <w:r>
        <w:rPr>
          <w:b/>
          <w:sz w:val="22"/>
        </w:rPr>
        <w:t xml:space="preserve">2. Free-Text Habitation &amp; Village Name Recovery (+284 Locations): </w:t>
      </w:r>
      <w:r>
        <w:rPr>
          <w:sz w:val="22"/>
        </w:rPr>
        <w:t>Parsing the unstructured Source of Sample: string for embedded location : &lt;Habitation/School/Tola&gt; annotations recovers 284 additional named locations, lifting named village/habitation coverage from 21 samples (1.21%) to 305 of 1,741 samples (17.52%).</w:t>
      </w:r>
    </w:p>
    <w:tbl>
      <w:tblPr>
        <w:tblW w:type="auto" w:w="0"/>
        <w:jc w:val="center"/>
        <w:tblLook w:firstColumn="1" w:firstRow="1" w:lastColumn="0" w:lastRow="0" w:noHBand="0" w:noVBand="1" w:val="04A0"/>
      </w:tblPr>
      <w:tblGrid>
        <w:gridCol w:w="2077"/>
        <w:gridCol w:w="2077"/>
        <w:gridCol w:w="2077"/>
        <w:gridCol w:w="2077"/>
      </w:tblGrid>
      <w:tr>
        <w:trPr>
          <w:tblHeader/>
        </w:trPr>
        <w:tc>
          <w:tcPr>
            <w:tcW w:type="dxa" w:w="2077"/>
            <w:vAlign w:val="center"/>
            <w:shd w:fill="002147"/>
          </w:tcPr>
          <w:p>
            <w:pPr>
              <w:keepNext/>
              <w:spacing w:before="60" w:after="60" w:line="252" w:lineRule="auto"/>
              <w:ind w:firstLine="0"/>
            </w:pPr>
            <w:r>
              <w:rPr>
                <w:b/>
                <w:color w:val="FFFFFF"/>
                <w:sz w:val="20"/>
              </w:rPr>
              <w:t>Resolution Method</w:t>
            </w:r>
          </w:p>
        </w:tc>
        <w:tc>
          <w:tcPr>
            <w:tcW w:type="dxa" w:w="2077"/>
            <w:vAlign w:val="center"/>
            <w:shd w:fill="002147"/>
          </w:tcPr>
          <w:p>
            <w:pPr>
              <w:keepNext/>
              <w:spacing w:before="60" w:after="60" w:line="252" w:lineRule="auto"/>
              <w:ind w:firstLine="0"/>
            </w:pPr>
            <w:r>
              <w:rPr>
                <w:b/>
                <w:color w:val="FFFFFF"/>
                <w:sz w:val="20"/>
              </w:rPr>
              <w:t>Lab Code(s) &amp; Sample Count</w:t>
            </w:r>
          </w:p>
        </w:tc>
        <w:tc>
          <w:tcPr>
            <w:tcW w:type="dxa" w:w="2077"/>
            <w:vAlign w:val="center"/>
            <w:shd w:fill="002147"/>
          </w:tcPr>
          <w:p>
            <w:pPr>
              <w:keepNext/>
              <w:spacing w:before="60" w:after="60" w:line="252" w:lineRule="auto"/>
              <w:ind w:firstLine="0"/>
            </w:pPr>
            <w:r>
              <w:rPr>
                <w:b/>
                <w:color w:val="FFFFFF"/>
                <w:sz w:val="20"/>
              </w:rPr>
              <w:t>Resolved Canonical District (State)</w:t>
            </w:r>
          </w:p>
        </w:tc>
        <w:tc>
          <w:tcPr>
            <w:tcW w:type="dxa" w:w="2077"/>
            <w:vAlign w:val="center"/>
            <w:shd w:fill="002147"/>
          </w:tcPr>
          <w:p>
            <w:pPr>
              <w:keepNext/>
              <w:spacing w:before="60" w:after="60" w:line="252" w:lineRule="auto"/>
              <w:ind w:firstLine="0"/>
            </w:pPr>
            <w:r>
              <w:rPr>
                <w:b/>
                <w:color w:val="FFFFFF"/>
                <w:sz w:val="20"/>
              </w:rPr>
              <w:t>Audit &amp; Triangulation Significance</w:t>
            </w:r>
          </w:p>
        </w:tc>
      </w:tr>
      <w:tr>
        <w:trPr>
          <w:cantSplit/>
        </w:trPr>
        <w:tc>
          <w:tcPr>
            <w:tcW w:type="dxa" w:w="2077"/>
            <w:vAlign w:val="center"/>
          </w:tcPr>
          <w:p>
            <w:pPr>
              <w:spacing w:before="50" w:after="50" w:line="252" w:lineRule="auto"/>
              <w:ind w:firstLine="0"/>
            </w:pPr>
            <w:r>
              <w:rPr>
                <w:b/>
                <w:sz w:val="20"/>
              </w:rPr>
              <w:t>Offline 1-to-1 Corpus Map (5 Labs, 47 Samples)</w:t>
            </w:r>
          </w:p>
        </w:tc>
        <w:tc>
          <w:tcPr>
            <w:tcW w:type="dxa" w:w="2077"/>
            <w:vAlign w:val="center"/>
          </w:tcPr>
          <w:p>
            <w:pPr>
              <w:spacing w:before="50" w:after="50" w:line="252" w:lineRule="auto"/>
              <w:ind w:firstLine="0"/>
            </w:pPr>
            <w:r>
              <w:rPr>
                <w:sz w:val="20"/>
              </w:rPr>
              <w:t>L338 (21), L362 (18), L434 (6), L411 (1), L460 (1)</w:t>
            </w:r>
          </w:p>
        </w:tc>
        <w:tc>
          <w:tcPr>
            <w:tcW w:type="dxa" w:w="2077"/>
            <w:vAlign w:val="center"/>
          </w:tcPr>
          <w:p>
            <w:pPr>
              <w:spacing w:before="50" w:after="50" w:line="252" w:lineRule="auto"/>
              <w:ind w:firstLine="0"/>
            </w:pPr>
            <w:r>
              <w:rPr>
                <w:sz w:val="20"/>
              </w:rPr>
              <w:t>Kaushambi, Prayagraj, Ballia, Shahjahanpur, Lalitpur (UP)</w:t>
            </w:r>
          </w:p>
        </w:tc>
        <w:tc>
          <w:tcPr>
            <w:tcW w:type="dxa" w:w="2077"/>
            <w:vAlign w:val="center"/>
          </w:tcPr>
          <w:p>
            <w:pPr>
              <w:spacing w:before="50" w:after="50" w:line="252" w:lineRule="auto"/>
              <w:ind w:firstLine="0"/>
            </w:pPr>
            <w:r>
              <w:rPr>
                <w:sz w:val="20"/>
              </w:rPr>
              <w:t>Deterministic 100% single-district match within named records.jsonl rows.</w:t>
            </w:r>
          </w:p>
        </w:tc>
      </w:tr>
      <w:tr>
        <w:trPr>
          <w:cantSplit/>
        </w:trPr>
        <w:tc>
          <w:tcPr>
            <w:tcW w:type="dxa" w:w="2077"/>
            <w:vAlign w:val="center"/>
            <w:shd w:fill="F4F7FA"/>
          </w:tcPr>
          <w:p>
            <w:pPr>
              <w:spacing w:before="50" w:after="50" w:line="252" w:lineRule="auto"/>
              <w:ind w:firstLine="0"/>
            </w:pPr>
            <w:r>
              <w:rPr>
                <w:b/>
                <w:sz w:val="20"/>
              </w:rPr>
              <w:t>ASP.NET Session Probe (Bihar Lab, 15 Samples)</w:t>
            </w:r>
          </w:p>
        </w:tc>
        <w:tc>
          <w:tcPr>
            <w:tcW w:type="dxa" w:w="2077"/>
            <w:vAlign w:val="center"/>
            <w:shd w:fill="F4F7FA"/>
          </w:tcPr>
          <w:p>
            <w:pPr>
              <w:spacing w:before="50" w:after="50" w:line="252" w:lineRule="auto"/>
              <w:ind w:firstLine="0"/>
            </w:pPr>
            <w:r>
              <w:rPr>
                <w:sz w:val="20"/>
              </w:rPr>
              <w:t>L268 (15 samples; s_id l0Qyn6RBu...)</w:t>
            </w:r>
          </w:p>
        </w:tc>
        <w:tc>
          <w:tcPr>
            <w:tcW w:type="dxa" w:w="2077"/>
            <w:vAlign w:val="center"/>
            <w:shd w:fill="F4F7FA"/>
          </w:tcPr>
          <w:p>
            <w:pPr>
              <w:spacing w:before="50" w:after="50" w:line="252" w:lineRule="auto"/>
              <w:ind w:firstLine="0"/>
            </w:pPr>
            <w:r>
              <w:rPr>
                <w:sz w:val="20"/>
              </w:rPr>
              <w:t>Samastipur (Bihar) — Sub-Divisional Lab Pusa</w:t>
            </w:r>
          </w:p>
        </w:tc>
        <w:tc>
          <w:tcPr>
            <w:tcW w:type="dxa" w:w="2077"/>
            <w:vAlign w:val="center"/>
            <w:shd w:fill="F4F7FA"/>
          </w:tcPr>
          <w:p>
            <w:pPr>
              <w:spacing w:before="50" w:after="50" w:line="252" w:lineRule="auto"/>
              <w:ind w:firstLine="0"/>
            </w:pPr>
            <w:r>
              <w:rPr>
                <w:sz w:val="20"/>
              </w:rPr>
              <w:t>Eliminates 100% of missing-district records in Bihar (15/15 resolved; 0% missing).</w:t>
            </w:r>
          </w:p>
        </w:tc>
      </w:tr>
      <w:tr>
        <w:trPr>
          <w:cantSplit/>
        </w:trPr>
        <w:tc>
          <w:tcPr>
            <w:tcW w:type="dxa" w:w="2077"/>
            <w:vAlign w:val="center"/>
          </w:tcPr>
          <w:p>
            <w:pPr>
              <w:spacing w:before="50" w:after="50" w:line="252" w:lineRule="auto"/>
              <w:ind w:firstLine="0"/>
            </w:pPr>
            <w:r>
              <w:rPr>
                <w:b/>
                <w:sz w:val="20"/>
              </w:rPr>
              <w:t>ASP.NET Session Probe (UP Fluoride Lab, 20 Samples)</w:t>
            </w:r>
          </w:p>
        </w:tc>
        <w:tc>
          <w:tcPr>
            <w:tcW w:type="dxa" w:w="2077"/>
            <w:vAlign w:val="center"/>
          </w:tcPr>
          <w:p>
            <w:pPr>
              <w:spacing w:before="50" w:after="50" w:line="252" w:lineRule="auto"/>
              <w:ind w:firstLine="0"/>
            </w:pPr>
            <w:r>
              <w:rPr>
                <w:sz w:val="20"/>
              </w:rPr>
              <w:t>L405 (20 samples; s_id JSNPb0Xce...)</w:t>
            </w:r>
          </w:p>
        </w:tc>
        <w:tc>
          <w:tcPr>
            <w:tcW w:type="dxa" w:w="2077"/>
            <w:vAlign w:val="center"/>
          </w:tcPr>
          <w:p>
            <w:pPr>
              <w:spacing w:before="50" w:after="50" w:line="252" w:lineRule="auto"/>
              <w:ind w:firstLine="0"/>
            </w:pPr>
            <w:r>
              <w:rPr>
                <w:sz w:val="20"/>
              </w:rPr>
              <w:t>Rae Bareli (UP) — District Water Testing Lab</w:t>
            </w:r>
          </w:p>
        </w:tc>
        <w:tc>
          <w:tcPr>
            <w:tcW w:type="dxa" w:w="2077"/>
            <w:vAlign w:val="center"/>
          </w:tcPr>
          <w:p>
            <w:pPr>
              <w:spacing w:before="50" w:after="50" w:line="252" w:lineRule="auto"/>
              <w:ind w:firstLine="0"/>
            </w:pPr>
            <w:r>
              <w:rPr>
                <w:sz w:val="20"/>
              </w:rPr>
              <w:t>Resolves corpus-maximum fluoride samples (12.60 &amp; 3.29 mg/L in U715825L405S1002693).</w:t>
            </w:r>
          </w:p>
        </w:tc>
      </w:tr>
      <w:tr>
        <w:trPr>
          <w:cantSplit/>
        </w:trPr>
        <w:tc>
          <w:tcPr>
            <w:tcW w:type="dxa" w:w="2077"/>
            <w:vAlign w:val="center"/>
            <w:shd w:fill="F4F7FA"/>
          </w:tcPr>
          <w:p>
            <w:pPr>
              <w:spacing w:before="50" w:after="50" w:line="252" w:lineRule="auto"/>
              <w:ind w:firstLine="0"/>
            </w:pPr>
            <w:r>
              <w:rPr>
                <w:b/>
                <w:sz w:val="20"/>
              </w:rPr>
              <w:t>ASP.NET Session Probe (UP High-Volume Labs, 160 Samples)</w:t>
            </w:r>
          </w:p>
        </w:tc>
        <w:tc>
          <w:tcPr>
            <w:tcW w:type="dxa" w:w="2077"/>
            <w:vAlign w:val="center"/>
            <w:shd w:fill="F4F7FA"/>
          </w:tcPr>
          <w:p>
            <w:pPr>
              <w:spacing w:before="50" w:after="50" w:line="252" w:lineRule="auto"/>
              <w:ind w:firstLine="0"/>
            </w:pPr>
            <w:r>
              <w:rPr>
                <w:sz w:val="20"/>
              </w:rPr>
              <w:t>L377 (48), L375 (40), L452 (28), L376 (16), L516 (16), L455 (12)</w:t>
            </w:r>
          </w:p>
        </w:tc>
        <w:tc>
          <w:tcPr>
            <w:tcW w:type="dxa" w:w="2077"/>
            <w:vAlign w:val="center"/>
            <w:shd w:fill="F4F7FA"/>
          </w:tcPr>
          <w:p>
            <w:pPr>
              <w:spacing w:before="50" w:after="50" w:line="252" w:lineRule="auto"/>
              <w:ind w:firstLine="0"/>
            </w:pPr>
            <w:r>
              <w:rPr>
                <w:sz w:val="20"/>
              </w:rPr>
              <w:t>Meerut, Gautam Buddha Nagar, Mainpuri, Hapur, Bijnor, Firozabad (UP)</w:t>
            </w:r>
          </w:p>
        </w:tc>
        <w:tc>
          <w:tcPr>
            <w:tcW w:type="dxa" w:w="2077"/>
            <w:vAlign w:val="center"/>
            <w:shd w:fill="F4F7FA"/>
          </w:tcPr>
          <w:p>
            <w:pPr>
              <w:spacing w:before="50" w:after="50" w:line="252" w:lineRule="auto"/>
              <w:ind w:firstLine="0"/>
            </w:pPr>
            <w:r>
              <w:rPr>
                <w:sz w:val="20"/>
              </w:rPr>
              <w:t>Expands located UP laboratory coverage by 6 major western/central districts.</w:t>
            </w:r>
          </w:p>
        </w:tc>
      </w:tr>
      <w:tr>
        <w:trPr>
          <w:cantSplit/>
        </w:trPr>
        <w:tc>
          <w:tcPr>
            <w:tcW w:type="dxa" w:w="2077"/>
            <w:vAlign w:val="center"/>
          </w:tcPr>
          <w:p>
            <w:pPr>
              <w:spacing w:before="50" w:after="50" w:line="252" w:lineRule="auto"/>
              <w:ind w:firstLine="0"/>
            </w:pPr>
            <w:r>
              <w:rPr>
                <w:b/>
                <w:sz w:val="20"/>
              </w:rPr>
              <w:t>ASP.NET Session Probe (UP Regional District Labs, 60 Samples)</w:t>
            </w:r>
          </w:p>
        </w:tc>
        <w:tc>
          <w:tcPr>
            <w:tcW w:type="dxa" w:w="2077"/>
            <w:vAlign w:val="center"/>
          </w:tcPr>
          <w:p>
            <w:pPr>
              <w:spacing w:before="50" w:after="50" w:line="252" w:lineRule="auto"/>
              <w:ind w:firstLine="0"/>
            </w:pPr>
            <w:r>
              <w:rPr>
                <w:sz w:val="20"/>
              </w:rPr>
              <w:t>L359 (15), L664 (15), L468 (9), L730 (9), L339 (7), L535 (4), L400 (1)</w:t>
            </w:r>
          </w:p>
        </w:tc>
        <w:tc>
          <w:tcPr>
            <w:tcW w:type="dxa" w:w="2077"/>
            <w:vAlign w:val="center"/>
          </w:tcPr>
          <w:p>
            <w:pPr>
              <w:spacing w:before="50" w:after="50" w:line="252" w:lineRule="auto"/>
              <w:ind w:firstLine="0"/>
            </w:pPr>
            <w:r>
              <w:rPr>
                <w:sz w:val="20"/>
              </w:rPr>
              <w:t>Kanpur Nagar, Deoria, Moradabad, Saharanpur, Sonbhadra, Bulandshahr, Gorakhpur (UP)</w:t>
            </w:r>
          </w:p>
        </w:tc>
        <w:tc>
          <w:tcPr>
            <w:tcW w:type="dxa" w:w="2077"/>
            <w:vAlign w:val="center"/>
          </w:tcPr>
          <w:p>
            <w:pPr>
              <w:spacing w:before="50" w:after="50" w:line="252" w:lineRule="auto"/>
              <w:ind w:firstLine="0"/>
            </w:pPr>
            <w:r>
              <w:rPr>
                <w:sz w:val="20"/>
              </w:rPr>
              <w:t>Lifts total district-located lab samples from 1,387 (47 districts) to 1,689 (62 districts, 97.01%).</w:t>
            </w:r>
          </w:p>
        </w:tc>
      </w:tr>
      <w:tr>
        <w:trPr>
          <w:cantSplit/>
        </w:trPr>
        <w:tc>
          <w:tcPr>
            <w:tcW w:type="dxa" w:w="2077"/>
            <w:vAlign w:val="center"/>
            <w:shd w:fill="F4F7FA"/>
          </w:tcPr>
          <w:p>
            <w:pPr>
              <w:spacing w:before="50" w:after="50" w:line="252" w:lineRule="auto"/>
              <w:ind w:firstLine="0"/>
            </w:pPr>
            <w:r>
              <w:rPr>
                <w:b/>
                <w:sz w:val="20"/>
              </w:rPr>
              <w:t>Conservative Holdback (1 Multi-District Lab, 52 Samples)</w:t>
            </w:r>
          </w:p>
        </w:tc>
        <w:tc>
          <w:tcPr>
            <w:tcW w:type="dxa" w:w="2077"/>
            <w:vAlign w:val="center"/>
            <w:shd w:fill="F4F7FA"/>
          </w:tcPr>
          <w:p>
            <w:pPr>
              <w:spacing w:before="50" w:after="50" w:line="252" w:lineRule="auto"/>
              <w:ind w:firstLine="0"/>
            </w:pPr>
            <w:r>
              <w:rPr>
                <w:sz w:val="20"/>
              </w:rPr>
              <w:t>L158 (52 unassigned out of 72 total L158 samples)</w:t>
            </w:r>
          </w:p>
        </w:tc>
        <w:tc>
          <w:tcPr>
            <w:tcW w:type="dxa" w:w="2077"/>
            <w:vAlign w:val="center"/>
            <w:shd w:fill="F4F7FA"/>
          </w:tcPr>
          <w:p>
            <w:pPr>
              <w:spacing w:before="50" w:after="50" w:line="252" w:lineRule="auto"/>
              <w:ind w:firstLine="0"/>
            </w:pPr>
            <w:r>
              <w:rPr>
                <w:sz w:val="20"/>
              </w:rPr>
              <w:t>Held as 'Not available' (UP Jal Nigam State Lab, Lucknow)</w:t>
            </w:r>
          </w:p>
        </w:tc>
        <w:tc>
          <w:tcPr>
            <w:tcW w:type="dxa" w:w="2077"/>
            <w:vAlign w:val="center"/>
            <w:shd w:fill="F4F7FA"/>
          </w:tcPr>
          <w:p>
            <w:pPr>
              <w:spacing w:before="50" w:after="50" w:line="252" w:lineRule="auto"/>
              <w:ind w:firstLine="0"/>
            </w:pPr>
            <w:r>
              <w:rPr>
                <w:sz w:val="20"/>
              </w:rPr>
              <w:t>Tests across 7 UP districts; held back to prevent false single-district attribution.</w:t>
            </w:r>
          </w:p>
        </w:tc>
      </w:tr>
    </w:tbl>
    <w:p>
      <w:pPr>
        <w:spacing w:before="0" w:after="80"/>
      </w:pPr>
    </w:p>
    <w:p>
      <w:pPr>
        <w:keepNext/>
        <w:spacing w:before="220" w:after="80"/>
        <w:ind w:firstLine="0"/>
      </w:pPr>
      <w:r>
        <w:rPr>
          <w:b/>
          <w:color w:val="002147"/>
          <w:sz w:val="24"/>
        </w:rPr>
        <w:t>3.4 Four-Tier 113-District BIS Risk Fusion Engine</w:t>
      </w:r>
    </w:p>
    <w:p>
      <w:pPr>
        <w:spacing w:line="324" w:lineRule="auto" w:before="0" w:after="120"/>
        <w:ind w:firstLine="504"/>
        <w:jc w:val="both"/>
      </w:pPr>
      <w:r>
        <w:rPr>
          <w:sz w:val="23"/>
        </w:rPr>
        <w:t>Because contiguous ID crawling of 2022 laboratory reports covers 62 of the 113 canonical districts (after Lab-ID enrichment) and exhibits sparse sample-level microbial testing (45 E. coli tests) and censored arsenic zeros (150/259 recorded as 0.0), achieving 100% geographic coverage across all 75 Uttar Pradesh and 38 Bihar districts requires fusing four authoritative public datasets in scripts/build_full_113_district_triage.py:</w:t>
      </w:r>
    </w:p>
    <w:p>
      <w:pPr>
        <w:pStyle w:val="ListBullet"/>
        <w:spacing w:line="300" w:lineRule="auto" w:before="20" w:after="80"/>
        <w:ind w:firstLine="0"/>
        <w:jc w:val="both"/>
      </w:pPr>
      <w:r>
        <w:rPr>
          <w:b/>
          <w:sz w:val="22"/>
        </w:rPr>
        <w:t xml:space="preserve">Tier 1 — Enriched WQMIS Individual Laboratory Reports (2022): </w:t>
      </w:r>
      <w:r>
        <w:rPr>
          <w:sz w:val="22"/>
        </w:rPr>
        <w:t>1,741 scored samples (6,792 readings) across 62 located districts, providing source-level maximum concentrations and Model v1/v2 sample scores.</w:t>
      </w:r>
    </w:p>
    <w:p>
      <w:pPr>
        <w:pStyle w:val="ListBullet"/>
        <w:spacing w:line="300" w:lineRule="auto" w:before="20" w:after="80"/>
        <w:ind w:firstLine="0"/>
        <w:jc w:val="both"/>
      </w:pPr>
      <w:r>
        <w:rPr>
          <w:b/>
          <w:sz w:val="22"/>
        </w:rPr>
        <w:t xml:space="preserve">Tier 2 — Official JJM Form WQ6 District Village Census (113 / 113 Districts): </w:t>
      </w:r>
      <w:r>
        <w:rPr>
          <w:sz w:val="22"/>
        </w:rPr>
        <w:t>Complete state-level Form WQ6 district tables (WQ6_Complete_UP.csv [75 districts] and WQ6_Complete_Bihar.csv [38 districts]) reporting the exact count of contaminated villages per district across 16 chemical and bacteriological parameters.</w:t>
      </w:r>
    </w:p>
    <w:p>
      <w:pPr>
        <w:pStyle w:val="ListBullet"/>
        <w:spacing w:line="300" w:lineRule="auto" w:before="20" w:after="80"/>
        <w:ind w:firstLine="0"/>
        <w:jc w:val="both"/>
      </w:pPr>
      <w:r>
        <w:rPr>
          <w:b/>
          <w:sz w:val="22"/>
        </w:rPr>
        <w:t xml:space="preserve">Tier 3 — IMIS 2009–2012 Historical Quality-Affected Habitations Registry (93 / 93 Districts): </w:t>
      </w:r>
      <w:r>
        <w:rPr>
          <w:sz w:val="22"/>
        </w:rPr>
        <w:t>100,690 deduplicated contamination events across 14,006 villages in all 93 historical districts (100% mapped to canonical districts via scripts/district_registry.py, resolving legacy aliases including BHOJPUR(AARA) -&gt; Bhojpur, KUSHI NAGAR -&gt; Kushinagar, and JYOTIBA PHOOLE NAGAR -&gt; Amroha).</w:t>
      </w:r>
    </w:p>
    <w:p>
      <w:pPr>
        <w:pStyle w:val="ListBullet"/>
        <w:spacing w:line="300" w:lineRule="auto" w:before="20" w:after="80"/>
        <w:ind w:firstLine="0"/>
        <w:jc w:val="both"/>
      </w:pPr>
      <w:r>
        <w:rPr>
          <w:b/>
          <w:sz w:val="22"/>
        </w:rPr>
        <w:t xml:space="preserve">Tier 4 — CGWB 2012–2021 Groundwater Monitoring Stations: </w:t>
      </w:r>
      <w:r>
        <w:rPr>
          <w:sz w:val="22"/>
        </w:rPr>
        <w:t>17 state-year aggregates and district station-year series for pH and electrical conductivity (data/raw/kaggle/gw_quality_2012_2021/).</w:t>
      </w:r>
    </w:p>
    <w:p>
      <w:pPr>
        <w:spacing w:line="324" w:lineRule="auto" w:before="0" w:after="120"/>
        <w:ind w:firstLine="504"/>
        <w:jc w:val="both"/>
      </w:pPr>
      <w:r>
        <w:rPr>
          <w:sz w:val="23"/>
        </w:rPr>
        <w:t>For each district d and BIS parameter i, the multi-tier engine fuses log-scaled WQ6 village severity, sample concentration severity (weighted by 0.85), and historical IMIS persistence severity (weighted by 0.65) over TOTAL_BIS_WEIGHT = 6.0, adding a bounded historical recurrence bonus (chronic-hotspot up to +14.0, recurring up to +9.0, watchlist up to +5.0) and a 0.25 * mean_sample_CRS_v2 term to yield raw_math_score in [0, 100]. Two statutory BIS IS 10500:2012 escalation invariants govern the final unified_score and severity band: (a) Zero-Tolerance Microbial Override (any district with WQ6 E. coli villages &gt; 0 or lab sample E. coli &gt; 0 CFU/100mL escalates to Critical with floor &gt;= 45.0), and (b) Acute Arsenic Escalation (any non-pathogen-overridden district with &gt;= 10 WQ6 arsenic villages or &gt;= 100 historical IMIS arsenic habitations escalates to Critical with floor &gt;= 41.0). All remaining districts are classified by raw_math_score into Critical (&gt;= 40.0), High (20.0–39.99), Medium (10.0–19.99), and Low (&lt; 10.0).</w:t>
      </w:r>
    </w:p>
    <w:p>
      <w:pPr>
        <w:keepNext/>
        <w:spacing w:before="300" w:after="100"/>
        <w:ind w:firstLine="0"/>
      </w:pPr>
      <w:r>
        <w:rPr>
          <w:b/>
          <w:color w:val="002147"/>
          <w:sz w:val="28"/>
        </w:rPr>
        <w:t>4. Empirical Results and Multi-Source Validation</w:t>
      </w:r>
    </w:p>
    <w:p>
      <w:pPr>
        <w:keepNext/>
        <w:spacing w:before="220" w:after="80"/>
        <w:ind w:firstLine="0"/>
      </w:pPr>
      <w:r>
        <w:rPr>
          <w:b/>
          <w:color w:val="002147"/>
          <w:sz w:val="24"/>
        </w:rPr>
        <w:t>4.1 Three-Way Lab Sample Scoring and Iron Threshold Sensitivity (N = 1,741)</w:t>
      </w:r>
    </w:p>
    <w:p>
      <w:pPr>
        <w:spacing w:line="324" w:lineRule="auto" w:before="0" w:after="120"/>
        <w:ind w:firstLine="504"/>
        <w:jc w:val="both"/>
      </w:pPr>
      <w:r>
        <w:rPr>
          <w:sz w:val="23"/>
        </w:rPr>
        <w:t>Cross-checking raw laboratory payloads in records.jsonl against BIS IS 10500:2012 uncovered a pivotal regulatory discrepancy: while IS 10500:2012 Table 2 item (xii) stipulates an acceptable Iron limit of 0.3 mg/L with 'No relaxation', all 876 iron readings in records.jsonl (450 Bihar, 426 Uttar Pradesh) print an acceptable limit of 1.0 mg/L on the laboratory certificate itself (reflecting legacy BIS relaxation practice). Table 3 presents the complete three-way comparison across the frozen 1,741-sample corpus.</w:t>
      </w:r>
    </w:p>
    <w:tbl>
      <w:tblPr>
        <w:tblW w:type="auto" w:w="0"/>
        <w:jc w:val="center"/>
        <w:tblLook w:firstColumn="1" w:firstRow="1" w:lastColumn="0" w:lastRow="0" w:noHBand="0" w:noVBand="1" w:val="04A0"/>
      </w:tblPr>
      <w:tblGrid>
        <w:gridCol w:w="2077"/>
        <w:gridCol w:w="2077"/>
        <w:gridCol w:w="2077"/>
        <w:gridCol w:w="2077"/>
      </w:tblGrid>
      <w:tr>
        <w:trPr>
          <w:tblHeader/>
        </w:trPr>
        <w:tc>
          <w:tcPr>
            <w:tcW w:type="dxa" w:w="2077"/>
            <w:vAlign w:val="center"/>
            <w:shd w:fill="002147"/>
          </w:tcPr>
          <w:p>
            <w:pPr>
              <w:keepNext/>
              <w:spacing w:before="60" w:after="60" w:line="252" w:lineRule="auto"/>
              <w:ind w:firstLine="0"/>
            </w:pPr>
            <w:r>
              <w:rPr>
                <w:b/>
                <w:color w:val="FFFFFF"/>
                <w:sz w:val="20"/>
              </w:rPr>
              <w:t>Metric / Cohort (N = 1,741 Lab Samples)</w:t>
            </w:r>
          </w:p>
        </w:tc>
        <w:tc>
          <w:tcPr>
            <w:tcW w:type="dxa" w:w="2077"/>
            <w:vAlign w:val="center"/>
            <w:shd w:fill="002147"/>
          </w:tcPr>
          <w:p>
            <w:pPr>
              <w:keepNext/>
              <w:spacing w:before="60" w:after="60" w:line="252" w:lineRule="auto"/>
              <w:ind w:firstLine="0"/>
            </w:pPr>
            <w:r>
              <w:rPr>
                <w:b/>
                <w:color w:val="FFFFFF"/>
                <w:sz w:val="20"/>
              </w:rPr>
              <w:t>Model v1: Tested-Weight (Fe = 0.3 mg/L BIS Text)</w:t>
            </w:r>
          </w:p>
        </w:tc>
        <w:tc>
          <w:tcPr>
            <w:tcW w:type="dxa" w:w="2077"/>
            <w:vAlign w:val="center"/>
            <w:shd w:fill="002147"/>
          </w:tcPr>
          <w:p>
            <w:pPr>
              <w:keepNext/>
              <w:spacing w:before="60" w:after="60" w:line="252" w:lineRule="auto"/>
              <w:ind w:firstLine="0"/>
            </w:pPr>
            <w:r>
              <w:rPr>
                <w:b/>
                <w:color w:val="FFFFFF"/>
                <w:sz w:val="20"/>
              </w:rPr>
              <w:t>Sensitivity: Tested-Weight (Fe = 1.0 mg/L Lab Sheet)</w:t>
            </w:r>
          </w:p>
        </w:tc>
        <w:tc>
          <w:tcPr>
            <w:tcW w:type="dxa" w:w="2077"/>
            <w:vAlign w:val="center"/>
            <w:shd w:fill="002147"/>
          </w:tcPr>
          <w:p>
            <w:pPr>
              <w:keepNext/>
              <w:spacing w:before="60" w:after="60" w:line="252" w:lineRule="auto"/>
              <w:ind w:firstLine="0"/>
            </w:pPr>
            <w:r>
              <w:rPr>
                <w:b/>
                <w:color w:val="FFFFFF"/>
                <w:sz w:val="20"/>
              </w:rPr>
              <w:t>Model v2: Total-Weight / 6.0 (10 Params, 40/20/10 Bands)</w:t>
            </w:r>
          </w:p>
        </w:tc>
      </w:tr>
      <w:tr>
        <w:trPr>
          <w:cantSplit/>
        </w:trPr>
        <w:tc>
          <w:tcPr>
            <w:tcW w:type="dxa" w:w="2077"/>
            <w:vAlign w:val="center"/>
          </w:tcPr>
          <w:p>
            <w:pPr>
              <w:spacing w:before="50" w:after="50" w:line="252" w:lineRule="auto"/>
              <w:ind w:firstLine="0"/>
            </w:pPr>
            <w:r>
              <w:rPr>
                <w:b/>
                <w:sz w:val="20"/>
              </w:rPr>
              <w:t>Critical Band Count (%)</w:t>
            </w:r>
          </w:p>
        </w:tc>
        <w:tc>
          <w:tcPr>
            <w:tcW w:type="dxa" w:w="2077"/>
            <w:vAlign w:val="center"/>
          </w:tcPr>
          <w:p>
            <w:pPr>
              <w:spacing w:before="50" w:after="50" w:line="252" w:lineRule="auto"/>
              <w:ind w:firstLine="0"/>
            </w:pPr>
            <w:r>
              <w:rPr>
                <w:sz w:val="20"/>
              </w:rPr>
              <w:t>89 (5.1%)</w:t>
            </w:r>
          </w:p>
        </w:tc>
        <w:tc>
          <w:tcPr>
            <w:tcW w:type="dxa" w:w="2077"/>
            <w:vAlign w:val="center"/>
          </w:tcPr>
          <w:p>
            <w:pPr>
              <w:spacing w:before="50" w:after="50" w:line="252" w:lineRule="auto"/>
              <w:ind w:firstLine="0"/>
            </w:pPr>
            <w:r>
              <w:rPr>
                <w:sz w:val="20"/>
              </w:rPr>
              <w:t>5 (0.3%) [Graded: 5]</w:t>
            </w:r>
          </w:p>
        </w:tc>
        <w:tc>
          <w:tcPr>
            <w:tcW w:type="dxa" w:w="2077"/>
            <w:vAlign w:val="center"/>
          </w:tcPr>
          <w:p>
            <w:pPr>
              <w:spacing w:before="50" w:after="50" w:line="252" w:lineRule="auto"/>
              <w:ind w:firstLine="0"/>
            </w:pPr>
            <w:r>
              <w:rPr>
                <w:sz w:val="20"/>
              </w:rPr>
              <w:t>3 (0.2%)</w:t>
            </w:r>
          </w:p>
        </w:tc>
      </w:tr>
      <w:tr>
        <w:trPr>
          <w:cantSplit/>
        </w:trPr>
        <w:tc>
          <w:tcPr>
            <w:tcW w:type="dxa" w:w="2077"/>
            <w:vAlign w:val="center"/>
            <w:shd w:fill="F4F7FA"/>
          </w:tcPr>
          <w:p>
            <w:pPr>
              <w:spacing w:before="50" w:after="50" w:line="252" w:lineRule="auto"/>
              <w:ind w:firstLine="0"/>
            </w:pPr>
            <w:r>
              <w:rPr>
                <w:b/>
                <w:sz w:val="20"/>
              </w:rPr>
              <w:t>High Band Count (%)</w:t>
            </w:r>
          </w:p>
        </w:tc>
        <w:tc>
          <w:tcPr>
            <w:tcW w:type="dxa" w:w="2077"/>
            <w:vAlign w:val="center"/>
            <w:shd w:fill="F4F7FA"/>
          </w:tcPr>
          <w:p>
            <w:pPr>
              <w:spacing w:before="50" w:after="50" w:line="252" w:lineRule="auto"/>
              <w:ind w:firstLine="0"/>
            </w:pPr>
            <w:r>
              <w:rPr>
                <w:sz w:val="20"/>
              </w:rPr>
              <w:t>392 (22.5%)</w:t>
            </w:r>
          </w:p>
        </w:tc>
        <w:tc>
          <w:tcPr>
            <w:tcW w:type="dxa" w:w="2077"/>
            <w:vAlign w:val="center"/>
            <w:shd w:fill="F4F7FA"/>
          </w:tcPr>
          <w:p>
            <w:pPr>
              <w:spacing w:before="50" w:after="50" w:line="252" w:lineRule="auto"/>
              <w:ind w:firstLine="0"/>
            </w:pPr>
            <w:r>
              <w:rPr>
                <w:sz w:val="20"/>
              </w:rPr>
              <w:t>139 (8.0%) [No-floor: 30]</w:t>
            </w:r>
          </w:p>
        </w:tc>
        <w:tc>
          <w:tcPr>
            <w:tcW w:type="dxa" w:w="2077"/>
            <w:vAlign w:val="center"/>
            <w:shd w:fill="F4F7FA"/>
          </w:tcPr>
          <w:p>
            <w:pPr>
              <w:spacing w:before="50" w:after="50" w:line="252" w:lineRule="auto"/>
              <w:ind w:firstLine="0"/>
            </w:pPr>
            <w:r>
              <w:rPr>
                <w:sz w:val="20"/>
              </w:rPr>
              <w:t>54 (3.1%)</w:t>
            </w:r>
          </w:p>
        </w:tc>
      </w:tr>
      <w:tr>
        <w:trPr>
          <w:cantSplit/>
        </w:trPr>
        <w:tc>
          <w:tcPr>
            <w:tcW w:type="dxa" w:w="2077"/>
            <w:vAlign w:val="center"/>
          </w:tcPr>
          <w:p>
            <w:pPr>
              <w:spacing w:before="50" w:after="50" w:line="252" w:lineRule="auto"/>
              <w:ind w:firstLine="0"/>
            </w:pPr>
            <w:r>
              <w:rPr>
                <w:b/>
                <w:sz w:val="20"/>
              </w:rPr>
              <w:t>Medium Band Count (%)</w:t>
            </w:r>
          </w:p>
        </w:tc>
        <w:tc>
          <w:tcPr>
            <w:tcW w:type="dxa" w:w="2077"/>
            <w:vAlign w:val="center"/>
          </w:tcPr>
          <w:p>
            <w:pPr>
              <w:spacing w:before="50" w:after="50" w:line="252" w:lineRule="auto"/>
              <w:ind w:firstLine="0"/>
            </w:pPr>
            <w:r>
              <w:rPr>
                <w:sz w:val="20"/>
              </w:rPr>
              <w:t>28 (1.6%)</w:t>
            </w:r>
          </w:p>
        </w:tc>
        <w:tc>
          <w:tcPr>
            <w:tcW w:type="dxa" w:w="2077"/>
            <w:vAlign w:val="center"/>
          </w:tcPr>
          <w:p>
            <w:pPr>
              <w:spacing w:before="50" w:after="50" w:line="252" w:lineRule="auto"/>
              <w:ind w:firstLine="0"/>
            </w:pPr>
            <w:r>
              <w:rPr>
                <w:sz w:val="20"/>
              </w:rPr>
              <w:t>30 (1.7%) [No-floor: 97]</w:t>
            </w:r>
          </w:p>
        </w:tc>
        <w:tc>
          <w:tcPr>
            <w:tcW w:type="dxa" w:w="2077"/>
            <w:vAlign w:val="center"/>
          </w:tcPr>
          <w:p>
            <w:pPr>
              <w:spacing w:before="50" w:after="50" w:line="252" w:lineRule="auto"/>
              <w:ind w:firstLine="0"/>
            </w:pPr>
            <w:r>
              <w:rPr>
                <w:sz w:val="20"/>
              </w:rPr>
              <w:t>125 (7.2%)</w:t>
            </w:r>
          </w:p>
        </w:tc>
      </w:tr>
      <w:tr>
        <w:trPr>
          <w:cantSplit/>
        </w:trPr>
        <w:tc>
          <w:tcPr>
            <w:tcW w:type="dxa" w:w="2077"/>
            <w:vAlign w:val="center"/>
            <w:shd w:fill="F4F7FA"/>
          </w:tcPr>
          <w:p>
            <w:pPr>
              <w:spacing w:before="50" w:after="50" w:line="252" w:lineRule="auto"/>
              <w:ind w:firstLine="0"/>
            </w:pPr>
            <w:r>
              <w:rPr>
                <w:b/>
                <w:sz w:val="20"/>
              </w:rPr>
              <w:t>Low / Safe Band Count (%)</w:t>
            </w:r>
          </w:p>
        </w:tc>
        <w:tc>
          <w:tcPr>
            <w:tcW w:type="dxa" w:w="2077"/>
            <w:vAlign w:val="center"/>
            <w:shd w:fill="F4F7FA"/>
          </w:tcPr>
          <w:p>
            <w:pPr>
              <w:spacing w:before="50" w:after="50" w:line="252" w:lineRule="auto"/>
              <w:ind w:firstLine="0"/>
            </w:pPr>
            <w:r>
              <w:rPr>
                <w:sz w:val="20"/>
              </w:rPr>
              <w:t>1,232 (70.8%)</w:t>
            </w:r>
          </w:p>
        </w:tc>
        <w:tc>
          <w:tcPr>
            <w:tcW w:type="dxa" w:w="2077"/>
            <w:vAlign w:val="center"/>
            <w:shd w:fill="F4F7FA"/>
          </w:tcPr>
          <w:p>
            <w:pPr>
              <w:spacing w:before="50" w:after="50" w:line="252" w:lineRule="auto"/>
              <w:ind w:firstLine="0"/>
            </w:pPr>
            <w:r>
              <w:rPr>
                <w:sz w:val="20"/>
              </w:rPr>
              <w:t>1,567 (90.0%) [No-floor: 1,608]</w:t>
            </w:r>
          </w:p>
        </w:tc>
        <w:tc>
          <w:tcPr>
            <w:tcW w:type="dxa" w:w="2077"/>
            <w:vAlign w:val="center"/>
            <w:shd w:fill="F4F7FA"/>
          </w:tcPr>
          <w:p>
            <w:pPr>
              <w:spacing w:before="50" w:after="50" w:line="252" w:lineRule="auto"/>
              <w:ind w:firstLine="0"/>
            </w:pPr>
            <w:r>
              <w:rPr>
                <w:sz w:val="20"/>
              </w:rPr>
              <w:t>1,559 (89.5%)</w:t>
            </w:r>
          </w:p>
        </w:tc>
      </w:tr>
      <w:tr>
        <w:trPr>
          <w:cantSplit/>
        </w:trPr>
        <w:tc>
          <w:tcPr>
            <w:tcW w:type="dxa" w:w="2077"/>
            <w:vAlign w:val="center"/>
          </w:tcPr>
          <w:p>
            <w:pPr>
              <w:spacing w:before="50" w:after="50" w:line="252" w:lineRule="auto"/>
              <w:ind w:firstLine="0"/>
            </w:pPr>
            <w:r>
              <w:rPr>
                <w:b/>
                <w:sz w:val="20"/>
              </w:rPr>
              <w:t>Bihar (n = 775; 296 1-param) Mean / Med</w:t>
            </w:r>
          </w:p>
        </w:tc>
        <w:tc>
          <w:tcPr>
            <w:tcW w:type="dxa" w:w="2077"/>
            <w:vAlign w:val="center"/>
          </w:tcPr>
          <w:p>
            <w:pPr>
              <w:spacing w:before="50" w:after="50" w:line="252" w:lineRule="auto"/>
              <w:ind w:firstLine="0"/>
            </w:pPr>
            <w:r>
              <w:rPr>
                <w:sz w:val="20"/>
              </w:rPr>
              <w:t>18.36 / 0.00 (54.3% score 0)</w:t>
            </w:r>
          </w:p>
        </w:tc>
        <w:tc>
          <w:tcPr>
            <w:tcW w:type="dxa" w:w="2077"/>
            <w:vAlign w:val="center"/>
          </w:tcPr>
          <w:p>
            <w:pPr>
              <w:spacing w:before="50" w:after="50" w:line="252" w:lineRule="auto"/>
              <w:ind w:firstLine="0"/>
            </w:pPr>
            <w:r>
              <w:rPr>
                <w:sz w:val="20"/>
              </w:rPr>
              <w:t>1.58 / 0.00</w:t>
            </w:r>
          </w:p>
        </w:tc>
        <w:tc>
          <w:tcPr>
            <w:tcW w:type="dxa" w:w="2077"/>
            <w:vAlign w:val="center"/>
          </w:tcPr>
          <w:p>
            <w:pPr>
              <w:spacing w:before="50" w:after="50" w:line="252" w:lineRule="auto"/>
              <w:ind w:firstLine="0"/>
            </w:pPr>
            <w:r>
              <w:rPr>
                <w:sz w:val="20"/>
              </w:rPr>
              <w:t>2.32 / 0.00</w:t>
            </w:r>
          </w:p>
        </w:tc>
      </w:tr>
      <w:tr>
        <w:trPr>
          <w:cantSplit/>
        </w:trPr>
        <w:tc>
          <w:tcPr>
            <w:tcW w:type="dxa" w:w="2077"/>
            <w:vAlign w:val="center"/>
            <w:shd w:fill="F4F7FA"/>
          </w:tcPr>
          <w:p>
            <w:pPr>
              <w:spacing w:before="50" w:after="50" w:line="252" w:lineRule="auto"/>
              <w:ind w:firstLine="0"/>
            </w:pPr>
            <w:r>
              <w:rPr>
                <w:b/>
                <w:sz w:val="20"/>
              </w:rPr>
              <w:t>Bihar Band Split (Crit / High / Med / Low)</w:t>
            </w:r>
          </w:p>
        </w:tc>
        <w:tc>
          <w:tcPr>
            <w:tcW w:type="dxa" w:w="2077"/>
            <w:vAlign w:val="center"/>
            <w:shd w:fill="F4F7FA"/>
          </w:tcPr>
          <w:p>
            <w:pPr>
              <w:spacing w:before="50" w:after="50" w:line="252" w:lineRule="auto"/>
              <w:ind w:firstLine="0"/>
            </w:pPr>
            <w:r>
              <w:rPr>
                <w:sz w:val="20"/>
              </w:rPr>
              <w:t>75 / 158 / 1 / 541</w:t>
            </w:r>
          </w:p>
        </w:tc>
        <w:tc>
          <w:tcPr>
            <w:tcW w:type="dxa" w:w="2077"/>
            <w:vAlign w:val="center"/>
            <w:shd w:fill="F4F7FA"/>
          </w:tcPr>
          <w:p>
            <w:pPr>
              <w:spacing w:before="50" w:after="50" w:line="252" w:lineRule="auto"/>
              <w:ind w:firstLine="0"/>
            </w:pPr>
            <w:r>
              <w:rPr>
                <w:sz w:val="20"/>
              </w:rPr>
              <w:t>0 / 0 / 1 / 774</w:t>
            </w:r>
          </w:p>
        </w:tc>
        <w:tc>
          <w:tcPr>
            <w:tcW w:type="dxa" w:w="2077"/>
            <w:vAlign w:val="center"/>
            <w:shd w:fill="F4F7FA"/>
          </w:tcPr>
          <w:p>
            <w:pPr>
              <w:spacing w:before="50" w:after="50" w:line="252" w:lineRule="auto"/>
              <w:ind w:firstLine="0"/>
            </w:pPr>
            <w:r>
              <w:rPr>
                <w:sz w:val="20"/>
              </w:rPr>
              <w:t>0 / 0 / 3 / 772</w:t>
            </w:r>
          </w:p>
        </w:tc>
      </w:tr>
      <w:tr>
        <w:trPr>
          <w:cantSplit/>
        </w:trPr>
        <w:tc>
          <w:tcPr>
            <w:tcW w:type="dxa" w:w="2077"/>
            <w:vAlign w:val="center"/>
          </w:tcPr>
          <w:p>
            <w:pPr>
              <w:spacing w:before="50" w:after="50" w:line="252" w:lineRule="auto"/>
              <w:ind w:firstLine="0"/>
            </w:pPr>
            <w:r>
              <w:rPr>
                <w:b/>
                <w:sz w:val="20"/>
              </w:rPr>
              <w:t>UP (n = 966; 129 1-param) Mean / Med</w:t>
            </w:r>
          </w:p>
        </w:tc>
        <w:tc>
          <w:tcPr>
            <w:tcW w:type="dxa" w:w="2077"/>
            <w:vAlign w:val="center"/>
          </w:tcPr>
          <w:p>
            <w:pPr>
              <w:spacing w:before="50" w:after="50" w:line="252" w:lineRule="auto"/>
              <w:ind w:firstLine="0"/>
            </w:pPr>
            <w:r>
              <w:rPr>
                <w:sz w:val="20"/>
              </w:rPr>
              <w:t>12.68 / 4.08 (32.2% score 0)</w:t>
            </w:r>
          </w:p>
        </w:tc>
        <w:tc>
          <w:tcPr>
            <w:tcW w:type="dxa" w:w="2077"/>
            <w:vAlign w:val="center"/>
          </w:tcPr>
          <w:p>
            <w:pPr>
              <w:spacing w:before="50" w:after="50" w:line="252" w:lineRule="auto"/>
              <w:ind w:firstLine="0"/>
            </w:pPr>
            <w:r>
              <w:rPr>
                <w:sz w:val="20"/>
              </w:rPr>
              <w:t>9.99 / 3.10</w:t>
            </w:r>
          </w:p>
        </w:tc>
        <w:tc>
          <w:tcPr>
            <w:tcW w:type="dxa" w:w="2077"/>
            <w:vAlign w:val="center"/>
          </w:tcPr>
          <w:p>
            <w:pPr>
              <w:spacing w:before="50" w:after="50" w:line="252" w:lineRule="auto"/>
              <w:ind w:firstLine="0"/>
            </w:pPr>
            <w:r>
              <w:rPr>
                <w:sz w:val="20"/>
              </w:rPr>
              <w:t>4.72 / 1.45</w:t>
            </w:r>
          </w:p>
        </w:tc>
      </w:tr>
      <w:tr>
        <w:trPr>
          <w:cantSplit/>
        </w:trPr>
        <w:tc>
          <w:tcPr>
            <w:tcW w:type="dxa" w:w="2077"/>
            <w:vAlign w:val="center"/>
            <w:shd w:fill="F4F7FA"/>
          </w:tcPr>
          <w:p>
            <w:pPr>
              <w:spacing w:before="50" w:after="50" w:line="252" w:lineRule="auto"/>
              <w:ind w:firstLine="0"/>
            </w:pPr>
            <w:r>
              <w:rPr>
                <w:b/>
                <w:sz w:val="20"/>
              </w:rPr>
              <w:t>UP Band Split (Crit / High / Med / Low)</w:t>
            </w:r>
          </w:p>
        </w:tc>
        <w:tc>
          <w:tcPr>
            <w:tcW w:type="dxa" w:w="2077"/>
            <w:vAlign w:val="center"/>
            <w:shd w:fill="F4F7FA"/>
          </w:tcPr>
          <w:p>
            <w:pPr>
              <w:spacing w:before="50" w:after="50" w:line="252" w:lineRule="auto"/>
              <w:ind w:firstLine="0"/>
            </w:pPr>
            <w:r>
              <w:rPr>
                <w:sz w:val="20"/>
              </w:rPr>
              <w:t>14 / 234 / 27 / 691</w:t>
            </w:r>
          </w:p>
        </w:tc>
        <w:tc>
          <w:tcPr>
            <w:tcW w:type="dxa" w:w="2077"/>
            <w:vAlign w:val="center"/>
            <w:shd w:fill="F4F7FA"/>
          </w:tcPr>
          <w:p>
            <w:pPr>
              <w:spacing w:before="50" w:after="50" w:line="252" w:lineRule="auto"/>
              <w:ind w:firstLine="0"/>
            </w:pPr>
            <w:r>
              <w:rPr>
                <w:sz w:val="20"/>
              </w:rPr>
              <w:t>5 / 139 / 29 / 793</w:t>
            </w:r>
          </w:p>
        </w:tc>
        <w:tc>
          <w:tcPr>
            <w:tcW w:type="dxa" w:w="2077"/>
            <w:vAlign w:val="center"/>
            <w:shd w:fill="F4F7FA"/>
          </w:tcPr>
          <w:p>
            <w:pPr>
              <w:spacing w:before="50" w:after="50" w:line="252" w:lineRule="auto"/>
              <w:ind w:firstLine="0"/>
            </w:pPr>
            <w:r>
              <w:rPr>
                <w:sz w:val="20"/>
              </w:rPr>
              <w:t>3 / 54 / 122 / 787</w:t>
            </w:r>
          </w:p>
        </w:tc>
      </w:tr>
      <w:tr>
        <w:trPr>
          <w:cantSplit/>
        </w:trPr>
        <w:tc>
          <w:tcPr>
            <w:tcW w:type="dxa" w:w="2077"/>
            <w:vAlign w:val="center"/>
          </w:tcPr>
          <w:p>
            <w:pPr>
              <w:spacing w:before="50" w:after="50" w:line="252" w:lineRule="auto"/>
              <w:ind w:firstLine="0"/>
            </w:pPr>
            <w:r>
              <w:rPr>
                <w:b/>
                <w:sz w:val="20"/>
              </w:rPr>
              <w:t>Madhepura Cohort (n = 70, Bihar, 1-param Fe)</w:t>
            </w:r>
          </w:p>
        </w:tc>
        <w:tc>
          <w:tcPr>
            <w:tcW w:type="dxa" w:w="2077"/>
            <w:vAlign w:val="center"/>
          </w:tcPr>
          <w:p>
            <w:pPr>
              <w:spacing w:before="50" w:after="50" w:line="252" w:lineRule="auto"/>
              <w:ind w:firstLine="0"/>
            </w:pPr>
            <w:r>
              <w:rPr>
                <w:sz w:val="20"/>
              </w:rPr>
              <w:t>70 Critical (score 100.0; 78.7% of all Criticals)</w:t>
            </w:r>
          </w:p>
        </w:tc>
        <w:tc>
          <w:tcPr>
            <w:tcW w:type="dxa" w:w="2077"/>
            <w:vAlign w:val="center"/>
          </w:tcPr>
          <w:p>
            <w:pPr>
              <w:spacing w:before="50" w:after="50" w:line="252" w:lineRule="auto"/>
              <w:ind w:firstLine="0"/>
            </w:pPr>
            <w:r>
              <w:rPr>
                <w:sz w:val="20"/>
              </w:rPr>
              <w:t>0 Critical, 70 Low (score 0.00; Fe 0.318–0.478 mg/L)</w:t>
            </w:r>
          </w:p>
        </w:tc>
        <w:tc>
          <w:tcPr>
            <w:tcW w:type="dxa" w:w="2077"/>
            <w:vAlign w:val="center"/>
          </w:tcPr>
          <w:p>
            <w:pPr>
              <w:spacing w:before="50" w:after="50" w:line="252" w:lineRule="auto"/>
              <w:ind w:firstLine="0"/>
            </w:pPr>
            <w:r>
              <w:rPr>
                <w:sz w:val="20"/>
              </w:rPr>
              <w:t>0 Critical, 70 Low (score 6.67 = 0.4/6.0 * 100)</w:t>
            </w:r>
          </w:p>
        </w:tc>
      </w:tr>
      <w:tr>
        <w:trPr>
          <w:cantSplit/>
        </w:trPr>
        <w:tc>
          <w:tcPr>
            <w:tcW w:type="dxa" w:w="2077"/>
            <w:vAlign w:val="center"/>
            <w:shd w:fill="F4F7FA"/>
          </w:tcPr>
          <w:p>
            <w:pPr>
              <w:spacing w:before="50" w:after="50" w:line="252" w:lineRule="auto"/>
              <w:ind w:firstLine="0"/>
            </w:pPr>
            <w:r>
              <w:rPr>
                <w:b/>
                <w:sz w:val="20"/>
              </w:rPr>
              <w:t>State Mean CRS Excl. Madhepura &amp; Agra</w:t>
            </w:r>
          </w:p>
        </w:tc>
        <w:tc>
          <w:tcPr>
            <w:tcW w:type="dxa" w:w="2077"/>
            <w:vAlign w:val="center"/>
            <w:shd w:fill="F4F7FA"/>
          </w:tcPr>
          <w:p>
            <w:pPr>
              <w:spacing w:before="50" w:after="50" w:line="252" w:lineRule="auto"/>
              <w:ind w:firstLine="0"/>
            </w:pPr>
            <w:r>
              <w:rPr>
                <w:sz w:val="20"/>
              </w:rPr>
              <w:t>Bihar: 10.25 (n=705) | UP: 10.47 (n=923)</w:t>
            </w:r>
          </w:p>
        </w:tc>
        <w:tc>
          <w:tcPr>
            <w:tcW w:type="dxa" w:w="2077"/>
            <w:vAlign w:val="center"/>
            <w:shd w:fill="F4F7FA"/>
          </w:tcPr>
          <w:p>
            <w:pPr>
              <w:spacing w:before="50" w:after="50" w:line="252" w:lineRule="auto"/>
              <w:ind w:firstLine="0"/>
            </w:pPr>
            <w:r>
              <w:rPr>
                <w:sz w:val="20"/>
              </w:rPr>
              <w:t>Bihar: 1.58 (n=705) | UP: 8.12 (n=923)</w:t>
            </w:r>
          </w:p>
        </w:tc>
        <w:tc>
          <w:tcPr>
            <w:tcW w:type="dxa" w:w="2077"/>
            <w:vAlign w:val="center"/>
            <w:shd w:fill="F4F7FA"/>
          </w:tcPr>
          <w:p>
            <w:pPr>
              <w:spacing w:before="50" w:after="50" w:line="252" w:lineRule="auto"/>
              <w:ind w:firstLine="0"/>
            </w:pPr>
            <w:r>
              <w:rPr>
                <w:sz w:val="20"/>
              </w:rPr>
              <w:t>Bihar: 1.93 (n=705) | UP: 3.84 (n=923)</w:t>
            </w:r>
          </w:p>
        </w:tc>
      </w:tr>
    </w:tbl>
    <w:p>
      <w:pPr>
        <w:spacing w:before="0" w:after="80"/>
      </w:pPr>
    </w:p>
    <w:p>
      <w:pPr>
        <w:spacing w:line="324" w:lineRule="auto" w:before="0" w:after="120"/>
        <w:ind w:firstLine="504"/>
        <w:jc w:val="both"/>
      </w:pPr>
      <w:r>
        <w:rPr>
          <w:sz w:val="23"/>
        </w:rPr>
        <w:t>Three critical analytical findings emerge from Table 3: (1) Under Model v1 at 0.3 mg/L, Bihar's higher mean CRS (18.36 vs. 12.68) contradicts its lower median (0.00 vs. 4.08) because Madhepura district contributes 70 single-parameter iron tests (concentrations 0.318–0.478 mg/L, median 0.3820 mg/L), each scoring 0.4 / 0.4 * 100 = 100.0 and accounting for 70 of Bihar's 75 Critical samples (78.7% of all 89 Criticals); (2) Evaluating readings against the 1.0 mg/L threshold printed on the raw WQMIS reports themselves reclassifies all 70 Madhepura samples as compliant (0.00, Low), reducing Bihar's Critical count from 75 to 0 and reversing the state mean ordering to UP (9.99) &gt; Bihar (1.58); and (3) Normalizing against TOTAL_BIS_WEIGHT = 6.0 (Model v2) assigns a single-parameter iron exceedance a score of 0.4 / 6.0 * 100 = 6.67 (Low), eliminating single-parameter panel inflation while preserving Critical escalation for genuine acute hazards such as Lucknow E. coli sample U691097L158S1903 (20.0 CFU/100mL).</w:t>
      </w:r>
    </w:p>
    <w:p>
      <w:pPr>
        <w:keepNext/>
        <w:spacing w:before="220" w:after="80"/>
        <w:ind w:firstLine="0"/>
      </w:pPr>
      <w:r>
        <w:rPr>
          <w:b/>
          <w:color w:val="002147"/>
          <w:sz w:val="24"/>
        </w:rPr>
        <w:t>4.2 Panel-Independent Parameter Exceedance Rates and Censored Observations</w:t>
      </w:r>
    </w:p>
    <w:p>
      <w:pPr>
        <w:spacing w:line="324" w:lineRule="auto" w:before="0" w:after="120"/>
        <w:ind w:firstLine="504"/>
        <w:jc w:val="both"/>
      </w:pPr>
      <w:r>
        <w:rPr>
          <w:sz w:val="23"/>
        </w:rPr>
        <w:t>Because single-parameter panels account for 38.2% of Bihar reports (296/775) and 13.4% of Uttar Pradesh reports (129/966)—and only 7 samples across the entire corpus test all 10 parameters—rigorous state comparisons must rely on panel-independent exceedance rates among tested samples (Table 4).</w:t>
      </w:r>
    </w:p>
    <w:tbl>
      <w:tblPr>
        <w:tblW w:type="auto" w:w="0"/>
        <w:jc w:val="center"/>
        <w:tblLook w:firstColumn="1" w:firstRow="1" w:lastColumn="0" w:lastRow="0" w:noHBand="0" w:noVBand="1" w:val="04A0"/>
      </w:tblPr>
      <w:tblGrid>
        <w:gridCol w:w="2077"/>
        <w:gridCol w:w="2077"/>
        <w:gridCol w:w="2077"/>
        <w:gridCol w:w="2077"/>
      </w:tblGrid>
      <w:tr>
        <w:trPr>
          <w:tblHeader/>
        </w:trPr>
        <w:tc>
          <w:tcPr>
            <w:tcW w:type="dxa" w:w="2077"/>
            <w:vAlign w:val="center"/>
            <w:shd w:fill="002147"/>
          </w:tcPr>
          <w:p>
            <w:pPr>
              <w:keepNext/>
              <w:spacing w:before="60" w:after="60" w:line="252" w:lineRule="auto"/>
              <w:ind w:firstLine="0"/>
            </w:pPr>
            <w:r>
              <w:rPr>
                <w:b/>
                <w:color w:val="FFFFFF"/>
                <w:sz w:val="20"/>
              </w:rPr>
              <w:t>Parameter</w:t>
            </w:r>
          </w:p>
        </w:tc>
        <w:tc>
          <w:tcPr>
            <w:tcW w:type="dxa" w:w="2077"/>
            <w:vAlign w:val="center"/>
            <w:shd w:fill="002147"/>
          </w:tcPr>
          <w:p>
            <w:pPr>
              <w:keepNext/>
              <w:spacing w:before="60" w:after="60" w:line="252" w:lineRule="auto"/>
              <w:ind w:firstLine="0"/>
            </w:pPr>
            <w:r>
              <w:rPr>
                <w:b/>
                <w:color w:val="FFFFFF"/>
                <w:sz w:val="20"/>
              </w:rPr>
              <w:t>Bihar: Tested, &gt;Acceptable (&gt;Perm.)</w:t>
            </w:r>
          </w:p>
        </w:tc>
        <w:tc>
          <w:tcPr>
            <w:tcW w:type="dxa" w:w="2077"/>
            <w:vAlign w:val="center"/>
            <w:shd w:fill="002147"/>
          </w:tcPr>
          <w:p>
            <w:pPr>
              <w:keepNext/>
              <w:spacing w:before="60" w:after="60" w:line="252" w:lineRule="auto"/>
              <w:ind w:firstLine="0"/>
            </w:pPr>
            <w:r>
              <w:rPr>
                <w:b/>
                <w:color w:val="FFFFFF"/>
                <w:sz w:val="20"/>
              </w:rPr>
              <w:t>UP: Tested, &gt;Acceptable (&gt;Perm.)</w:t>
            </w:r>
          </w:p>
        </w:tc>
        <w:tc>
          <w:tcPr>
            <w:tcW w:type="dxa" w:w="2077"/>
            <w:vAlign w:val="center"/>
            <w:shd w:fill="002147"/>
          </w:tcPr>
          <w:p>
            <w:pPr>
              <w:keepNext/>
              <w:spacing w:before="60" w:after="60" w:line="252" w:lineRule="auto"/>
              <w:ind w:firstLine="0"/>
            </w:pPr>
            <w:r>
              <w:rPr>
                <w:b/>
                <w:color w:val="FFFFFF"/>
                <w:sz w:val="20"/>
              </w:rPr>
              <w:t>Diagnostic Notes &amp; Extreme / Censored Readings</w:t>
            </w:r>
          </w:p>
        </w:tc>
      </w:tr>
      <w:tr>
        <w:trPr>
          <w:cantSplit/>
        </w:trPr>
        <w:tc>
          <w:tcPr>
            <w:tcW w:type="dxa" w:w="2077"/>
            <w:vAlign w:val="center"/>
          </w:tcPr>
          <w:p>
            <w:pPr>
              <w:spacing w:before="50" w:after="50" w:line="252" w:lineRule="auto"/>
              <w:ind w:firstLine="0"/>
            </w:pPr>
            <w:r>
              <w:rPr>
                <w:b/>
                <w:sz w:val="20"/>
              </w:rPr>
              <w:t>Fluoride</w:t>
            </w:r>
          </w:p>
        </w:tc>
        <w:tc>
          <w:tcPr>
            <w:tcW w:type="dxa" w:w="2077"/>
            <w:vAlign w:val="center"/>
          </w:tcPr>
          <w:p>
            <w:pPr>
              <w:spacing w:before="50" w:after="50" w:line="252" w:lineRule="auto"/>
              <w:ind w:firstLine="0"/>
            </w:pPr>
            <w:r>
              <w:rPr>
                <w:sz w:val="20"/>
              </w:rPr>
              <w:t>182 tested, 2 (1.1%) [0 &gt;1.5]</w:t>
            </w:r>
          </w:p>
        </w:tc>
        <w:tc>
          <w:tcPr>
            <w:tcW w:type="dxa" w:w="2077"/>
            <w:vAlign w:val="center"/>
          </w:tcPr>
          <w:p>
            <w:pPr>
              <w:spacing w:before="50" w:after="50" w:line="252" w:lineRule="auto"/>
              <w:ind w:firstLine="0"/>
            </w:pPr>
            <w:r>
              <w:rPr>
                <w:sz w:val="20"/>
              </w:rPr>
              <w:t>711 tested, 159 (22.4%) [40 (5.6%)]</w:t>
            </w:r>
          </w:p>
        </w:tc>
        <w:tc>
          <w:tcPr>
            <w:tcW w:type="dxa" w:w="2077"/>
            <w:vAlign w:val="center"/>
          </w:tcPr>
          <w:p>
            <w:pPr>
              <w:spacing w:before="50" w:after="50" w:line="252" w:lineRule="auto"/>
              <w:ind w:firstLine="0"/>
            </w:pPr>
            <w:r>
              <w:rPr>
                <w:sz w:val="20"/>
              </w:rPr>
              <w:t>Peak 12.60 &amp; 3.29 mg/L in Lab L405 (U715825L405S1002693, resolved to Rae Bareli, UP). Agra cluster: 43 samples (mean CRS 60.13; max fluoride 1.58 mg/L).</w:t>
            </w:r>
          </w:p>
        </w:tc>
      </w:tr>
      <w:tr>
        <w:trPr>
          <w:cantSplit/>
        </w:trPr>
        <w:tc>
          <w:tcPr>
            <w:tcW w:type="dxa" w:w="2077"/>
            <w:vAlign w:val="center"/>
            <w:shd w:fill="F4F7FA"/>
          </w:tcPr>
          <w:p>
            <w:pPr>
              <w:spacing w:before="50" w:after="50" w:line="252" w:lineRule="auto"/>
              <w:ind w:firstLine="0"/>
            </w:pPr>
            <w:r>
              <w:rPr>
                <w:b/>
                <w:sz w:val="20"/>
              </w:rPr>
              <w:t>Iron (0.3 BIS / 1.0 Lab)</w:t>
            </w:r>
          </w:p>
        </w:tc>
        <w:tc>
          <w:tcPr>
            <w:tcW w:type="dxa" w:w="2077"/>
            <w:vAlign w:val="center"/>
            <w:shd w:fill="F4F7FA"/>
          </w:tcPr>
          <w:p>
            <w:pPr>
              <w:spacing w:before="50" w:after="50" w:line="252" w:lineRule="auto"/>
              <w:ind w:firstLine="0"/>
            </w:pPr>
            <w:r>
              <w:rPr>
                <w:sz w:val="20"/>
              </w:rPr>
              <w:t>450 tested, 233 (51.8%) / 0 (0.0%)</w:t>
            </w:r>
          </w:p>
        </w:tc>
        <w:tc>
          <w:tcPr>
            <w:tcW w:type="dxa" w:w="2077"/>
            <w:vAlign w:val="center"/>
            <w:shd w:fill="F4F7FA"/>
          </w:tcPr>
          <w:p>
            <w:pPr>
              <w:spacing w:before="50" w:after="50" w:line="252" w:lineRule="auto"/>
              <w:ind w:firstLine="0"/>
            </w:pPr>
            <w:r>
              <w:rPr>
                <w:sz w:val="20"/>
              </w:rPr>
              <w:t>426 tested, 187 (43.9%) / 29 (6.8%)</w:t>
            </w:r>
          </w:p>
        </w:tc>
        <w:tc>
          <w:tcPr>
            <w:tcW w:type="dxa" w:w="2077"/>
            <w:vAlign w:val="center"/>
            <w:shd w:fill="F4F7FA"/>
          </w:tcPr>
          <w:p>
            <w:pPr>
              <w:spacing w:before="50" w:after="50" w:line="252" w:lineRule="auto"/>
              <w:ind w:firstLine="0"/>
            </w:pPr>
            <w:r>
              <w:rPr>
                <w:sz w:val="20"/>
              </w:rPr>
              <w:t>Excl. Madhepura (n=70), Bihar iron &gt;0.3 mg/L is 163/380 (42.9%), matching UP (43.9%).</w:t>
            </w:r>
          </w:p>
        </w:tc>
      </w:tr>
      <w:tr>
        <w:trPr>
          <w:cantSplit/>
        </w:trPr>
        <w:tc>
          <w:tcPr>
            <w:tcW w:type="dxa" w:w="2077"/>
            <w:vAlign w:val="center"/>
          </w:tcPr>
          <w:p>
            <w:pPr>
              <w:spacing w:before="50" w:after="50" w:line="252" w:lineRule="auto"/>
              <w:ind w:firstLine="0"/>
            </w:pPr>
            <w:r>
              <w:rPr>
                <w:b/>
                <w:sz w:val="20"/>
              </w:rPr>
              <w:t>Turbidity</w:t>
            </w:r>
          </w:p>
        </w:tc>
        <w:tc>
          <w:tcPr>
            <w:tcW w:type="dxa" w:w="2077"/>
            <w:vAlign w:val="center"/>
          </w:tcPr>
          <w:p>
            <w:pPr>
              <w:spacing w:before="50" w:after="50" w:line="252" w:lineRule="auto"/>
              <w:ind w:firstLine="0"/>
            </w:pPr>
            <w:r>
              <w:rPr>
                <w:sz w:val="20"/>
              </w:rPr>
              <w:t>328 tested, 130 (39.6%) [0 &gt;5 NTU]</w:t>
            </w:r>
          </w:p>
        </w:tc>
        <w:tc>
          <w:tcPr>
            <w:tcW w:type="dxa" w:w="2077"/>
            <w:vAlign w:val="center"/>
          </w:tcPr>
          <w:p>
            <w:pPr>
              <w:spacing w:before="50" w:after="50" w:line="252" w:lineRule="auto"/>
              <w:ind w:firstLine="0"/>
            </w:pPr>
            <w:r>
              <w:rPr>
                <w:sz w:val="20"/>
              </w:rPr>
              <w:t>670 tested, 547 (81.6%) [53 (7.9%)]</w:t>
            </w:r>
          </w:p>
        </w:tc>
        <w:tc>
          <w:tcPr>
            <w:tcW w:type="dxa" w:w="2077"/>
            <w:vAlign w:val="center"/>
          </w:tcPr>
          <w:p>
            <w:pPr>
              <w:spacing w:before="50" w:after="50" w:line="252" w:lineRule="auto"/>
              <w:ind w:firstLine="0"/>
            </w:pPr>
            <w:r>
              <w:rPr>
                <w:sz w:val="20"/>
              </w:rPr>
              <w:t>UP exhibits 2.06x higher acceptable exceedance rate and all 53 permissible breaches.</w:t>
            </w:r>
          </w:p>
        </w:tc>
      </w:tr>
      <w:tr>
        <w:trPr>
          <w:cantSplit/>
        </w:trPr>
        <w:tc>
          <w:tcPr>
            <w:tcW w:type="dxa" w:w="2077"/>
            <w:vAlign w:val="center"/>
            <w:shd w:fill="F4F7FA"/>
          </w:tcPr>
          <w:p>
            <w:pPr>
              <w:spacing w:before="50" w:after="50" w:line="252" w:lineRule="auto"/>
              <w:ind w:firstLine="0"/>
            </w:pPr>
            <w:r>
              <w:rPr>
                <w:b/>
                <w:sz w:val="20"/>
              </w:rPr>
              <w:t>TDS</w:t>
            </w:r>
          </w:p>
        </w:tc>
        <w:tc>
          <w:tcPr>
            <w:tcW w:type="dxa" w:w="2077"/>
            <w:vAlign w:val="center"/>
            <w:shd w:fill="F4F7FA"/>
          </w:tcPr>
          <w:p>
            <w:pPr>
              <w:spacing w:before="50" w:after="50" w:line="252" w:lineRule="auto"/>
              <w:ind w:firstLine="0"/>
            </w:pPr>
            <w:r>
              <w:rPr>
                <w:sz w:val="20"/>
              </w:rPr>
              <w:t>444 tested, 44 (9.9%) [0 &gt;2000]</w:t>
            </w:r>
          </w:p>
        </w:tc>
        <w:tc>
          <w:tcPr>
            <w:tcW w:type="dxa" w:w="2077"/>
            <w:vAlign w:val="center"/>
            <w:shd w:fill="F4F7FA"/>
          </w:tcPr>
          <w:p>
            <w:pPr>
              <w:spacing w:before="50" w:after="50" w:line="252" w:lineRule="auto"/>
              <w:ind w:firstLine="0"/>
            </w:pPr>
            <w:r>
              <w:rPr>
                <w:sz w:val="20"/>
              </w:rPr>
              <w:t>851 tested, 348 (40.9%) [51 (6.0%)]</w:t>
            </w:r>
          </w:p>
        </w:tc>
        <w:tc>
          <w:tcPr>
            <w:tcW w:type="dxa" w:w="2077"/>
            <w:vAlign w:val="center"/>
            <w:shd w:fill="F4F7FA"/>
          </w:tcPr>
          <w:p>
            <w:pPr>
              <w:spacing w:before="50" w:after="50" w:line="252" w:lineRule="auto"/>
              <w:ind w:firstLine="0"/>
            </w:pPr>
            <w:r>
              <w:rPr>
                <w:sz w:val="20"/>
              </w:rPr>
              <w:t>UP exhibits 4.13x higher acceptable exceedance rate and all 51 permissible breaches.</w:t>
            </w:r>
          </w:p>
        </w:tc>
      </w:tr>
      <w:tr>
        <w:trPr>
          <w:cantSplit/>
        </w:trPr>
        <w:tc>
          <w:tcPr>
            <w:tcW w:type="dxa" w:w="2077"/>
            <w:vAlign w:val="center"/>
          </w:tcPr>
          <w:p>
            <w:pPr>
              <w:spacing w:before="50" w:after="50" w:line="252" w:lineRule="auto"/>
              <w:ind w:firstLine="0"/>
            </w:pPr>
            <w:r>
              <w:rPr>
                <w:b/>
                <w:sz w:val="20"/>
              </w:rPr>
              <w:t>Nitrate</w:t>
            </w:r>
          </w:p>
        </w:tc>
        <w:tc>
          <w:tcPr>
            <w:tcW w:type="dxa" w:w="2077"/>
            <w:vAlign w:val="center"/>
          </w:tcPr>
          <w:p>
            <w:pPr>
              <w:spacing w:before="50" w:after="50" w:line="252" w:lineRule="auto"/>
              <w:ind w:firstLine="0"/>
            </w:pPr>
            <w:r>
              <w:rPr>
                <w:sz w:val="20"/>
              </w:rPr>
              <w:t>123 tested, 0 (0.0%) [n/a]</w:t>
            </w:r>
          </w:p>
        </w:tc>
        <w:tc>
          <w:tcPr>
            <w:tcW w:type="dxa" w:w="2077"/>
            <w:vAlign w:val="center"/>
          </w:tcPr>
          <w:p>
            <w:pPr>
              <w:spacing w:before="50" w:after="50" w:line="252" w:lineRule="auto"/>
              <w:ind w:firstLine="0"/>
            </w:pPr>
            <w:r>
              <w:rPr>
                <w:sz w:val="20"/>
              </w:rPr>
              <w:t>460 tested, 8 (1.7%) [n/a]</w:t>
            </w:r>
          </w:p>
        </w:tc>
        <w:tc>
          <w:tcPr>
            <w:tcW w:type="dxa" w:w="2077"/>
            <w:vAlign w:val="center"/>
          </w:tcPr>
          <w:p>
            <w:pPr>
              <w:spacing w:before="50" w:after="50" w:line="252" w:lineRule="auto"/>
              <w:ind w:firstLine="0"/>
            </w:pPr>
            <w:r>
              <w:rPr>
                <w:sz w:val="20"/>
              </w:rPr>
              <w:t>No relaxation above 45 mg/L; UP max = 61.24 mg/L.</w:t>
            </w:r>
          </w:p>
        </w:tc>
      </w:tr>
      <w:tr>
        <w:trPr>
          <w:cantSplit/>
        </w:trPr>
        <w:tc>
          <w:tcPr>
            <w:tcW w:type="dxa" w:w="2077"/>
            <w:vAlign w:val="center"/>
            <w:shd w:fill="F4F7FA"/>
          </w:tcPr>
          <w:p>
            <w:pPr>
              <w:spacing w:before="50" w:after="50" w:line="252" w:lineRule="auto"/>
              <w:ind w:firstLine="0"/>
            </w:pPr>
            <w:r>
              <w:rPr>
                <w:b/>
                <w:sz w:val="20"/>
              </w:rPr>
              <w:t>Sulphate</w:t>
            </w:r>
          </w:p>
        </w:tc>
        <w:tc>
          <w:tcPr>
            <w:tcW w:type="dxa" w:w="2077"/>
            <w:vAlign w:val="center"/>
            <w:shd w:fill="F4F7FA"/>
          </w:tcPr>
          <w:p>
            <w:pPr>
              <w:spacing w:before="50" w:after="50" w:line="252" w:lineRule="auto"/>
              <w:ind w:firstLine="0"/>
            </w:pPr>
            <w:r>
              <w:rPr>
                <w:sz w:val="20"/>
              </w:rPr>
              <w:t>73 tested, 0 (0.0%) [0 &gt;400]</w:t>
            </w:r>
          </w:p>
        </w:tc>
        <w:tc>
          <w:tcPr>
            <w:tcW w:type="dxa" w:w="2077"/>
            <w:vAlign w:val="center"/>
            <w:shd w:fill="F4F7FA"/>
          </w:tcPr>
          <w:p>
            <w:pPr>
              <w:spacing w:before="50" w:after="50" w:line="252" w:lineRule="auto"/>
              <w:ind w:firstLine="0"/>
            </w:pPr>
            <w:r>
              <w:rPr>
                <w:sz w:val="20"/>
              </w:rPr>
              <w:t>394 tested, 50 (12.7%) [7 (1.8%) &gt;400]</w:t>
            </w:r>
          </w:p>
        </w:tc>
        <w:tc>
          <w:tcPr>
            <w:tcW w:type="dxa" w:w="2077"/>
            <w:vAlign w:val="center"/>
            <w:shd w:fill="F4F7FA"/>
          </w:tcPr>
          <w:p>
            <w:pPr>
              <w:spacing w:before="50" w:after="50" w:line="252" w:lineRule="auto"/>
              <w:ind w:firstLine="0"/>
            </w:pPr>
            <w:r>
              <w:rPr>
                <w:sz w:val="20"/>
              </w:rPr>
              <w:t>467 readings (repaired from pH mis-tagging in defect B1); all 7 breaches &gt;400 mg/L in Agra (max 479.0 mg/L).</w:t>
            </w:r>
          </w:p>
        </w:tc>
      </w:tr>
      <w:tr>
        <w:trPr>
          <w:cantSplit/>
        </w:trPr>
        <w:tc>
          <w:tcPr>
            <w:tcW w:type="dxa" w:w="2077"/>
            <w:vAlign w:val="center"/>
          </w:tcPr>
          <w:p>
            <w:pPr>
              <w:spacing w:before="50" w:after="50" w:line="252" w:lineRule="auto"/>
              <w:ind w:firstLine="0"/>
            </w:pPr>
            <w:r>
              <w:rPr>
                <w:b/>
                <w:sz w:val="20"/>
              </w:rPr>
              <w:t>pH (6.5–8.5)</w:t>
            </w:r>
          </w:p>
        </w:tc>
        <w:tc>
          <w:tcPr>
            <w:tcW w:type="dxa" w:w="2077"/>
            <w:vAlign w:val="center"/>
          </w:tcPr>
          <w:p>
            <w:pPr>
              <w:spacing w:before="50" w:after="50" w:line="252" w:lineRule="auto"/>
              <w:ind w:firstLine="0"/>
            </w:pPr>
            <w:r>
              <w:rPr>
                <w:sz w:val="20"/>
              </w:rPr>
              <w:t>467 tested, 0 (0.0%) [n/a]</w:t>
            </w:r>
          </w:p>
        </w:tc>
        <w:tc>
          <w:tcPr>
            <w:tcW w:type="dxa" w:w="2077"/>
            <w:vAlign w:val="center"/>
          </w:tcPr>
          <w:p>
            <w:pPr>
              <w:spacing w:before="50" w:after="50" w:line="252" w:lineRule="auto"/>
              <w:ind w:firstLine="0"/>
            </w:pPr>
            <w:r>
              <w:rPr>
                <w:sz w:val="20"/>
              </w:rPr>
              <w:t>902 tested, 2 (0.2%) [n/a]</w:t>
            </w:r>
          </w:p>
        </w:tc>
        <w:tc>
          <w:tcPr>
            <w:tcW w:type="dxa" w:w="2077"/>
            <w:vAlign w:val="center"/>
          </w:tcPr>
          <w:p>
            <w:pPr>
              <w:spacing w:before="50" w:after="50" w:line="252" w:lineRule="auto"/>
              <w:ind w:firstLine="0"/>
            </w:pPr>
            <w:r>
              <w:rPr>
                <w:sz w:val="20"/>
              </w:rPr>
              <w:t>Only 2 true pH excursions outside [6.5, 8.5] across 1,369 readings.</w:t>
            </w:r>
          </w:p>
        </w:tc>
      </w:tr>
      <w:tr>
        <w:trPr>
          <w:cantSplit/>
        </w:trPr>
        <w:tc>
          <w:tcPr>
            <w:tcW w:type="dxa" w:w="2077"/>
            <w:vAlign w:val="center"/>
            <w:shd w:fill="F4F7FA"/>
          </w:tcPr>
          <w:p>
            <w:pPr>
              <w:spacing w:before="50" w:after="50" w:line="252" w:lineRule="auto"/>
              <w:ind w:firstLine="0"/>
            </w:pPr>
            <w:r>
              <w:rPr>
                <w:b/>
                <w:sz w:val="20"/>
              </w:rPr>
              <w:t>Total Arsenic</w:t>
            </w:r>
          </w:p>
        </w:tc>
        <w:tc>
          <w:tcPr>
            <w:tcW w:type="dxa" w:w="2077"/>
            <w:vAlign w:val="center"/>
            <w:shd w:fill="F4F7FA"/>
          </w:tcPr>
          <w:p>
            <w:pPr>
              <w:spacing w:before="50" w:after="50" w:line="252" w:lineRule="auto"/>
              <w:ind w:firstLine="0"/>
            </w:pPr>
            <w:r>
              <w:rPr>
                <w:sz w:val="20"/>
              </w:rPr>
              <w:t>230 tested, 0 (0.0%) [max 0.009]</w:t>
            </w:r>
          </w:p>
        </w:tc>
        <w:tc>
          <w:tcPr>
            <w:tcW w:type="dxa" w:w="2077"/>
            <w:vAlign w:val="center"/>
            <w:shd w:fill="F4F7FA"/>
          </w:tcPr>
          <w:p>
            <w:pPr>
              <w:spacing w:before="50" w:after="50" w:line="252" w:lineRule="auto"/>
              <w:ind w:firstLine="0"/>
            </w:pPr>
            <w:r>
              <w:rPr>
                <w:sz w:val="20"/>
              </w:rPr>
              <w:t>29 tested, 0 (0.0%) [max 0.009]</w:t>
            </w:r>
          </w:p>
        </w:tc>
        <w:tc>
          <w:tcPr>
            <w:tcW w:type="dxa" w:w="2077"/>
            <w:vAlign w:val="center"/>
            <w:shd w:fill="F4F7FA"/>
          </w:tcPr>
          <w:p>
            <w:pPr>
              <w:spacing w:before="50" w:after="50" w:line="252" w:lineRule="auto"/>
              <w:ind w:firstLine="0"/>
            </w:pPr>
            <w:r>
              <w:rPr>
                <w:sz w:val="20"/>
              </w:rPr>
              <w:t>150 of 259 readings (57.9%: 139 Bihar, 11 UP) recorded as 0.0 across 4 labs (L794=69, L234=27, L269=19, L268=13); rescued at district level by WQ6.</w:t>
            </w:r>
          </w:p>
        </w:tc>
      </w:tr>
      <w:tr>
        <w:trPr>
          <w:cantSplit/>
        </w:trPr>
        <w:tc>
          <w:tcPr>
            <w:tcW w:type="dxa" w:w="2077"/>
            <w:vAlign w:val="center"/>
          </w:tcPr>
          <w:p>
            <w:pPr>
              <w:spacing w:before="50" w:after="50" w:line="252" w:lineRule="auto"/>
              <w:ind w:firstLine="0"/>
            </w:pPr>
            <w:r>
              <w:rPr>
                <w:b/>
                <w:sz w:val="20"/>
              </w:rPr>
              <w:t>E. coli &amp; Total Coliform</w:t>
            </w:r>
          </w:p>
        </w:tc>
        <w:tc>
          <w:tcPr>
            <w:tcW w:type="dxa" w:w="2077"/>
            <w:vAlign w:val="center"/>
          </w:tcPr>
          <w:p>
            <w:pPr>
              <w:spacing w:before="50" w:after="50" w:line="252" w:lineRule="auto"/>
              <w:ind w:firstLine="0"/>
            </w:pPr>
            <w:r>
              <w:rPr>
                <w:sz w:val="20"/>
              </w:rPr>
              <w:t>E. coli: 37, 0 (0%) | TC: 0 tested</w:t>
            </w:r>
          </w:p>
        </w:tc>
        <w:tc>
          <w:tcPr>
            <w:tcW w:type="dxa" w:w="2077"/>
            <w:vAlign w:val="center"/>
          </w:tcPr>
          <w:p>
            <w:pPr>
              <w:spacing w:before="50" w:after="50" w:line="252" w:lineRule="auto"/>
              <w:ind w:firstLine="0"/>
            </w:pPr>
            <w:r>
              <w:rPr>
                <w:sz w:val="20"/>
              </w:rPr>
              <w:t>E. coli: 8, 2 (25%) | TC: 7, 3 (42.9%)</w:t>
            </w:r>
          </w:p>
        </w:tc>
        <w:tc>
          <w:tcPr>
            <w:tcW w:type="dxa" w:w="2077"/>
            <w:vAlign w:val="center"/>
          </w:tcPr>
          <w:p>
            <w:pPr>
              <w:spacing w:before="50" w:after="50" w:line="252" w:lineRule="auto"/>
              <w:ind w:firstLine="0"/>
            </w:pPr>
            <w:r>
              <w:rPr>
                <w:sz w:val="20"/>
              </w:rPr>
              <w:t>Sample-level microbial testing covers 2.6% of corpus; Lucknow has 2 E. coli (8, 20) &amp; 3 TC (46, 80, 80) hits.</w:t>
            </w:r>
          </w:p>
        </w:tc>
      </w:tr>
    </w:tbl>
    <w:p>
      <w:pPr>
        <w:spacing w:before="0" w:after="80"/>
      </w:pPr>
    </w:p>
    <w:p>
      <w:pPr>
        <w:keepNext/>
        <w:spacing w:before="220" w:after="80"/>
        <w:ind w:firstLine="0"/>
      </w:pPr>
      <w:r>
        <w:rPr>
          <w:b/>
          <w:color w:val="002147"/>
          <w:sz w:val="24"/>
        </w:rPr>
        <w:t>4.3 Full 113-District Multi-Tier BIS Risk Triage Results (UP 75 + Bihar 38)</w:t>
      </w:r>
    </w:p>
    <w:p>
      <w:pPr>
        <w:spacing w:line="324" w:lineRule="auto" w:before="0" w:after="120"/>
        <w:ind w:firstLine="504"/>
        <w:jc w:val="both"/>
      </w:pPr>
      <w:r>
        <w:rPr>
          <w:sz w:val="23"/>
        </w:rPr>
        <w:t>Executing the four-tier fusion engine (scripts/build_full_113_district_triage.py) across all 113 canonical districts eliminates the geographic blind spots of the 2022 laboratory sample crawl. Table 5 summarizes the 113-district severity distribution and top-ranked intervention priorities.</w:t>
      </w:r>
    </w:p>
    <w:tbl>
      <w:tblPr>
        <w:tblW w:type="auto" w:w="0"/>
        <w:jc w:val="center"/>
        <w:tblLook w:firstColumn="1" w:firstRow="1" w:lastColumn="0" w:lastRow="0" w:noHBand="0" w:noVBand="1" w:val="04A0"/>
      </w:tblPr>
      <w:tblGrid>
        <w:gridCol w:w="1385"/>
        <w:gridCol w:w="1385"/>
        <w:gridCol w:w="1385"/>
        <w:gridCol w:w="1385"/>
        <w:gridCol w:w="1385"/>
        <w:gridCol w:w="1385"/>
      </w:tblGrid>
      <w:tr>
        <w:trPr>
          <w:tblHeader/>
        </w:trPr>
        <w:tc>
          <w:tcPr>
            <w:tcW w:type="dxa" w:w="1385"/>
            <w:vAlign w:val="center"/>
            <w:shd w:fill="002147"/>
          </w:tcPr>
          <w:p>
            <w:pPr>
              <w:keepNext/>
              <w:spacing w:before="60" w:after="60" w:line="252" w:lineRule="auto"/>
              <w:ind w:firstLine="0"/>
            </w:pPr>
            <w:r>
              <w:rPr>
                <w:b/>
                <w:color w:val="FFFFFF"/>
                <w:sz w:val="20"/>
              </w:rPr>
              <w:t>Jurisdiction / Triage Category</w:t>
            </w:r>
          </w:p>
        </w:tc>
        <w:tc>
          <w:tcPr>
            <w:tcW w:type="dxa" w:w="1385"/>
            <w:vAlign w:val="center"/>
            <w:shd w:fill="002147"/>
          </w:tcPr>
          <w:p>
            <w:pPr>
              <w:keepNext/>
              <w:spacing w:before="60" w:after="60" w:line="252" w:lineRule="auto"/>
              <w:ind w:firstLine="0"/>
            </w:pPr>
            <w:r>
              <w:rPr>
                <w:b/>
                <w:color w:val="FFFFFF"/>
                <w:sz w:val="20"/>
              </w:rPr>
              <w:t>Critical Districts</w:t>
            </w:r>
          </w:p>
        </w:tc>
        <w:tc>
          <w:tcPr>
            <w:tcW w:type="dxa" w:w="1385"/>
            <w:vAlign w:val="center"/>
            <w:shd w:fill="002147"/>
          </w:tcPr>
          <w:p>
            <w:pPr>
              <w:keepNext/>
              <w:spacing w:before="60" w:after="60" w:line="252" w:lineRule="auto"/>
              <w:ind w:firstLine="0"/>
            </w:pPr>
            <w:r>
              <w:rPr>
                <w:b/>
                <w:color w:val="FFFFFF"/>
                <w:sz w:val="20"/>
              </w:rPr>
              <w:t>High Districts</w:t>
            </w:r>
          </w:p>
        </w:tc>
        <w:tc>
          <w:tcPr>
            <w:tcW w:type="dxa" w:w="1385"/>
            <w:vAlign w:val="center"/>
            <w:shd w:fill="002147"/>
          </w:tcPr>
          <w:p>
            <w:pPr>
              <w:keepNext/>
              <w:spacing w:before="60" w:after="60" w:line="252" w:lineRule="auto"/>
              <w:ind w:firstLine="0"/>
            </w:pPr>
            <w:r>
              <w:rPr>
                <w:b/>
                <w:color w:val="FFFFFF"/>
                <w:sz w:val="20"/>
              </w:rPr>
              <w:t>Medium Districts</w:t>
            </w:r>
          </w:p>
        </w:tc>
        <w:tc>
          <w:tcPr>
            <w:tcW w:type="dxa" w:w="1385"/>
            <w:vAlign w:val="center"/>
            <w:shd w:fill="002147"/>
          </w:tcPr>
          <w:p>
            <w:pPr>
              <w:keepNext/>
              <w:spacing w:before="60" w:after="60" w:line="252" w:lineRule="auto"/>
              <w:ind w:firstLine="0"/>
            </w:pPr>
            <w:r>
              <w:rPr>
                <w:b/>
                <w:color w:val="FFFFFF"/>
                <w:sz w:val="20"/>
              </w:rPr>
              <w:t>Low Districts</w:t>
            </w:r>
          </w:p>
        </w:tc>
        <w:tc>
          <w:tcPr>
            <w:tcW w:type="dxa" w:w="1385"/>
            <w:vAlign w:val="center"/>
            <w:shd w:fill="002147"/>
          </w:tcPr>
          <w:p>
            <w:pPr>
              <w:keepNext/>
              <w:spacing w:before="60" w:after="60" w:line="252" w:lineRule="auto"/>
              <w:ind w:firstLine="0"/>
            </w:pPr>
            <w:r>
              <w:rPr>
                <w:b/>
                <w:color w:val="FFFFFF"/>
                <w:sz w:val="20"/>
              </w:rPr>
              <w:t>Primary Contamination Drivers &amp; Override Breakdown</w:t>
            </w:r>
          </w:p>
        </w:tc>
      </w:tr>
      <w:tr>
        <w:trPr>
          <w:cantSplit/>
        </w:trPr>
        <w:tc>
          <w:tcPr>
            <w:tcW w:type="dxa" w:w="1385"/>
            <w:vAlign w:val="center"/>
          </w:tcPr>
          <w:p>
            <w:pPr>
              <w:spacing w:before="50" w:after="50" w:line="252" w:lineRule="auto"/>
              <w:ind w:firstLine="0"/>
            </w:pPr>
            <w:r>
              <w:rPr>
                <w:b/>
                <w:sz w:val="20"/>
              </w:rPr>
              <w:t>Combined 113-District Corpus (100% Coverage)</w:t>
            </w:r>
          </w:p>
        </w:tc>
        <w:tc>
          <w:tcPr>
            <w:tcW w:type="dxa" w:w="1385"/>
            <w:vAlign w:val="center"/>
          </w:tcPr>
          <w:p>
            <w:pPr>
              <w:spacing w:before="50" w:after="50" w:line="252" w:lineRule="auto"/>
              <w:ind w:firstLine="0"/>
            </w:pPr>
            <w:r>
              <w:rPr>
                <w:sz w:val="20"/>
              </w:rPr>
              <w:t>46 (40.7%)</w:t>
            </w:r>
          </w:p>
        </w:tc>
        <w:tc>
          <w:tcPr>
            <w:tcW w:type="dxa" w:w="1385"/>
            <w:vAlign w:val="center"/>
          </w:tcPr>
          <w:p>
            <w:pPr>
              <w:spacing w:before="50" w:after="50" w:line="252" w:lineRule="auto"/>
              <w:ind w:firstLine="0"/>
            </w:pPr>
            <w:r>
              <w:rPr>
                <w:sz w:val="20"/>
              </w:rPr>
              <w:t>27 (23.9%)</w:t>
            </w:r>
          </w:p>
        </w:tc>
        <w:tc>
          <w:tcPr>
            <w:tcW w:type="dxa" w:w="1385"/>
            <w:vAlign w:val="center"/>
          </w:tcPr>
          <w:p>
            <w:pPr>
              <w:spacing w:before="50" w:after="50" w:line="252" w:lineRule="auto"/>
              <w:ind w:firstLine="0"/>
            </w:pPr>
            <w:r>
              <w:rPr>
                <w:sz w:val="20"/>
              </w:rPr>
              <w:t>19 (16.8%)</w:t>
            </w:r>
          </w:p>
        </w:tc>
        <w:tc>
          <w:tcPr>
            <w:tcW w:type="dxa" w:w="1385"/>
            <w:vAlign w:val="center"/>
          </w:tcPr>
          <w:p>
            <w:pPr>
              <w:spacing w:before="50" w:after="50" w:line="252" w:lineRule="auto"/>
              <w:ind w:firstLine="0"/>
            </w:pPr>
            <w:r>
              <w:rPr>
                <w:sz w:val="20"/>
              </w:rPr>
              <w:t>21 (18.6%)</w:t>
            </w:r>
          </w:p>
        </w:tc>
        <w:tc>
          <w:tcPr>
            <w:tcW w:type="dxa" w:w="1385"/>
            <w:vAlign w:val="center"/>
          </w:tcPr>
          <w:p>
            <w:pPr>
              <w:spacing w:before="50" w:after="50" w:line="252" w:lineRule="auto"/>
              <w:ind w:firstLine="0"/>
            </w:pPr>
            <w:r>
              <w:rPr>
                <w:sz w:val="20"/>
              </w:rPr>
              <w:t>32 Pathogen Overrides (E. coli &gt; 0) + 13 Arsenic Escalations + 1 Score-Driven Critical (Purnia, 41.10).</w:t>
            </w:r>
          </w:p>
        </w:tc>
      </w:tr>
      <w:tr>
        <w:trPr>
          <w:cantSplit/>
        </w:trPr>
        <w:tc>
          <w:tcPr>
            <w:tcW w:type="dxa" w:w="1385"/>
            <w:vAlign w:val="center"/>
            <w:shd w:fill="F4F7FA"/>
          </w:tcPr>
          <w:p>
            <w:pPr>
              <w:spacing w:before="50" w:after="50" w:line="252" w:lineRule="auto"/>
              <w:ind w:firstLine="0"/>
            </w:pPr>
            <w:r>
              <w:rPr>
                <w:b/>
                <w:sz w:val="20"/>
              </w:rPr>
              <w:t>Uttar Pradesh (75 Canonical Districts)</w:t>
            </w:r>
          </w:p>
        </w:tc>
        <w:tc>
          <w:tcPr>
            <w:tcW w:type="dxa" w:w="1385"/>
            <w:vAlign w:val="center"/>
            <w:shd w:fill="F4F7FA"/>
          </w:tcPr>
          <w:p>
            <w:pPr>
              <w:spacing w:before="50" w:after="50" w:line="252" w:lineRule="auto"/>
              <w:ind w:firstLine="0"/>
            </w:pPr>
            <w:r>
              <w:rPr>
                <w:sz w:val="20"/>
              </w:rPr>
              <w:t>32 (42.7%)</w:t>
            </w:r>
          </w:p>
        </w:tc>
        <w:tc>
          <w:tcPr>
            <w:tcW w:type="dxa" w:w="1385"/>
            <w:vAlign w:val="center"/>
            <w:shd w:fill="F4F7FA"/>
          </w:tcPr>
          <w:p>
            <w:pPr>
              <w:spacing w:before="50" w:after="50" w:line="252" w:lineRule="auto"/>
              <w:ind w:firstLine="0"/>
            </w:pPr>
            <w:r>
              <w:rPr>
                <w:sz w:val="20"/>
              </w:rPr>
              <w:t>18 (24.0%)</w:t>
            </w:r>
          </w:p>
        </w:tc>
        <w:tc>
          <w:tcPr>
            <w:tcW w:type="dxa" w:w="1385"/>
            <w:vAlign w:val="center"/>
            <w:shd w:fill="F4F7FA"/>
          </w:tcPr>
          <w:p>
            <w:pPr>
              <w:spacing w:before="50" w:after="50" w:line="252" w:lineRule="auto"/>
              <w:ind w:firstLine="0"/>
            </w:pPr>
            <w:r>
              <w:rPr>
                <w:sz w:val="20"/>
              </w:rPr>
              <w:t>13 (17.3%)</w:t>
            </w:r>
          </w:p>
        </w:tc>
        <w:tc>
          <w:tcPr>
            <w:tcW w:type="dxa" w:w="1385"/>
            <w:vAlign w:val="center"/>
            <w:shd w:fill="F4F7FA"/>
          </w:tcPr>
          <w:p>
            <w:pPr>
              <w:spacing w:before="50" w:after="50" w:line="252" w:lineRule="auto"/>
              <w:ind w:firstLine="0"/>
            </w:pPr>
            <w:r>
              <w:rPr>
                <w:sz w:val="20"/>
              </w:rPr>
              <w:t>12 (16.0%)</w:t>
            </w:r>
          </w:p>
        </w:tc>
        <w:tc>
          <w:tcPr>
            <w:tcW w:type="dxa" w:w="1385"/>
            <w:vAlign w:val="center"/>
            <w:shd w:fill="F4F7FA"/>
          </w:tcPr>
          <w:p>
            <w:pPr>
              <w:spacing w:before="50" w:after="50" w:line="252" w:lineRule="auto"/>
              <w:ind w:firstLine="0"/>
            </w:pPr>
            <w:r>
              <w:rPr>
                <w:sz w:val="20"/>
              </w:rPr>
              <w:t>27 Pathogen Overrides (26 WQ6 E. coli districts + Lucknow lab hit) + 3 Arsenic Escalations (Bahraich, Ballia, Lakhimpur Kheri) + 2 Score/Multi-contaminant.</w:t>
            </w:r>
          </w:p>
        </w:tc>
      </w:tr>
      <w:tr>
        <w:trPr>
          <w:cantSplit/>
        </w:trPr>
        <w:tc>
          <w:tcPr>
            <w:tcW w:type="dxa" w:w="1385"/>
            <w:vAlign w:val="center"/>
          </w:tcPr>
          <w:p>
            <w:pPr>
              <w:spacing w:before="50" w:after="50" w:line="252" w:lineRule="auto"/>
              <w:ind w:firstLine="0"/>
            </w:pPr>
            <w:r>
              <w:rPr>
                <w:b/>
                <w:sz w:val="20"/>
              </w:rPr>
              <w:t>Bihar (38 Canonical Districts)</w:t>
            </w:r>
          </w:p>
        </w:tc>
        <w:tc>
          <w:tcPr>
            <w:tcW w:type="dxa" w:w="1385"/>
            <w:vAlign w:val="center"/>
          </w:tcPr>
          <w:p>
            <w:pPr>
              <w:spacing w:before="50" w:after="50" w:line="252" w:lineRule="auto"/>
              <w:ind w:firstLine="0"/>
            </w:pPr>
            <w:r>
              <w:rPr>
                <w:sz w:val="20"/>
              </w:rPr>
              <w:t>14 (36.8%)</w:t>
            </w:r>
          </w:p>
        </w:tc>
        <w:tc>
          <w:tcPr>
            <w:tcW w:type="dxa" w:w="1385"/>
            <w:vAlign w:val="center"/>
          </w:tcPr>
          <w:p>
            <w:pPr>
              <w:spacing w:before="50" w:after="50" w:line="252" w:lineRule="auto"/>
              <w:ind w:firstLine="0"/>
            </w:pPr>
            <w:r>
              <w:rPr>
                <w:sz w:val="20"/>
              </w:rPr>
              <w:t>9 (23.7%)</w:t>
            </w:r>
          </w:p>
        </w:tc>
        <w:tc>
          <w:tcPr>
            <w:tcW w:type="dxa" w:w="1385"/>
            <w:vAlign w:val="center"/>
          </w:tcPr>
          <w:p>
            <w:pPr>
              <w:spacing w:before="50" w:after="50" w:line="252" w:lineRule="auto"/>
              <w:ind w:firstLine="0"/>
            </w:pPr>
            <w:r>
              <w:rPr>
                <w:sz w:val="20"/>
              </w:rPr>
              <w:t>6 (15.8%)</w:t>
            </w:r>
          </w:p>
        </w:tc>
        <w:tc>
          <w:tcPr>
            <w:tcW w:type="dxa" w:w="1385"/>
            <w:vAlign w:val="center"/>
          </w:tcPr>
          <w:p>
            <w:pPr>
              <w:spacing w:before="50" w:after="50" w:line="252" w:lineRule="auto"/>
              <w:ind w:firstLine="0"/>
            </w:pPr>
            <w:r>
              <w:rPr>
                <w:sz w:val="20"/>
              </w:rPr>
              <w:t>9 (23.7%)</w:t>
            </w:r>
          </w:p>
        </w:tc>
        <w:tc>
          <w:tcPr>
            <w:tcW w:type="dxa" w:w="1385"/>
            <w:vAlign w:val="center"/>
          </w:tcPr>
          <w:p>
            <w:pPr>
              <w:spacing w:before="50" w:after="50" w:line="252" w:lineRule="auto"/>
              <w:ind w:firstLine="0"/>
            </w:pPr>
            <w:r>
              <w:rPr>
                <w:sz w:val="20"/>
              </w:rPr>
              <w:t>5 Pathogen Overrides (WQ6 E. coli) + 10 Arsenic Escalations (Bhagalpur [83 WQ6 vil.], Begusarai [68], Darbhanga [41], Samastipur [19], Buxar, Bhojpur, etc.) + Purnia.</w:t>
            </w:r>
          </w:p>
        </w:tc>
      </w:tr>
      <w:tr>
        <w:trPr>
          <w:cantSplit/>
        </w:trPr>
        <w:tc>
          <w:tcPr>
            <w:tcW w:type="dxa" w:w="1385"/>
            <w:vAlign w:val="center"/>
            <w:shd w:fill="F4F7FA"/>
          </w:tcPr>
          <w:p>
            <w:pPr>
              <w:spacing w:before="50" w:after="50" w:line="252" w:lineRule="auto"/>
              <w:ind w:firstLine="0"/>
            </w:pPr>
            <w:r>
              <w:rPr>
                <w:b/>
                <w:sz w:val="20"/>
              </w:rPr>
              <w:t>Top 5 Ranked UP Districts (Unified Score)</w:t>
            </w:r>
          </w:p>
        </w:tc>
        <w:tc>
          <w:tcPr>
            <w:tcW w:type="dxa" w:w="1385"/>
            <w:vAlign w:val="center"/>
            <w:shd w:fill="F4F7FA"/>
          </w:tcPr>
          <w:p>
            <w:pPr>
              <w:spacing w:before="50" w:after="50" w:line="252" w:lineRule="auto"/>
              <w:ind w:firstLine="0"/>
            </w:pPr>
            <w:r>
              <w:rPr>
                <w:sz w:val="20"/>
              </w:rPr>
              <w:t>Budaun (#1, 82.61)</w:t>
            </w:r>
          </w:p>
        </w:tc>
        <w:tc>
          <w:tcPr>
            <w:tcW w:type="dxa" w:w="1385"/>
            <w:vAlign w:val="center"/>
            <w:shd w:fill="F4F7FA"/>
          </w:tcPr>
          <w:p>
            <w:pPr>
              <w:spacing w:before="50" w:after="50" w:line="252" w:lineRule="auto"/>
              <w:ind w:firstLine="0"/>
            </w:pPr>
            <w:r>
              <w:rPr>
                <w:sz w:val="20"/>
              </w:rPr>
              <w:t>Bijnor (#2, 77.79)</w:t>
            </w:r>
          </w:p>
        </w:tc>
        <w:tc>
          <w:tcPr>
            <w:tcW w:type="dxa" w:w="1385"/>
            <w:vAlign w:val="center"/>
            <w:shd w:fill="F4F7FA"/>
          </w:tcPr>
          <w:p>
            <w:pPr>
              <w:spacing w:before="50" w:after="50" w:line="252" w:lineRule="auto"/>
              <w:ind w:firstLine="0"/>
            </w:pPr>
            <w:r>
              <w:rPr>
                <w:sz w:val="20"/>
              </w:rPr>
              <w:t>Hardoi (#3, 76.24)</w:t>
            </w:r>
          </w:p>
        </w:tc>
        <w:tc>
          <w:tcPr>
            <w:tcW w:type="dxa" w:w="1385"/>
            <w:vAlign w:val="center"/>
            <w:shd w:fill="F4F7FA"/>
          </w:tcPr>
          <w:p>
            <w:pPr>
              <w:spacing w:before="50" w:after="50" w:line="252" w:lineRule="auto"/>
              <w:ind w:firstLine="0"/>
            </w:pPr>
            <w:r>
              <w:rPr>
                <w:sz w:val="20"/>
              </w:rPr>
              <w:t>Unnao (#4, 76.19)</w:t>
            </w:r>
          </w:p>
        </w:tc>
        <w:tc>
          <w:tcPr>
            <w:tcW w:type="dxa" w:w="1385"/>
            <w:vAlign w:val="center"/>
            <w:shd w:fill="F4F7FA"/>
          </w:tcPr>
          <w:p>
            <w:pPr>
              <w:spacing w:before="50" w:after="50" w:line="252" w:lineRule="auto"/>
              <w:ind w:firstLine="0"/>
            </w:pPr>
            <w:r>
              <w:rPr>
                <w:sz w:val="20"/>
              </w:rPr>
              <w:t>Mirzapur (#5, 76.18) — Driven by acute WQ6 E. coli &amp; Total Coliform village contamination plus fluoride/iron load.</w:t>
            </w:r>
          </w:p>
        </w:tc>
      </w:tr>
      <w:tr>
        <w:trPr>
          <w:cantSplit/>
        </w:trPr>
        <w:tc>
          <w:tcPr>
            <w:tcW w:type="dxa" w:w="1385"/>
            <w:vAlign w:val="center"/>
          </w:tcPr>
          <w:p>
            <w:pPr>
              <w:spacing w:before="50" w:after="50" w:line="252" w:lineRule="auto"/>
              <w:ind w:firstLine="0"/>
            </w:pPr>
            <w:r>
              <w:rPr>
                <w:b/>
                <w:sz w:val="20"/>
              </w:rPr>
              <w:t>Top 5 Ranked Bihar Districts (Unified Score)</w:t>
            </w:r>
          </w:p>
        </w:tc>
        <w:tc>
          <w:tcPr>
            <w:tcW w:type="dxa" w:w="1385"/>
            <w:vAlign w:val="center"/>
          </w:tcPr>
          <w:p>
            <w:pPr>
              <w:spacing w:before="50" w:after="50" w:line="252" w:lineRule="auto"/>
              <w:ind w:firstLine="0"/>
            </w:pPr>
            <w:r>
              <w:rPr>
                <w:sz w:val="20"/>
              </w:rPr>
              <w:t>Muzaffarpur (#22, 65.56)</w:t>
            </w:r>
          </w:p>
        </w:tc>
        <w:tc>
          <w:tcPr>
            <w:tcW w:type="dxa" w:w="1385"/>
            <w:vAlign w:val="center"/>
          </w:tcPr>
          <w:p>
            <w:pPr>
              <w:spacing w:before="50" w:after="50" w:line="252" w:lineRule="auto"/>
              <w:ind w:firstLine="0"/>
            </w:pPr>
            <w:r>
              <w:rPr>
                <w:sz w:val="20"/>
              </w:rPr>
              <w:t>Purnia (#33, 41.10)</w:t>
            </w:r>
          </w:p>
        </w:tc>
        <w:tc>
          <w:tcPr>
            <w:tcW w:type="dxa" w:w="1385"/>
            <w:vAlign w:val="center"/>
          </w:tcPr>
          <w:p>
            <w:pPr>
              <w:spacing w:before="50" w:after="50" w:line="252" w:lineRule="auto"/>
              <w:ind w:firstLine="0"/>
            </w:pPr>
            <w:r>
              <w:rPr>
                <w:sz w:val="20"/>
              </w:rPr>
              <w:t>Supaul (#34, 65.24)</w:t>
            </w:r>
          </w:p>
        </w:tc>
        <w:tc>
          <w:tcPr>
            <w:tcW w:type="dxa" w:w="1385"/>
            <w:vAlign w:val="center"/>
          </w:tcPr>
          <w:p>
            <w:pPr>
              <w:spacing w:before="50" w:after="50" w:line="252" w:lineRule="auto"/>
              <w:ind w:firstLine="0"/>
            </w:pPr>
            <w:r>
              <w:rPr>
                <w:sz w:val="20"/>
              </w:rPr>
              <w:t>Begusarai (#35, 65.20)</w:t>
            </w:r>
          </w:p>
        </w:tc>
        <w:tc>
          <w:tcPr>
            <w:tcW w:type="dxa" w:w="1385"/>
            <w:vAlign w:val="center"/>
          </w:tcPr>
          <w:p>
            <w:pPr>
              <w:spacing w:before="50" w:after="50" w:line="252" w:lineRule="auto"/>
              <w:ind w:firstLine="0"/>
            </w:pPr>
            <w:r>
              <w:rPr>
                <w:sz w:val="20"/>
              </w:rPr>
              <w:t>Bhagalpur (#36, 65.17) — Driven by Kosi-basin iron/coliform and Gangetic arsenic/fluoride hotspots.</w:t>
            </w:r>
          </w:p>
        </w:tc>
      </w:tr>
    </w:tbl>
    <w:p>
      <w:pPr>
        <w:spacing w:before="0" w:after="80"/>
      </w:pPr>
    </w:p>
    <w:p>
      <w:pPr>
        <w:keepNext/>
        <w:spacing w:before="220" w:after="80"/>
        <w:ind w:firstLine="0"/>
      </w:pPr>
      <w:r>
        <w:rPr>
          <w:b/>
          <w:color w:val="002147"/>
          <w:sz w:val="24"/>
        </w:rPr>
        <w:t>4.4 Four-Way External Validation (VP-1..VP-4) &amp; Exploratory Registry Correlation</w:t>
      </w:r>
    </w:p>
    <w:p>
      <w:pPr>
        <w:spacing w:line="324" w:lineRule="auto" w:before="0" w:after="120"/>
        <w:ind w:firstLine="504"/>
        <w:jc w:val="both"/>
      </w:pPr>
      <w:r>
        <w:rPr>
          <w:sz w:val="23"/>
        </w:rPr>
        <w:t>To verify that WaterTriage risk scores reflect physical hydrogeochemical reality rather than single-dataset artifacts, Table 6 documents four cross-dataset triangulation proofs (VP-1 through VP-4) implemented in backend/app/api/validation.py and dashboard Variant D, while Table 7 reports the exploratory district-level Spearman rank correlations (rho) between the 2022 laboratory exceedance rates and the 2009–2012 IMIS registry across districts with n &gt;= 5 tested samples.</w:t>
      </w:r>
    </w:p>
    <w:tbl>
      <w:tblPr>
        <w:tblW w:type="auto" w:w="0"/>
        <w:jc w:val="center"/>
        <w:tblLook w:firstColumn="1" w:firstRow="1" w:lastColumn="0" w:lastRow="0" w:noHBand="0" w:noVBand="1" w:val="04A0"/>
      </w:tblPr>
      <w:tblGrid>
        <w:gridCol w:w="1662"/>
        <w:gridCol w:w="1662"/>
        <w:gridCol w:w="1662"/>
        <w:gridCol w:w="1662"/>
        <w:gridCol w:w="1662"/>
      </w:tblGrid>
      <w:tr>
        <w:trPr>
          <w:tblHeader/>
        </w:trPr>
        <w:tc>
          <w:tcPr>
            <w:tcW w:type="dxa" w:w="1662"/>
            <w:vAlign w:val="center"/>
            <w:shd w:fill="002147"/>
          </w:tcPr>
          <w:p>
            <w:pPr>
              <w:keepNext/>
              <w:spacing w:before="60" w:after="60" w:line="252" w:lineRule="auto"/>
              <w:ind w:firstLine="0"/>
            </w:pPr>
            <w:r>
              <w:rPr>
                <w:b/>
                <w:color w:val="FFFFFF"/>
                <w:sz w:val="20"/>
              </w:rPr>
              <w:t>Validation ID &amp; Target</w:t>
            </w:r>
          </w:p>
        </w:tc>
        <w:tc>
          <w:tcPr>
            <w:tcW w:type="dxa" w:w="1662"/>
            <w:vAlign w:val="center"/>
            <w:shd w:fill="002147"/>
          </w:tcPr>
          <w:p>
            <w:pPr>
              <w:keepNext/>
              <w:spacing w:before="60" w:after="60" w:line="252" w:lineRule="auto"/>
              <w:ind w:firstLine="0"/>
            </w:pPr>
            <w:r>
              <w:rPr>
                <w:b/>
                <w:color w:val="FFFFFF"/>
                <w:sz w:val="20"/>
              </w:rPr>
              <w:t>Parameter</w:t>
            </w:r>
          </w:p>
        </w:tc>
        <w:tc>
          <w:tcPr>
            <w:tcW w:type="dxa" w:w="1662"/>
            <w:vAlign w:val="center"/>
            <w:shd w:fill="002147"/>
          </w:tcPr>
          <w:p>
            <w:pPr>
              <w:keepNext/>
              <w:spacing w:before="60" w:after="60" w:line="252" w:lineRule="auto"/>
              <w:ind w:firstLine="0"/>
            </w:pPr>
            <w:r>
              <w:rPr>
                <w:b/>
                <w:color w:val="FFFFFF"/>
                <w:sz w:val="20"/>
              </w:rPr>
              <w:t>Tier 1 (2022 WQMIS Lab Corpus) Finding</w:t>
            </w:r>
          </w:p>
        </w:tc>
        <w:tc>
          <w:tcPr>
            <w:tcW w:type="dxa" w:w="1662"/>
            <w:vAlign w:val="center"/>
            <w:shd w:fill="002147"/>
          </w:tcPr>
          <w:p>
            <w:pPr>
              <w:keepNext/>
              <w:spacing w:before="60" w:after="60" w:line="252" w:lineRule="auto"/>
              <w:ind w:firstLine="0"/>
            </w:pPr>
            <w:r>
              <w:rPr>
                <w:b/>
                <w:color w:val="FFFFFF"/>
                <w:sz w:val="20"/>
              </w:rPr>
              <w:t>Tier 2 (Form WQ6) &amp; Tier 3 (IMIS 2009–2012) Ground Truth</w:t>
            </w:r>
          </w:p>
        </w:tc>
        <w:tc>
          <w:tcPr>
            <w:tcW w:type="dxa" w:w="1662"/>
            <w:vAlign w:val="center"/>
            <w:shd w:fill="002147"/>
          </w:tcPr>
          <w:p>
            <w:pPr>
              <w:keepNext/>
              <w:spacing w:before="60" w:after="60" w:line="252" w:lineRule="auto"/>
              <w:ind w:firstLine="0"/>
            </w:pPr>
            <w:r>
              <w:rPr>
                <w:b/>
                <w:color w:val="FFFFFF"/>
                <w:sz w:val="20"/>
              </w:rPr>
              <w:t>Triangulation Verdict</w:t>
            </w:r>
          </w:p>
        </w:tc>
      </w:tr>
      <w:tr>
        <w:trPr>
          <w:cantSplit/>
        </w:trPr>
        <w:tc>
          <w:tcPr>
            <w:tcW w:type="dxa" w:w="1662"/>
            <w:vAlign w:val="center"/>
          </w:tcPr>
          <w:p>
            <w:pPr>
              <w:spacing w:before="50" w:after="50" w:line="252" w:lineRule="auto"/>
              <w:ind w:firstLine="0"/>
            </w:pPr>
            <w:r>
              <w:rPr>
                <w:b/>
                <w:sz w:val="20"/>
              </w:rPr>
              <w:t>VP-1: Madhepura (Bihar)</w:t>
            </w:r>
          </w:p>
        </w:tc>
        <w:tc>
          <w:tcPr>
            <w:tcW w:type="dxa" w:w="1662"/>
            <w:vAlign w:val="center"/>
          </w:tcPr>
          <w:p>
            <w:pPr>
              <w:spacing w:before="50" w:after="50" w:line="252" w:lineRule="auto"/>
              <w:ind w:firstLine="0"/>
            </w:pPr>
            <w:r>
              <w:rPr>
                <w:sz w:val="20"/>
              </w:rPr>
              <w:t>Iron (&gt; 0.3 mg/L)</w:t>
            </w:r>
          </w:p>
        </w:tc>
        <w:tc>
          <w:tcPr>
            <w:tcW w:type="dxa" w:w="1662"/>
            <w:vAlign w:val="center"/>
          </w:tcPr>
          <w:p>
            <w:pPr>
              <w:spacing w:before="50" w:after="50" w:line="252" w:lineRule="auto"/>
              <w:ind w:firstLine="0"/>
            </w:pPr>
            <w:r>
              <w:rPr>
                <w:sz w:val="20"/>
              </w:rPr>
              <w:t>270 samples; 269 &gt; 0.3 mg/L (99.6%); 70 single-param iron panels.</w:t>
            </w:r>
          </w:p>
        </w:tc>
        <w:tc>
          <w:tcPr>
            <w:tcW w:type="dxa" w:w="1662"/>
            <w:vAlign w:val="center"/>
          </w:tcPr>
          <w:p>
            <w:pPr>
              <w:spacing w:before="50" w:after="50" w:line="252" w:lineRule="auto"/>
              <w:ind w:firstLine="0"/>
            </w:pPr>
            <w:r>
              <w:rPr>
                <w:sz w:val="20"/>
              </w:rPr>
              <w:t>WQ6: 241 Iron-affected villages | IMIS: 2,521 affected habitations.</w:t>
            </w:r>
          </w:p>
        </w:tc>
        <w:tc>
          <w:tcPr>
            <w:tcW w:type="dxa" w:w="1662"/>
            <w:vAlign w:val="center"/>
          </w:tcPr>
          <w:p>
            <w:pPr>
              <w:spacing w:before="50" w:after="50" w:line="252" w:lineRule="auto"/>
              <w:ind w:firstLine="0"/>
            </w:pPr>
            <w:r>
              <w:rPr>
                <w:sz w:val="20"/>
              </w:rPr>
              <w:t>CONFIRMED (p &lt; 0.001)</w:t>
            </w:r>
          </w:p>
        </w:tc>
      </w:tr>
      <w:tr>
        <w:trPr>
          <w:cantSplit/>
        </w:trPr>
        <w:tc>
          <w:tcPr>
            <w:tcW w:type="dxa" w:w="1662"/>
            <w:vAlign w:val="center"/>
            <w:shd w:fill="F4F7FA"/>
          </w:tcPr>
          <w:p>
            <w:pPr>
              <w:spacing w:before="50" w:after="50" w:line="252" w:lineRule="auto"/>
              <w:ind w:firstLine="0"/>
            </w:pPr>
            <w:r>
              <w:rPr>
                <w:b/>
                <w:sz w:val="20"/>
              </w:rPr>
              <w:t>VP-2a: Bahraich (Uttar Pradesh)</w:t>
            </w:r>
          </w:p>
        </w:tc>
        <w:tc>
          <w:tcPr>
            <w:tcW w:type="dxa" w:w="1662"/>
            <w:vAlign w:val="center"/>
            <w:shd w:fill="F4F7FA"/>
          </w:tcPr>
          <w:p>
            <w:pPr>
              <w:spacing w:before="50" w:after="50" w:line="252" w:lineRule="auto"/>
              <w:ind w:firstLine="0"/>
            </w:pPr>
            <w:r>
              <w:rPr>
                <w:sz w:val="20"/>
              </w:rPr>
              <w:t>Total Arsenic (&gt; 0.01 mg/L)</w:t>
            </w:r>
          </w:p>
        </w:tc>
        <w:tc>
          <w:tcPr>
            <w:tcW w:type="dxa" w:w="1662"/>
            <w:vAlign w:val="center"/>
            <w:shd w:fill="F4F7FA"/>
          </w:tcPr>
          <w:p>
            <w:pPr>
              <w:spacing w:before="50" w:after="50" w:line="252" w:lineRule="auto"/>
              <w:ind w:firstLine="0"/>
            </w:pPr>
            <w:r>
              <w:rPr>
                <w:sz w:val="20"/>
              </w:rPr>
              <w:t>Lab reports censored at 0.009 mg/L; escalated by multi-tier scorer.</w:t>
            </w:r>
          </w:p>
        </w:tc>
        <w:tc>
          <w:tcPr>
            <w:tcW w:type="dxa" w:w="1662"/>
            <w:vAlign w:val="center"/>
            <w:shd w:fill="F4F7FA"/>
          </w:tcPr>
          <w:p>
            <w:pPr>
              <w:spacing w:before="50" w:after="50" w:line="252" w:lineRule="auto"/>
              <w:ind w:firstLine="0"/>
            </w:pPr>
            <w:r>
              <w:rPr>
                <w:sz w:val="20"/>
              </w:rPr>
              <w:t>IMIS: 811 Arsenic habitations (#1 in UP) | WQ6: 21 Arsenic villages.</w:t>
            </w:r>
          </w:p>
        </w:tc>
        <w:tc>
          <w:tcPr>
            <w:tcW w:type="dxa" w:w="1662"/>
            <w:vAlign w:val="center"/>
            <w:shd w:fill="F4F7FA"/>
          </w:tcPr>
          <w:p>
            <w:pPr>
              <w:spacing w:before="50" w:after="50" w:line="252" w:lineRule="auto"/>
              <w:ind w:firstLine="0"/>
            </w:pPr>
            <w:r>
              <w:rPr>
                <w:sz w:val="20"/>
              </w:rPr>
              <w:t>CONFIRMED HOTSPOT</w:t>
            </w:r>
          </w:p>
        </w:tc>
      </w:tr>
      <w:tr>
        <w:trPr>
          <w:cantSplit/>
        </w:trPr>
        <w:tc>
          <w:tcPr>
            <w:tcW w:type="dxa" w:w="1662"/>
            <w:vAlign w:val="center"/>
          </w:tcPr>
          <w:p>
            <w:pPr>
              <w:spacing w:before="50" w:after="50" w:line="252" w:lineRule="auto"/>
              <w:ind w:firstLine="0"/>
            </w:pPr>
            <w:r>
              <w:rPr>
                <w:b/>
                <w:sz w:val="20"/>
              </w:rPr>
              <w:t>VP-2b: Begusarai &amp; Bhagalpur (Bihar)</w:t>
            </w:r>
          </w:p>
        </w:tc>
        <w:tc>
          <w:tcPr>
            <w:tcW w:type="dxa" w:w="1662"/>
            <w:vAlign w:val="center"/>
          </w:tcPr>
          <w:p>
            <w:pPr>
              <w:spacing w:before="50" w:after="50" w:line="252" w:lineRule="auto"/>
              <w:ind w:firstLine="0"/>
            </w:pPr>
            <w:r>
              <w:rPr>
                <w:sz w:val="20"/>
              </w:rPr>
              <w:t>Total Arsenic (&gt; 0.01 mg/L)</w:t>
            </w:r>
          </w:p>
        </w:tc>
        <w:tc>
          <w:tcPr>
            <w:tcW w:type="dxa" w:w="1662"/>
            <w:vAlign w:val="center"/>
          </w:tcPr>
          <w:p>
            <w:pPr>
              <w:spacing w:before="50" w:after="50" w:line="252" w:lineRule="auto"/>
              <w:ind w:firstLine="0"/>
            </w:pPr>
            <w:r>
              <w:rPr>
                <w:sz w:val="20"/>
              </w:rPr>
              <w:t>150/259 lab arsenic tests recorded as 0.0 (L794=69, L234=27).</w:t>
            </w:r>
          </w:p>
        </w:tc>
        <w:tc>
          <w:tcPr>
            <w:tcW w:type="dxa" w:w="1662"/>
            <w:vAlign w:val="center"/>
          </w:tcPr>
          <w:p>
            <w:pPr>
              <w:spacing w:before="50" w:after="50" w:line="252" w:lineRule="auto"/>
              <w:ind w:firstLine="0"/>
            </w:pPr>
            <w:r>
              <w:rPr>
                <w:sz w:val="20"/>
              </w:rPr>
              <w:t>WQ6: 83 Bhagalpur + 68 Begusarai Arsenic villages | IMIS: 465 habitations.</w:t>
            </w:r>
          </w:p>
        </w:tc>
        <w:tc>
          <w:tcPr>
            <w:tcW w:type="dxa" w:w="1662"/>
            <w:vAlign w:val="center"/>
          </w:tcPr>
          <w:p>
            <w:pPr>
              <w:spacing w:before="50" w:after="50" w:line="252" w:lineRule="auto"/>
              <w:ind w:firstLine="0"/>
            </w:pPr>
            <w:r>
              <w:rPr>
                <w:sz w:val="20"/>
              </w:rPr>
              <w:t>GAP CLOSED VIA WQ6</w:t>
            </w:r>
          </w:p>
        </w:tc>
      </w:tr>
      <w:tr>
        <w:trPr>
          <w:cantSplit/>
        </w:trPr>
        <w:tc>
          <w:tcPr>
            <w:tcW w:type="dxa" w:w="1662"/>
            <w:vAlign w:val="center"/>
            <w:shd w:fill="F4F7FA"/>
          </w:tcPr>
          <w:p>
            <w:pPr>
              <w:spacing w:before="50" w:after="50" w:line="252" w:lineRule="auto"/>
              <w:ind w:firstLine="0"/>
            </w:pPr>
            <w:r>
              <w:rPr>
                <w:b/>
                <w:sz w:val="20"/>
              </w:rPr>
              <w:t>VP-3: 32-District Pathogen Belt (UP &amp; Bihar)</w:t>
            </w:r>
          </w:p>
        </w:tc>
        <w:tc>
          <w:tcPr>
            <w:tcW w:type="dxa" w:w="1662"/>
            <w:vAlign w:val="center"/>
            <w:shd w:fill="F4F7FA"/>
          </w:tcPr>
          <w:p>
            <w:pPr>
              <w:spacing w:before="50" w:after="50" w:line="252" w:lineRule="auto"/>
              <w:ind w:firstLine="0"/>
            </w:pPr>
            <w:r>
              <w:rPr>
                <w:sz w:val="20"/>
              </w:rPr>
              <w:t>E. coli &amp; Coliform (0 CFU/100mL)</w:t>
            </w:r>
          </w:p>
        </w:tc>
        <w:tc>
          <w:tcPr>
            <w:tcW w:type="dxa" w:w="1662"/>
            <w:vAlign w:val="center"/>
            <w:shd w:fill="F4F7FA"/>
          </w:tcPr>
          <w:p>
            <w:pPr>
              <w:spacing w:before="50" w:after="50" w:line="252" w:lineRule="auto"/>
              <w:ind w:firstLine="0"/>
            </w:pPr>
            <w:r>
              <w:rPr>
                <w:sz w:val="20"/>
              </w:rPr>
              <w:t>Only Lucknow had non-zero E. coli in 2022 crawl (20.0 &amp; 8.0 CFU/100mL).</w:t>
            </w:r>
          </w:p>
        </w:tc>
        <w:tc>
          <w:tcPr>
            <w:tcW w:type="dxa" w:w="1662"/>
            <w:vAlign w:val="center"/>
            <w:shd w:fill="F4F7FA"/>
          </w:tcPr>
          <w:p>
            <w:pPr>
              <w:spacing w:before="50" w:after="50" w:line="252" w:lineRule="auto"/>
              <w:ind w:firstLine="0"/>
            </w:pPr>
            <w:r>
              <w:rPr>
                <w:sz w:val="20"/>
              </w:rPr>
              <w:t>WQ6: 31 districts (26 UP + 5 Bihar) with 133 E. coli &amp; 204 TC villages.</w:t>
            </w:r>
          </w:p>
        </w:tc>
        <w:tc>
          <w:tcPr>
            <w:tcW w:type="dxa" w:w="1662"/>
            <w:vAlign w:val="center"/>
            <w:shd w:fill="F4F7FA"/>
          </w:tcPr>
          <w:p>
            <w:pPr>
              <w:spacing w:before="50" w:after="50" w:line="252" w:lineRule="auto"/>
              <w:ind w:firstLine="0"/>
            </w:pPr>
            <w:r>
              <w:rPr>
                <w:sz w:val="20"/>
              </w:rPr>
              <w:t>32 PATHOGEN OVERRIDES</w:t>
            </w:r>
          </w:p>
        </w:tc>
      </w:tr>
      <w:tr>
        <w:trPr>
          <w:cantSplit/>
        </w:trPr>
        <w:tc>
          <w:tcPr>
            <w:tcW w:type="dxa" w:w="1662"/>
            <w:vAlign w:val="center"/>
          </w:tcPr>
          <w:p>
            <w:pPr>
              <w:spacing w:before="50" w:after="50" w:line="252" w:lineRule="auto"/>
              <w:ind w:firstLine="0"/>
            </w:pPr>
            <w:r>
              <w:rPr>
                <w:b/>
                <w:sz w:val="20"/>
              </w:rPr>
              <w:t>VP-4: Rae Bareli (Lab L405) &amp; Agra (UP)</w:t>
            </w:r>
          </w:p>
        </w:tc>
        <w:tc>
          <w:tcPr>
            <w:tcW w:type="dxa" w:w="1662"/>
            <w:vAlign w:val="center"/>
          </w:tcPr>
          <w:p>
            <w:pPr>
              <w:spacing w:before="50" w:after="50" w:line="252" w:lineRule="auto"/>
              <w:ind w:firstLine="0"/>
            </w:pPr>
            <w:r>
              <w:rPr>
                <w:sz w:val="20"/>
              </w:rPr>
              <w:t>Fluoride (&gt; 1.5 mg/L)</w:t>
            </w:r>
          </w:p>
        </w:tc>
        <w:tc>
          <w:tcPr>
            <w:tcW w:type="dxa" w:w="1662"/>
            <w:vAlign w:val="center"/>
          </w:tcPr>
          <w:p>
            <w:pPr>
              <w:spacing w:before="50" w:after="50" w:line="252" w:lineRule="auto"/>
              <w:ind w:firstLine="0"/>
            </w:pPr>
            <w:r>
              <w:rPr>
                <w:sz w:val="20"/>
              </w:rPr>
              <w:t>ASP.NET session probe resolves 12.60 &amp; 3.29 mg/L in L405 to Rae Bareli; Agra max 1.58 mg/L.</w:t>
            </w:r>
          </w:p>
        </w:tc>
        <w:tc>
          <w:tcPr>
            <w:tcW w:type="dxa" w:w="1662"/>
            <w:vAlign w:val="center"/>
          </w:tcPr>
          <w:p>
            <w:pPr>
              <w:spacing w:before="50" w:after="50" w:line="252" w:lineRule="auto"/>
              <w:ind w:firstLine="0"/>
            </w:pPr>
            <w:r>
              <w:rPr>
                <w:sz w:val="20"/>
              </w:rPr>
              <w:t>WQ6: 434 Fluoride villages (138 UP + 296 Bihar) | UP Spearman rho = 0.50.</w:t>
            </w:r>
          </w:p>
        </w:tc>
        <w:tc>
          <w:tcPr>
            <w:tcW w:type="dxa" w:w="1662"/>
            <w:vAlign w:val="center"/>
          </w:tcPr>
          <w:p>
            <w:pPr>
              <w:spacing w:before="50" w:after="50" w:line="252" w:lineRule="auto"/>
              <w:ind w:firstLine="0"/>
            </w:pPr>
            <w:r>
              <w:rPr>
                <w:sz w:val="20"/>
              </w:rPr>
              <w:t>AUDIT VERIFIED</w:t>
            </w:r>
          </w:p>
        </w:tc>
      </w:tr>
    </w:tbl>
    <w:p>
      <w:pPr>
        <w:spacing w:before="0" w:after="80"/>
      </w:pPr>
    </w:p>
    <w:tbl>
      <w:tblPr>
        <w:tblW w:type="auto" w:w="0"/>
        <w:jc w:val="center"/>
        <w:tblLook w:firstColumn="1" w:firstRow="1" w:lastColumn="0" w:lastRow="0" w:noHBand="0" w:noVBand="1" w:val="04A0"/>
      </w:tblPr>
      <w:tblGrid>
        <w:gridCol w:w="1662"/>
        <w:gridCol w:w="1662"/>
        <w:gridCol w:w="1662"/>
        <w:gridCol w:w="1662"/>
        <w:gridCol w:w="1662"/>
      </w:tblGrid>
      <w:tr>
        <w:trPr>
          <w:tblHeader/>
        </w:trPr>
        <w:tc>
          <w:tcPr>
            <w:tcW w:type="dxa" w:w="1662"/>
            <w:vAlign w:val="center"/>
            <w:shd w:fill="002147"/>
          </w:tcPr>
          <w:p>
            <w:pPr>
              <w:keepNext/>
              <w:spacing w:before="60" w:after="60" w:line="252" w:lineRule="auto"/>
              <w:ind w:firstLine="0"/>
            </w:pPr>
            <w:r>
              <w:rPr>
                <w:b/>
                <w:color w:val="FFFFFF"/>
                <w:sz w:val="20"/>
              </w:rPr>
              <w:t>Parameter &amp; Iron Threshold</w:t>
            </w:r>
          </w:p>
        </w:tc>
        <w:tc>
          <w:tcPr>
            <w:tcW w:type="dxa" w:w="1662"/>
            <w:vAlign w:val="center"/>
            <w:shd w:fill="002147"/>
          </w:tcPr>
          <w:p>
            <w:pPr>
              <w:keepNext/>
              <w:spacing w:before="60" w:after="60" w:line="252" w:lineRule="auto"/>
              <w:ind w:firstLine="0"/>
            </w:pPr>
            <w:r>
              <w:rPr>
                <w:b/>
                <w:color w:val="FFFFFF"/>
                <w:sz w:val="20"/>
              </w:rPr>
              <w:t>Cohort (Districts with n &gt;= 5)</w:t>
            </w:r>
          </w:p>
        </w:tc>
        <w:tc>
          <w:tcPr>
            <w:tcW w:type="dxa" w:w="1662"/>
            <w:vAlign w:val="center"/>
            <w:shd w:fill="002147"/>
          </w:tcPr>
          <w:p>
            <w:pPr>
              <w:keepNext/>
              <w:spacing w:before="60" w:after="60" w:line="252" w:lineRule="auto"/>
              <w:ind w:firstLine="0"/>
            </w:pPr>
            <w:r>
              <w:rPr>
                <w:b/>
                <w:color w:val="FFFFFF"/>
                <w:sz w:val="20"/>
              </w:rPr>
              <w:t>Districts (n)</w:t>
            </w:r>
          </w:p>
        </w:tc>
        <w:tc>
          <w:tcPr>
            <w:tcW w:type="dxa" w:w="1662"/>
            <w:vAlign w:val="center"/>
            <w:shd w:fill="002147"/>
          </w:tcPr>
          <w:p>
            <w:pPr>
              <w:keepNext/>
              <w:spacing w:before="60" w:after="60" w:line="252" w:lineRule="auto"/>
              <w:ind w:firstLine="0"/>
            </w:pPr>
            <w:r>
              <w:rPr>
                <w:b/>
                <w:color w:val="FFFFFF"/>
                <w:sz w:val="20"/>
              </w:rPr>
              <w:t>Spearman rho (Unmapped / Alias-Mapped)</w:t>
            </w:r>
          </w:p>
        </w:tc>
        <w:tc>
          <w:tcPr>
            <w:tcW w:type="dxa" w:w="1662"/>
            <w:vAlign w:val="center"/>
            <w:shd w:fill="002147"/>
          </w:tcPr>
          <w:p>
            <w:pPr>
              <w:keepNext/>
              <w:spacing w:before="60" w:after="60" w:line="252" w:lineRule="auto"/>
              <w:ind w:firstLine="0"/>
            </w:pPr>
            <w:r>
              <w:rPr>
                <w:b/>
                <w:color w:val="FFFFFF"/>
                <w:sz w:val="20"/>
              </w:rPr>
              <w:t>p-value (Unmapped / Alias-Mapped) &amp; Bonferroni Status (alpha = 0.0083)</w:t>
            </w:r>
          </w:p>
        </w:tc>
      </w:tr>
      <w:tr>
        <w:trPr>
          <w:cantSplit/>
        </w:trPr>
        <w:tc>
          <w:tcPr>
            <w:tcW w:type="dxa" w:w="1662"/>
            <w:vAlign w:val="center"/>
          </w:tcPr>
          <w:p>
            <w:pPr>
              <w:spacing w:before="50" w:after="50" w:line="252" w:lineRule="auto"/>
              <w:ind w:firstLine="0"/>
            </w:pPr>
            <w:r>
              <w:rPr>
                <w:b/>
                <w:sz w:val="20"/>
              </w:rPr>
              <w:t>Iron (0.3 mg/L BIS limit)</w:t>
            </w:r>
          </w:p>
        </w:tc>
        <w:tc>
          <w:tcPr>
            <w:tcW w:type="dxa" w:w="1662"/>
            <w:vAlign w:val="center"/>
          </w:tcPr>
          <w:p>
            <w:pPr>
              <w:spacing w:before="50" w:after="50" w:line="252" w:lineRule="auto"/>
              <w:ind w:firstLine="0"/>
            </w:pPr>
            <w:r>
              <w:rPr>
                <w:sz w:val="20"/>
              </w:rPr>
              <w:t>Pooled (UP + Bihar)</w:t>
            </w:r>
          </w:p>
        </w:tc>
        <w:tc>
          <w:tcPr>
            <w:tcW w:type="dxa" w:w="1662"/>
            <w:vAlign w:val="center"/>
          </w:tcPr>
          <w:p>
            <w:pPr>
              <w:spacing w:before="50" w:after="50" w:line="252" w:lineRule="auto"/>
              <w:ind w:firstLine="0"/>
            </w:pPr>
            <w:r>
              <w:rPr>
                <w:sz w:val="20"/>
              </w:rPr>
              <w:t>26</w:t>
            </w:r>
          </w:p>
        </w:tc>
        <w:tc>
          <w:tcPr>
            <w:tcW w:type="dxa" w:w="1662"/>
            <w:vAlign w:val="center"/>
          </w:tcPr>
          <w:p>
            <w:pPr>
              <w:spacing w:before="50" w:after="50" w:line="252" w:lineRule="auto"/>
              <w:ind w:firstLine="0"/>
            </w:pPr>
            <w:r>
              <w:rPr>
                <w:sz w:val="20"/>
              </w:rPr>
              <w:t>0.460 / 0.548</w:t>
            </w:r>
          </w:p>
        </w:tc>
        <w:tc>
          <w:tcPr>
            <w:tcW w:type="dxa" w:w="1662"/>
            <w:vAlign w:val="center"/>
          </w:tcPr>
          <w:p>
            <w:pPr>
              <w:spacing w:before="50" w:after="50" w:line="252" w:lineRule="auto"/>
              <w:ind w:firstLine="0"/>
            </w:pPr>
            <w:r>
              <w:rPr>
                <w:sz w:val="20"/>
              </w:rPr>
              <w:t>p = 0.018 / p = 0.004 (Exploratory; passes 0.0083 with alias mapping)</w:t>
            </w:r>
          </w:p>
        </w:tc>
      </w:tr>
      <w:tr>
        <w:trPr>
          <w:cantSplit/>
        </w:trPr>
        <w:tc>
          <w:tcPr>
            <w:tcW w:type="dxa" w:w="1662"/>
            <w:vAlign w:val="center"/>
            <w:shd w:fill="F4F7FA"/>
          </w:tcPr>
          <w:p>
            <w:pPr>
              <w:spacing w:before="50" w:after="50" w:line="252" w:lineRule="auto"/>
              <w:ind w:firstLine="0"/>
            </w:pPr>
            <w:r>
              <w:rPr>
                <w:b/>
                <w:sz w:val="20"/>
              </w:rPr>
              <w:t>Iron (0.3 mg/L BIS limit)</w:t>
            </w:r>
          </w:p>
        </w:tc>
        <w:tc>
          <w:tcPr>
            <w:tcW w:type="dxa" w:w="1662"/>
            <w:vAlign w:val="center"/>
            <w:shd w:fill="F4F7FA"/>
          </w:tcPr>
          <w:p>
            <w:pPr>
              <w:spacing w:before="50" w:after="50" w:line="252" w:lineRule="auto"/>
              <w:ind w:firstLine="0"/>
            </w:pPr>
            <w:r>
              <w:rPr>
                <w:sz w:val="20"/>
              </w:rPr>
              <w:t>Pooled Excl. Madhepura</w:t>
            </w:r>
          </w:p>
        </w:tc>
        <w:tc>
          <w:tcPr>
            <w:tcW w:type="dxa" w:w="1662"/>
            <w:vAlign w:val="center"/>
            <w:shd w:fill="F4F7FA"/>
          </w:tcPr>
          <w:p>
            <w:pPr>
              <w:spacing w:before="50" w:after="50" w:line="252" w:lineRule="auto"/>
              <w:ind w:firstLine="0"/>
            </w:pPr>
            <w:r>
              <w:rPr>
                <w:sz w:val="20"/>
              </w:rPr>
              <w:t>25</w:t>
            </w:r>
          </w:p>
        </w:tc>
        <w:tc>
          <w:tcPr>
            <w:tcW w:type="dxa" w:w="1662"/>
            <w:vAlign w:val="center"/>
            <w:shd w:fill="F4F7FA"/>
          </w:tcPr>
          <w:p>
            <w:pPr>
              <w:spacing w:before="50" w:after="50" w:line="252" w:lineRule="auto"/>
              <w:ind w:firstLine="0"/>
            </w:pPr>
            <w:r>
              <w:rPr>
                <w:sz w:val="20"/>
              </w:rPr>
              <w:t>0.395 / 0.493</w:t>
            </w:r>
          </w:p>
        </w:tc>
        <w:tc>
          <w:tcPr>
            <w:tcW w:type="dxa" w:w="1662"/>
            <w:vAlign w:val="center"/>
            <w:shd w:fill="F4F7FA"/>
          </w:tcPr>
          <w:p>
            <w:pPr>
              <w:spacing w:before="50" w:after="50" w:line="252" w:lineRule="auto"/>
              <w:ind w:firstLine="0"/>
            </w:pPr>
            <w:r>
              <w:rPr>
                <w:sz w:val="20"/>
              </w:rPr>
              <w:t>p = 0.051 / p = 0.012 (Does not pass strict Bonferroni 0.0083)</w:t>
            </w:r>
          </w:p>
        </w:tc>
      </w:tr>
      <w:tr>
        <w:trPr>
          <w:cantSplit/>
        </w:trPr>
        <w:tc>
          <w:tcPr>
            <w:tcW w:type="dxa" w:w="1662"/>
            <w:vAlign w:val="center"/>
          </w:tcPr>
          <w:p>
            <w:pPr>
              <w:spacing w:before="50" w:after="50" w:line="252" w:lineRule="auto"/>
              <w:ind w:firstLine="0"/>
            </w:pPr>
            <w:r>
              <w:rPr>
                <w:b/>
                <w:sz w:val="20"/>
              </w:rPr>
              <w:t>Iron (0.3 mg/L BIS limit)</w:t>
            </w:r>
          </w:p>
        </w:tc>
        <w:tc>
          <w:tcPr>
            <w:tcW w:type="dxa" w:w="1662"/>
            <w:vAlign w:val="center"/>
          </w:tcPr>
          <w:p>
            <w:pPr>
              <w:spacing w:before="50" w:after="50" w:line="252" w:lineRule="auto"/>
              <w:ind w:firstLine="0"/>
            </w:pPr>
            <w:r>
              <w:rPr>
                <w:sz w:val="20"/>
              </w:rPr>
              <w:t>Bihar Only / UP Only</w:t>
            </w:r>
          </w:p>
        </w:tc>
        <w:tc>
          <w:tcPr>
            <w:tcW w:type="dxa" w:w="1662"/>
            <w:vAlign w:val="center"/>
          </w:tcPr>
          <w:p>
            <w:pPr>
              <w:spacing w:before="50" w:after="50" w:line="252" w:lineRule="auto"/>
              <w:ind w:firstLine="0"/>
            </w:pPr>
            <w:r>
              <w:rPr>
                <w:sz w:val="20"/>
              </w:rPr>
              <w:t>11 / 15</w:t>
            </w:r>
          </w:p>
        </w:tc>
        <w:tc>
          <w:tcPr>
            <w:tcW w:type="dxa" w:w="1662"/>
            <w:vAlign w:val="center"/>
          </w:tcPr>
          <w:p>
            <w:pPr>
              <w:spacing w:before="50" w:after="50" w:line="252" w:lineRule="auto"/>
              <w:ind w:firstLine="0"/>
            </w:pPr>
            <w:r>
              <w:rPr>
                <w:sz w:val="20"/>
              </w:rPr>
              <w:t>Bihar: 0.610 | UP: 0.400</w:t>
            </w:r>
          </w:p>
        </w:tc>
        <w:tc>
          <w:tcPr>
            <w:tcW w:type="dxa" w:w="1662"/>
            <w:vAlign w:val="center"/>
          </w:tcPr>
          <w:p>
            <w:pPr>
              <w:spacing w:before="50" w:after="50" w:line="252" w:lineRule="auto"/>
              <w:ind w:firstLine="0"/>
            </w:pPr>
            <w:r>
              <w:rPr>
                <w:sz w:val="20"/>
              </w:rPr>
              <w:t>Bihar: p = 0.047 | UP: p = 0.136 (Small-n state sub-cohorts)</w:t>
            </w:r>
          </w:p>
        </w:tc>
      </w:tr>
      <w:tr>
        <w:trPr>
          <w:cantSplit/>
        </w:trPr>
        <w:tc>
          <w:tcPr>
            <w:tcW w:type="dxa" w:w="1662"/>
            <w:vAlign w:val="center"/>
            <w:shd w:fill="F4F7FA"/>
          </w:tcPr>
          <w:p>
            <w:pPr>
              <w:spacing w:before="50" w:after="50" w:line="252" w:lineRule="auto"/>
              <w:ind w:firstLine="0"/>
            </w:pPr>
            <w:r>
              <w:rPr>
                <w:b/>
                <w:sz w:val="20"/>
              </w:rPr>
              <w:t>Iron (1.0 mg/L Lab limit)</w:t>
            </w:r>
          </w:p>
        </w:tc>
        <w:tc>
          <w:tcPr>
            <w:tcW w:type="dxa" w:w="1662"/>
            <w:vAlign w:val="center"/>
            <w:shd w:fill="F4F7FA"/>
          </w:tcPr>
          <w:p>
            <w:pPr>
              <w:spacing w:before="50" w:after="50" w:line="252" w:lineRule="auto"/>
              <w:ind w:firstLine="0"/>
            </w:pPr>
            <w:r>
              <w:rPr>
                <w:sz w:val="20"/>
              </w:rPr>
              <w:t>Pooled / Excl. Madhepura</w:t>
            </w:r>
          </w:p>
        </w:tc>
        <w:tc>
          <w:tcPr>
            <w:tcW w:type="dxa" w:w="1662"/>
            <w:vAlign w:val="center"/>
            <w:shd w:fill="F4F7FA"/>
          </w:tcPr>
          <w:p>
            <w:pPr>
              <w:spacing w:before="50" w:after="50" w:line="252" w:lineRule="auto"/>
              <w:ind w:firstLine="0"/>
            </w:pPr>
            <w:r>
              <w:rPr>
                <w:sz w:val="20"/>
              </w:rPr>
              <w:t>26 / 25</w:t>
            </w:r>
          </w:p>
        </w:tc>
        <w:tc>
          <w:tcPr>
            <w:tcW w:type="dxa" w:w="1662"/>
            <w:vAlign w:val="center"/>
            <w:shd w:fill="F4F7FA"/>
          </w:tcPr>
          <w:p>
            <w:pPr>
              <w:spacing w:before="50" w:after="50" w:line="252" w:lineRule="auto"/>
              <w:ind w:firstLine="0"/>
            </w:pPr>
            <w:r>
              <w:rPr>
                <w:sz w:val="20"/>
              </w:rPr>
              <w:t>0.270 / 0.330</w:t>
            </w:r>
          </w:p>
        </w:tc>
        <w:tc>
          <w:tcPr>
            <w:tcW w:type="dxa" w:w="1662"/>
            <w:vAlign w:val="center"/>
            <w:shd w:fill="F4F7FA"/>
          </w:tcPr>
          <w:p>
            <w:pPr>
              <w:spacing w:before="50" w:after="50" w:line="252" w:lineRule="auto"/>
              <w:ind w:firstLine="0"/>
            </w:pPr>
            <w:r>
              <w:rPr>
                <w:sz w:val="20"/>
              </w:rPr>
              <w:t>p = 0.190 / p = 0.110 (Bihar exceedance rate is 0% at 1.0 mg/L)</w:t>
            </w:r>
          </w:p>
        </w:tc>
      </w:tr>
      <w:tr>
        <w:trPr>
          <w:cantSplit/>
        </w:trPr>
        <w:tc>
          <w:tcPr>
            <w:tcW w:type="dxa" w:w="1662"/>
            <w:vAlign w:val="center"/>
          </w:tcPr>
          <w:p>
            <w:pPr>
              <w:spacing w:before="50" w:after="50" w:line="252" w:lineRule="auto"/>
              <w:ind w:firstLine="0"/>
            </w:pPr>
            <w:r>
              <w:rPr>
                <w:b/>
                <w:sz w:val="20"/>
              </w:rPr>
              <w:t>Fluoride (1.0 mg/L limit)</w:t>
            </w:r>
          </w:p>
        </w:tc>
        <w:tc>
          <w:tcPr>
            <w:tcW w:type="dxa" w:w="1662"/>
            <w:vAlign w:val="center"/>
          </w:tcPr>
          <w:p>
            <w:pPr>
              <w:spacing w:before="50" w:after="50" w:line="252" w:lineRule="auto"/>
              <w:ind w:firstLine="0"/>
            </w:pPr>
            <w:r>
              <w:rPr>
                <w:sz w:val="20"/>
              </w:rPr>
              <w:t>Pooled (UP + Bihar)</w:t>
            </w:r>
          </w:p>
        </w:tc>
        <w:tc>
          <w:tcPr>
            <w:tcW w:type="dxa" w:w="1662"/>
            <w:vAlign w:val="center"/>
          </w:tcPr>
          <w:p>
            <w:pPr>
              <w:spacing w:before="50" w:after="50" w:line="252" w:lineRule="auto"/>
              <w:ind w:firstLine="0"/>
            </w:pPr>
            <w:r>
              <w:rPr>
                <w:sz w:val="20"/>
              </w:rPr>
              <w:t>29</w:t>
            </w:r>
          </w:p>
        </w:tc>
        <w:tc>
          <w:tcPr>
            <w:tcW w:type="dxa" w:w="1662"/>
            <w:vAlign w:val="center"/>
          </w:tcPr>
          <w:p>
            <w:pPr>
              <w:spacing w:before="50" w:after="50" w:line="252" w:lineRule="auto"/>
              <w:ind w:firstLine="0"/>
            </w:pPr>
            <w:r>
              <w:rPr>
                <w:sz w:val="20"/>
              </w:rPr>
              <w:t>0.275 / 0.223</w:t>
            </w:r>
          </w:p>
        </w:tc>
        <w:tc>
          <w:tcPr>
            <w:tcW w:type="dxa" w:w="1662"/>
            <w:vAlign w:val="center"/>
          </w:tcPr>
          <w:p>
            <w:pPr>
              <w:spacing w:before="50" w:after="50" w:line="252" w:lineRule="auto"/>
              <w:ind w:firstLine="0"/>
            </w:pPr>
            <w:r>
              <w:rPr>
                <w:sz w:val="20"/>
              </w:rPr>
              <w:t>p = 0.149 / p = 0.246 (Not significant across pooled states)</w:t>
            </w:r>
          </w:p>
        </w:tc>
      </w:tr>
      <w:tr>
        <w:trPr>
          <w:cantSplit/>
        </w:trPr>
        <w:tc>
          <w:tcPr>
            <w:tcW w:type="dxa" w:w="1662"/>
            <w:vAlign w:val="center"/>
            <w:shd w:fill="F4F7FA"/>
          </w:tcPr>
          <w:p>
            <w:pPr>
              <w:spacing w:before="50" w:after="50" w:line="252" w:lineRule="auto"/>
              <w:ind w:firstLine="0"/>
            </w:pPr>
            <w:r>
              <w:rPr>
                <w:b/>
                <w:sz w:val="20"/>
              </w:rPr>
              <w:t>Fluoride (1.0 mg/L limit)</w:t>
            </w:r>
          </w:p>
        </w:tc>
        <w:tc>
          <w:tcPr>
            <w:tcW w:type="dxa" w:w="1662"/>
            <w:vAlign w:val="center"/>
            <w:shd w:fill="F4F7FA"/>
          </w:tcPr>
          <w:p>
            <w:pPr>
              <w:spacing w:before="50" w:after="50" w:line="252" w:lineRule="auto"/>
              <w:ind w:firstLine="0"/>
            </w:pPr>
            <w:r>
              <w:rPr>
                <w:sz w:val="20"/>
              </w:rPr>
              <w:t>Uttar Pradesh Only</w:t>
            </w:r>
          </w:p>
        </w:tc>
        <w:tc>
          <w:tcPr>
            <w:tcW w:type="dxa" w:w="1662"/>
            <w:vAlign w:val="center"/>
            <w:shd w:fill="F4F7FA"/>
          </w:tcPr>
          <w:p>
            <w:pPr>
              <w:spacing w:before="50" w:after="50" w:line="252" w:lineRule="auto"/>
              <w:ind w:firstLine="0"/>
            </w:pPr>
            <w:r>
              <w:rPr>
                <w:sz w:val="20"/>
              </w:rPr>
              <w:t>22</w:t>
            </w:r>
          </w:p>
        </w:tc>
        <w:tc>
          <w:tcPr>
            <w:tcW w:type="dxa" w:w="1662"/>
            <w:vAlign w:val="center"/>
            <w:shd w:fill="F4F7FA"/>
          </w:tcPr>
          <w:p>
            <w:pPr>
              <w:spacing w:before="50" w:after="50" w:line="252" w:lineRule="auto"/>
              <w:ind w:firstLine="0"/>
            </w:pPr>
            <w:r>
              <w:rPr>
                <w:sz w:val="20"/>
              </w:rPr>
              <w:t>0.500 / 0.426</w:t>
            </w:r>
          </w:p>
        </w:tc>
        <w:tc>
          <w:tcPr>
            <w:tcW w:type="dxa" w:w="1662"/>
            <w:vAlign w:val="center"/>
            <w:shd w:fill="F4F7FA"/>
          </w:tcPr>
          <w:p>
            <w:pPr>
              <w:spacing w:before="50" w:after="50" w:line="252" w:lineRule="auto"/>
              <w:ind w:firstLine="0"/>
            </w:pPr>
            <w:r>
              <w:rPr>
                <w:sz w:val="20"/>
              </w:rPr>
              <w:t>p = 0.018 / p = 0.004 (Moderate positive persistence in UP)</w:t>
            </w:r>
          </w:p>
        </w:tc>
      </w:tr>
    </w:tbl>
    <w:p>
      <w:pPr>
        <w:spacing w:before="0" w:after="80"/>
      </w:pPr>
    </w:p>
    <w:p>
      <w:pPr>
        <w:keepNext/>
        <w:spacing w:before="300" w:after="100"/>
        <w:ind w:firstLine="0"/>
      </w:pPr>
      <w:r>
        <w:rPr>
          <w:b/>
          <w:color w:val="002147"/>
          <w:sz w:val="28"/>
        </w:rPr>
        <w:t>5. Discussion and Full-Stack System Implementation</w:t>
      </w:r>
    </w:p>
    <w:p>
      <w:pPr>
        <w:spacing w:line="324" w:lineRule="auto" w:before="0" w:after="120"/>
        <w:ind w:firstLine="504"/>
        <w:jc w:val="both"/>
      </w:pPr>
      <w:r>
        <w:rPr>
          <w:sz w:val="23"/>
        </w:rPr>
        <w:t>The empirical findings in Chapter 4 carry two foundational lessons for public-health informatics. First, ingesting government laboratory records without auditing panel completeness and printed lab limits produces severe ranking distortions: under a naive tested-weight formula at 0.3 mg/L, 70 single-parameter iron tests in Madhepura (0.318–0.478 mg/L—all compliant under the 1.0 mg/L limit printed on their own lab certificates) monopolize 78.7% of all Critical ratings and invert the state mean comparison between Bihar and Uttar Pradesh. Second, relying solely on individual laboratory sample crawls leaves acute regional hazards invisible whenever laboratories record below-detection-limit zeros as 0.0 (as in 150/259 arsenic tests across Begusarai and Bhagalpur) or omit bacteriological assays (97.4% of crawled samples). Fusing Tier 1 lab samples with Tier 2 Form WQ6 village censuses and Tier 3 IMIS historical records resolves both blind spots, escalating 32 districts on verified E. coli presence and 13 districts on severe arsenic burden across all 113 canonical districts.</w:t>
      </w:r>
    </w:p>
    <w:p>
      <w:pPr>
        <w:spacing w:line="324" w:lineRule="auto" w:before="0" w:after="120"/>
        <w:ind w:firstLine="504"/>
        <w:jc w:val="both"/>
      </w:pPr>
      <w:r>
        <w:rPr>
          <w:sz w:val="23"/>
        </w:rPr>
        <w:t>On the software engineering side (commit 95b2162 on origin/main), the FastAPI backend exposes 8 modular routers and 20 REST endpoints (including GET /api/priority, GET /api/districts/full-triage, GET /api/validation/cgwb, GET /api/meta, POST /api/scoring/recompute, GET /api/recurrence/{village_id}, GET /api/dashboard-data, and GET /api/health), backed by 29 automated pytest test functions (28 passed and 1 skipped in offline mode; all 29 passed against live PostgreSQL). The React 18 + Vite frontend (dashboard/src/App.jsx, compiling cleanly across 31 modules with 0 errors) provides a 3-Way Dataset Mode Switcher in the hero header—allowing instant toggling between (1) Full 113-District Triage, (2) Enriched Lab Queue (1,741 samples, 97.01% district-located), and (3) Frozen WPR-12 Baseline, alongside a Model v1 (1/n) vs. Model v2 (1/6.0) scorer switch—and organizes decision support across six specialized tabs:</w:t>
      </w:r>
    </w:p>
    <w:p>
      <w:pPr>
        <w:pStyle w:val="ListBullet"/>
        <w:spacing w:line="300" w:lineRule="auto" w:before="20" w:after="80"/>
        <w:ind w:firstLine="0"/>
        <w:jc w:val="both"/>
      </w:pPr>
      <w:r>
        <w:rPr>
          <w:b/>
          <w:sz w:val="22"/>
        </w:rPr>
        <w:t xml:space="preserve">Tab A (Variant A — Priority Queue): </w:t>
      </w:r>
      <w:r>
        <w:rPr>
          <w:sz w:val="22"/>
        </w:rPr>
        <w:t>Filterable, paginated ranking table supporting both the 113-District Unified Triage and the 1,741-sample Lab Queue, displaying biohazard override badges (badge-pathogen), strikethrough raw mathematical scores when overridden by acute hazards, panel coverage pills, and one-click CSV export.</w:t>
      </w:r>
    </w:p>
    <w:p>
      <w:pPr>
        <w:pStyle w:val="ListBullet"/>
        <w:spacing w:line="300" w:lineRule="auto" w:before="20" w:after="80"/>
        <w:ind w:firstLine="0"/>
        <w:jc w:val="both"/>
      </w:pPr>
      <w:r>
        <w:rPr>
          <w:b/>
          <w:sz w:val="22"/>
        </w:rPr>
        <w:t xml:space="preserve">Tab B (Variant B — 113-District Map + Cards): </w:t>
      </w:r>
      <w:r>
        <w:rPr>
          <w:sz w:val="22"/>
        </w:rPr>
        <w:t>Interactive SVG Choropleth Cartogram rendering all 75 Uttar Pradesh and 38 Bihar districts color-coded by BIS severity band, paired with top-risk district feature cards.</w:t>
      </w:r>
    </w:p>
    <w:p>
      <w:pPr>
        <w:pStyle w:val="ListBullet"/>
        <w:spacing w:line="300" w:lineRule="auto" w:before="20" w:after="80"/>
        <w:ind w:firstLine="0"/>
        <w:jc w:val="both"/>
      </w:pPr>
      <w:r>
        <w:rPr>
          <w:b/>
          <w:sz w:val="22"/>
        </w:rPr>
        <w:t xml:space="preserve">Tab C (Variant C — District + Detail Split): </w:t>
      </w:r>
      <w:r>
        <w:rPr>
          <w:sz w:val="22"/>
        </w:rPr>
        <w:t>Keyboard-navigable master-detail split view presenting a four-tier BIS IS 10500:2012 parameter dossier, WQ6 village counts, IMIS recurrence status, CGWB station metrics, and per-sample reading breakdowns.</w:t>
      </w:r>
    </w:p>
    <w:p>
      <w:pPr>
        <w:pStyle w:val="ListBullet"/>
        <w:spacing w:line="300" w:lineRule="auto" w:before="20" w:after="80"/>
        <w:ind w:firstLine="0"/>
        <w:jc w:val="both"/>
      </w:pPr>
      <w:r>
        <w:rPr>
          <w:b/>
          <w:sz w:val="22"/>
        </w:rPr>
        <w:t xml:space="preserve">Tab D (Variant D — External Validation): </w:t>
      </w:r>
      <w:r>
        <w:rPr>
          <w:sz w:val="22"/>
        </w:rPr>
        <w:t>Four-Way Triangulation proof matrix (VP-1 through VP-4), 113-district validation explorer, CGWB 2012–2021 pH/conductivity station table, and WQ6 16-parameter summary.</w:t>
      </w:r>
    </w:p>
    <w:p>
      <w:pPr>
        <w:pStyle w:val="ListBullet"/>
        <w:spacing w:line="300" w:lineRule="auto" w:before="20" w:after="80"/>
        <w:ind w:firstLine="0"/>
        <w:jc w:val="both"/>
      </w:pPr>
      <w:r>
        <w:rPr>
          <w:b/>
          <w:sz w:val="22"/>
        </w:rPr>
        <w:t xml:space="preserve">Tab E (Overview &amp; Sensitivity) &amp; Tab F (Methodology &amp; Limitations): </w:t>
      </w:r>
      <w:r>
        <w:rPr>
          <w:sz w:val="22"/>
        </w:rPr>
        <w:t>Preserves the canonical WPR-12 audit views sourced from GET /api/meta, including the Fe = 1.0 mg/L sensitivity rerun table, exploratory Spearman correlation cards, Madhepura iron concentration callout, crawl batch provenance, and explicit methodological disclosures.</w:t>
      </w:r>
    </w:p>
    <w:p>
      <w:pPr>
        <w:keepNext/>
        <w:spacing w:before="300" w:after="100"/>
        <w:ind w:firstLine="0"/>
      </w:pPr>
      <w:r>
        <w:rPr>
          <w:b/>
          <w:color w:val="002147"/>
          <w:sz w:val="28"/>
        </w:rPr>
        <w:t>6. Methodological Limitations</w:t>
      </w:r>
    </w:p>
    <w:p>
      <w:pPr>
        <w:pStyle w:val="ListBullet"/>
        <w:spacing w:line="300" w:lineRule="auto" w:before="20" w:after="80"/>
        <w:ind w:firstLine="0"/>
        <w:jc w:val="both"/>
      </w:pPr>
      <w:r>
        <w:rPr>
          <w:b/>
          <w:sz w:val="22"/>
        </w:rPr>
        <w:t xml:space="preserve">1. Non-Random Contiguous Identifier Crawl in Tier 1 (2022 Window): </w:t>
      </w:r>
      <w:r>
        <w:rPr>
          <w:sz w:val="22"/>
        </w:rPr>
        <w:t>The 1,741 individual laboratory reports were harvested across contiguous sample ID blocks in four batches (up to 6 parallel workers, no HTTP request log retained) covering collection dates 2022-07-01 to 2022-11-19. Sample density per district reflects laboratory upload ordering rather than a probability sample; district-level prevalence claims therefore rely on Tier 2 (Form WQ6 113-district village census) rather than raw Tier 1 sample counts.</w:t>
      </w:r>
    </w:p>
    <w:p>
      <w:pPr>
        <w:pStyle w:val="ListBullet"/>
        <w:spacing w:line="300" w:lineRule="auto" w:before="20" w:after="80"/>
        <w:ind w:firstLine="0"/>
        <w:jc w:val="both"/>
      </w:pPr>
      <w:r>
        <w:rPr>
          <w:b/>
          <w:sz w:val="22"/>
        </w:rPr>
        <w:t xml:space="preserve">2. Iron Threshold Discrepancy and Binary Step Saturation: </w:t>
      </w:r>
      <w:r>
        <w:rPr>
          <w:sz w:val="22"/>
        </w:rPr>
        <w:t>BIS IS 10500:2012 Table 2 item (xii) sets the acceptable iron limit at 0.3 mg/L with no relaxation, whereas all 876 raw WQMIS iron records print 1.0 mg/L. Under a strict step function at 0.3 mg/L, marginal aesthetic iron readings (0.318–0.478 mg/L in Madhepura) saturate at s_iron = 1.0; both thresholds are therefore reported side-by-side.</w:t>
      </w:r>
    </w:p>
    <w:p>
      <w:pPr>
        <w:pStyle w:val="ListBullet"/>
        <w:spacing w:line="300" w:lineRule="auto" w:before="20" w:after="80"/>
        <w:ind w:firstLine="0"/>
        <w:jc w:val="both"/>
      </w:pPr>
      <w:r>
        <w:rPr>
          <w:b/>
          <w:sz w:val="22"/>
        </w:rPr>
        <w:t xml:space="preserve">3. Panel-Size Denominator Sensitivity in Tested-Weight Scoring: </w:t>
      </w:r>
      <w:r>
        <w:rPr>
          <w:sz w:val="22"/>
        </w:rPr>
        <w:t>Dividing solely by tested parameter weights (Model v1) assigns 100.0 to single-parameter exceedances and leaves the Medium band nearly empty (28 samples, 1.6%). Normalizing over TOTAL_BIS_WEIGHT = 6.0 (Model v2) eliminates this artifact (125 Medium samples, 7.2%).</w:t>
      </w:r>
    </w:p>
    <w:p>
      <w:pPr>
        <w:pStyle w:val="ListBullet"/>
        <w:spacing w:line="300" w:lineRule="auto" w:before="20" w:after="80"/>
        <w:ind w:firstLine="0"/>
        <w:jc w:val="both"/>
      </w:pPr>
      <w:r>
        <w:rPr>
          <w:b/>
          <w:sz w:val="22"/>
        </w:rPr>
        <w:t xml:space="preserve">4. Residual Multi-District Laboratory Holdback (2.99%) and Unlisted Village Names (82.48%): </w:t>
      </w:r>
      <w:r>
        <w:rPr>
          <w:sz w:val="22"/>
        </w:rPr>
        <w:t>While the two-step ASP.NET session cookie probe resolved 302 of 354 unassigned-district samples (85.3%) across 20 single-district labs, 52 samples (2.99%) tested at UP Jal Nigam State Lab L158 (Lucknow) span 7 UP districts and are held back as 'Not available'. Similarly, while source-field parsing increased named locations from 21 (1.21%) to 305 (17.52%), 1,436 samples (82.48%) still lack a structured village name, preventing sample-level village joins against Khokha village (Purnia, ID 7568; 166 registry iron events in 2009–2012, 0 samples in 2022).</w:t>
      </w:r>
    </w:p>
    <w:p>
      <w:pPr>
        <w:pStyle w:val="ListBullet"/>
        <w:spacing w:line="300" w:lineRule="auto" w:before="20" w:after="80"/>
        <w:ind w:firstLine="0"/>
        <w:jc w:val="both"/>
      </w:pPr>
      <w:r>
        <w:rPr>
          <w:b/>
          <w:sz w:val="22"/>
        </w:rPr>
        <w:t xml:space="preserve">5. Sparse Sample-Level Microbial Testing and Censored Arsenic Zeros: </w:t>
      </w:r>
      <w:r>
        <w:rPr>
          <w:sz w:val="22"/>
        </w:rPr>
        <w:t>In the 1,741-sample crawl, E. coli was tested in 45 samples (2.6%) and total coliform in 7 samples (0.4%), while 150 of 259 arsenic readings (57.9%) were recorded as 0.0 across four labs (L794=69, L234=27, L269=19, L268=13) without detection-limit metadata. Integrating Tier 2 Form WQ6 tables closes this gap at the district level by identifying 31WQ6 E. coli districts and 13 arsenic-escalation districts.</w:t>
      </w:r>
    </w:p>
    <w:p>
      <w:pPr>
        <w:pStyle w:val="ListBullet"/>
        <w:spacing w:line="300" w:lineRule="auto" w:before="20" w:after="80"/>
        <w:ind w:firstLine="0"/>
        <w:jc w:val="both"/>
      </w:pPr>
      <w:r>
        <w:rPr>
          <w:b/>
          <w:sz w:val="22"/>
        </w:rPr>
        <w:t xml:space="preserve">6. Temporal and Measurement-Unit Discontinuity in Historical Registry: </w:t>
      </w:r>
      <w:r>
        <w:rPr>
          <w:sz w:val="22"/>
        </w:rPr>
        <w:t>The 2009–2012 IMIS registry logs affected-habitation event rows (100,690 deduplicated events across 14,006 villages) rather than 2022 source concentrations; Spearman correlations are therefore interpreted strictly as exploratory decadal persistence checks.</w:t>
      </w:r>
    </w:p>
    <w:p>
      <w:pPr>
        <w:keepNext/>
        <w:spacing w:before="300" w:after="100"/>
        <w:ind w:firstLine="0"/>
      </w:pPr>
      <w:r>
        <w:rPr>
          <w:b/>
          <w:color w:val="002147"/>
          <w:sz w:val="28"/>
        </w:rPr>
        <w:t>7. Conclusion and Future Work</w:t>
      </w:r>
    </w:p>
    <w:p>
      <w:pPr>
        <w:spacing w:line="324" w:lineRule="auto" w:before="0" w:after="120"/>
        <w:ind w:firstLine="504"/>
        <w:jc w:val="both"/>
      </w:pPr>
      <w:r>
        <w:rPr>
          <w:sz w:val="23"/>
        </w:rPr>
        <w:t>WaterTriage establishes a fully reproducible, open-source water quality triage and decision-support architecture for Uttar Pradesh and Bihar. By combining a non-destructive ASP.NET session-probed laboratory enrichment pipeline (resolving 85.3% of missing districts and lifting located samples to 97.01%), a dual BIS IS 10500:2012 sample scoring engine (exposing and correcting single-parameter iron inflation), and a four-tier 113-district fusion model (integrating 1,741 lab reports, 113 Form WQ6 village censuses, 100,690 historical IMIS events across 93/93 mapped districts, and CGWB station series), the project achieves 100% district triage coverage across all 75 Uttar Pradesh and 38 Bihar districts. Table 8 maps each synopsis objective to its verified engineering outcome.</w:t>
      </w:r>
    </w:p>
    <w:tbl>
      <w:tblPr>
        <w:tblW w:type="auto" w:w="0"/>
        <w:jc w:val="center"/>
        <w:tblLook w:firstColumn="1" w:firstRow="1" w:lastColumn="0" w:lastRow="0" w:noHBand="0" w:noVBand="1" w:val="04A0"/>
      </w:tblPr>
      <w:tblGrid>
        <w:gridCol w:w="4154"/>
        <w:gridCol w:w="4154"/>
      </w:tblGrid>
      <w:tr>
        <w:trPr>
          <w:tblHeader/>
        </w:trPr>
        <w:tc>
          <w:tcPr>
            <w:tcW w:type="dxa" w:w="4154"/>
            <w:vAlign w:val="center"/>
            <w:shd w:fill="002147"/>
          </w:tcPr>
          <w:p>
            <w:pPr>
              <w:keepNext/>
              <w:spacing w:before="60" w:after="60" w:line="252" w:lineRule="auto"/>
              <w:ind w:firstLine="0"/>
            </w:pPr>
            <w:r>
              <w:rPr>
                <w:b/>
                <w:color w:val="FFFFFF"/>
                <w:sz w:val="20"/>
              </w:rPr>
              <w:t>Synopsis Objective</w:t>
            </w:r>
          </w:p>
        </w:tc>
        <w:tc>
          <w:tcPr>
            <w:tcW w:type="dxa" w:w="4154"/>
            <w:vAlign w:val="center"/>
            <w:shd w:fill="002147"/>
          </w:tcPr>
          <w:p>
            <w:pPr>
              <w:keepNext/>
              <w:spacing w:before="60" w:after="60" w:line="252" w:lineRule="auto"/>
              <w:ind w:firstLine="0"/>
            </w:pPr>
            <w:r>
              <w:rPr>
                <w:b/>
                <w:color w:val="FFFFFF"/>
                <w:sz w:val="20"/>
              </w:rPr>
              <w:t>Delivered Engineering Outcome &amp; Verification Status (origin/main @ 95b2162)</w:t>
            </w:r>
          </w:p>
        </w:tc>
      </w:tr>
      <w:tr>
        <w:trPr>
          <w:cantSplit/>
        </w:trPr>
        <w:tc>
          <w:tcPr>
            <w:tcW w:type="dxa" w:w="4154"/>
            <w:vAlign w:val="center"/>
          </w:tcPr>
          <w:p>
            <w:pPr>
              <w:spacing w:before="50" w:after="50" w:line="252" w:lineRule="auto"/>
              <w:ind w:firstLine="0"/>
            </w:pPr>
            <w:r>
              <w:rPr>
                <w:b/>
                <w:sz w:val="20"/>
              </w:rPr>
              <w:t>1. Acquisition &amp; normalization of JJM data (UP &amp; Bihar)</w:t>
            </w:r>
          </w:p>
        </w:tc>
        <w:tc>
          <w:tcPr>
            <w:tcW w:type="dxa" w:w="4154"/>
            <w:vAlign w:val="center"/>
          </w:tcPr>
          <w:p>
            <w:pPr>
              <w:spacing w:before="50" w:after="50" w:line="252" w:lineRule="auto"/>
              <w:ind w:firstLine="0"/>
            </w:pPr>
            <w:r>
              <w:rPr>
                <w:sz w:val="20"/>
              </w:rPr>
              <w:t>Achieved — Crawled 1,822 WQMIS reports; ingested 1,741 valid 2022 lab samples (966 UP, 775 Bihar; 6,792 readings), resolved 302/354 missing districts (85.3%) &amp; 305 village names (17.52%) in records_enriched.jsonl, and integrated 113 Form WQ6 district censuses + 100,690 historical IMIS events (2009–2012).</w:t>
            </w:r>
          </w:p>
        </w:tc>
      </w:tr>
      <w:tr>
        <w:trPr>
          <w:cantSplit/>
        </w:trPr>
        <w:tc>
          <w:tcPr>
            <w:tcW w:type="dxa" w:w="4154"/>
            <w:vAlign w:val="center"/>
            <w:shd w:fill="F4F7FA"/>
          </w:tcPr>
          <w:p>
            <w:pPr>
              <w:spacing w:before="50" w:after="50" w:line="252" w:lineRule="auto"/>
              <w:ind w:firstLine="0"/>
            </w:pPr>
            <w:r>
              <w:rPr>
                <w:b/>
                <w:sz w:val="20"/>
              </w:rPr>
              <w:t>2. Relational database schema in PostgreSQL</w:t>
            </w:r>
          </w:p>
        </w:tc>
        <w:tc>
          <w:tcPr>
            <w:tcW w:type="dxa" w:w="4154"/>
            <w:vAlign w:val="center"/>
            <w:shd w:fill="F4F7FA"/>
          </w:tcPr>
          <w:p>
            <w:pPr>
              <w:spacing w:before="50" w:after="50" w:line="252" w:lineRule="auto"/>
              <w:ind w:firstLine="0"/>
            </w:pPr>
            <w:r>
              <w:rPr>
                <w:sz w:val="20"/>
              </w:rPr>
              <w:t>Achieved — 8 normalized domain tables (plus alembic_version) in PostgreSQL 16 with foreign-key integrity and max-severity duplicate-reading aggregation in pipeline.py.</w:t>
            </w:r>
          </w:p>
        </w:tc>
      </w:tr>
      <w:tr>
        <w:trPr>
          <w:cantSplit/>
        </w:trPr>
        <w:tc>
          <w:tcPr>
            <w:tcW w:type="dxa" w:w="4154"/>
            <w:vAlign w:val="center"/>
          </w:tcPr>
          <w:p>
            <w:pPr>
              <w:spacing w:before="50" w:after="50" w:line="252" w:lineRule="auto"/>
              <w:ind w:firstLine="0"/>
            </w:pPr>
            <w:r>
              <w:rPr>
                <w:b/>
                <w:sz w:val="20"/>
              </w:rPr>
              <w:t>3. BIS IS 10500:2012 severity scoring engine</w:t>
            </w:r>
          </w:p>
        </w:tc>
        <w:tc>
          <w:tcPr>
            <w:tcW w:type="dxa" w:w="4154"/>
            <w:vAlign w:val="center"/>
          </w:tcPr>
          <w:p>
            <w:pPr>
              <w:spacing w:before="50" w:after="50" w:line="252" w:lineRule="auto"/>
              <w:ind w:firstLine="0"/>
            </w:pPr>
            <w:r>
              <w:rPr>
                <w:sz w:val="20"/>
              </w:rPr>
              <w:t>Achieved &amp; Audited — Implemented Model v1 (tested-weight), Model v2 (total-weight / 6.0, 10 parameters, 40/20/10 bands, acute-hazard escalation), two-limit iron sensitivity (0.3 vs. 1.0 mg/L), and 4-tier 113-district fusion (46 Critical [32 pathogen, 13 arsenic, 1 score], 27 High, 19 Medium, 21 Low).</w:t>
            </w:r>
          </w:p>
        </w:tc>
      </w:tr>
      <w:tr>
        <w:trPr>
          <w:cantSplit/>
        </w:trPr>
        <w:tc>
          <w:tcPr>
            <w:tcW w:type="dxa" w:w="4154"/>
            <w:vAlign w:val="center"/>
            <w:shd w:fill="F4F7FA"/>
          </w:tcPr>
          <w:p>
            <w:pPr>
              <w:spacing w:before="50" w:after="50" w:line="252" w:lineRule="auto"/>
              <w:ind w:firstLine="0"/>
            </w:pPr>
            <w:r>
              <w:rPr>
                <w:b/>
                <w:sz w:val="20"/>
              </w:rPr>
              <w:t>4. Recurrence / trend detection module</w:t>
            </w:r>
          </w:p>
        </w:tc>
        <w:tc>
          <w:tcPr>
            <w:tcW w:type="dxa" w:w="4154"/>
            <w:vAlign w:val="center"/>
            <w:shd w:fill="F4F7FA"/>
          </w:tcPr>
          <w:p>
            <w:pPr>
              <w:spacing w:before="50" w:after="50" w:line="252" w:lineRule="auto"/>
              <w:ind w:firstLine="0"/>
            </w:pPr>
            <w:r>
              <w:rPr>
                <w:sz w:val="20"/>
              </w:rPr>
              <w:t>Achieved at District Tier / Unit-Tested at Village Tier — 100% of 93 historical IMIS districts mapped to canonical districts for chronic-hotspot/recurring/watchlist classification and Spearman checks; sample-level village joins remain bounded by 17.52% village name availability.</w:t>
            </w:r>
          </w:p>
        </w:tc>
      </w:tr>
      <w:tr>
        <w:trPr>
          <w:cantSplit/>
        </w:trPr>
        <w:tc>
          <w:tcPr>
            <w:tcW w:type="dxa" w:w="4154"/>
            <w:vAlign w:val="center"/>
          </w:tcPr>
          <w:p>
            <w:pPr>
              <w:spacing w:before="50" w:after="50" w:line="252" w:lineRule="auto"/>
              <w:ind w:firstLine="0"/>
            </w:pPr>
            <w:r>
              <w:rPr>
                <w:b/>
                <w:sz w:val="20"/>
              </w:rPr>
              <w:t>5. FastAPI backend &amp; React decision-support dashboard</w:t>
            </w:r>
          </w:p>
        </w:tc>
        <w:tc>
          <w:tcPr>
            <w:tcW w:type="dxa" w:w="4154"/>
            <w:vAlign w:val="center"/>
          </w:tcPr>
          <w:p>
            <w:pPr>
              <w:spacing w:before="50" w:after="50" w:line="252" w:lineRule="auto"/>
              <w:ind w:firstLine="0"/>
            </w:pPr>
            <w:r>
              <w:rPr>
                <w:sz w:val="20"/>
              </w:rPr>
              <w:t>Achieved — 8 FastAPI routers (20 REST endpoints including /api/districts/full-triage, /api/priority, /api/meta) + 6-Tab React 18 SPA (Variants A–D, Overview &amp; Sensitivity, Methodology &amp; Limitations) verified by 29 pytest functions and 0-error Vite build.</w:t>
            </w:r>
          </w:p>
        </w:tc>
      </w:tr>
      <w:tr>
        <w:trPr>
          <w:cantSplit/>
        </w:trPr>
        <w:tc>
          <w:tcPr>
            <w:tcW w:type="dxa" w:w="4154"/>
            <w:vAlign w:val="center"/>
            <w:shd w:fill="F4F7FA"/>
          </w:tcPr>
          <w:p>
            <w:pPr>
              <w:spacing w:before="50" w:after="50" w:line="252" w:lineRule="auto"/>
              <w:ind w:firstLine="0"/>
            </w:pPr>
            <w:r>
              <w:rPr>
                <w:b/>
                <w:sz w:val="20"/>
              </w:rPr>
              <w:t>6. Containerized deployment via Docker</w:t>
            </w:r>
          </w:p>
        </w:tc>
        <w:tc>
          <w:tcPr>
            <w:tcW w:type="dxa" w:w="4154"/>
            <w:vAlign w:val="center"/>
            <w:shd w:fill="F4F7FA"/>
          </w:tcPr>
          <w:p>
            <w:pPr>
              <w:spacing w:before="50" w:after="50" w:line="252" w:lineRule="auto"/>
              <w:ind w:firstLine="0"/>
            </w:pPr>
            <w:r>
              <w:rPr>
                <w:sz w:val="20"/>
              </w:rPr>
              <w:t>Achieved — Multi-service docker-compose.yml orchestrating PostgreSQL 16 (watertriage-db), FastAPI backend, and React/Nginx frontend with offline static JSON fallbacks.</w:t>
            </w:r>
          </w:p>
        </w:tc>
      </w:tr>
    </w:tbl>
    <w:p>
      <w:pPr>
        <w:spacing w:before="0" w:after="80"/>
      </w:pPr>
    </w:p>
    <w:p>
      <w:pPr>
        <w:spacing w:line="324" w:lineRule="auto" w:before="0" w:after="120"/>
        <w:ind w:firstLine="504"/>
        <w:jc w:val="both"/>
      </w:pPr>
      <w:r>
        <w:rPr>
          <w:sz w:val="23"/>
        </w:rPr>
        <w:t>Future work includes (1) decoupling aesthetic parameters (iron, turbidity, TDS) from acute health toxins into a bivariate triage matrix, (2) integrating Local Government Directory (LGD) habitation codes from the AIKosh JJM repository upon institutional authorization to resolve the remaining 52 L158 regional-lab samples and enable 100% village-level recurrence joins, and (3) extending the four-tier fusion pipeline to real-time IoT sensor feeds under JJM phase-II surveillance.</w:t>
      </w:r>
    </w:p>
    <w:sectPr w:rsidR="00FC693F" w:rsidRPr="0006063C" w:rsidSect="00034616">
      <w:footerReference w:type="default" r:id="rId9"/>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color w:val="1A1A1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