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jc w:val="center"/>
      </w:pPr>
      <w:r>
        <w:drawing>
          <wp:inline xmlns:a="http://schemas.openxmlformats.org/drawingml/2006/main" xmlns:pic="http://schemas.openxmlformats.org/drawingml/2006/picture">
            <wp:extent cx="1280160" cy="857301"/>
            <wp:docPr id="1" name="Picture 1"/>
            <wp:cNvGraphicFramePr>
              <a:graphicFrameLocks noChangeAspect="1"/>
            </wp:cNvGraphicFramePr>
            <a:graphic>
              <a:graphicData uri="http://schemas.openxmlformats.org/drawingml/2006/picture">
                <pic:pic>
                  <pic:nvPicPr>
                    <pic:cNvPr id="0" name="wpr7_img-000.png"/>
                    <pic:cNvPicPr/>
                  </pic:nvPicPr>
                  <pic:blipFill>
                    <a:blip r:embed="rId10"/>
                    <a:stretch>
                      <a:fillRect/>
                    </a:stretch>
                  </pic:blipFill>
                  <pic:spPr>
                    <a:xfrm>
                      <a:off x="0" y="0"/>
                      <a:ext cx="1280160" cy="857301"/>
                    </a:xfrm>
                    <a:prstGeom prst="rect"/>
                  </pic:spPr>
                </pic:pic>
              </a:graphicData>
            </a:graphic>
          </wp:inline>
        </w:drawing>
      </w:r>
    </w:p>
    <w:p>
      <w:pPr>
        <w:spacing w:before="240" w:after="80"/>
        <w:ind w:firstLine="0"/>
        <w:jc w:val="center"/>
      </w:pPr>
      <w:r>
        <w:rPr>
          <w:b/>
          <w:color w:val="002147"/>
          <w:sz w:val="30"/>
        </w:rPr>
        <w:t>AMITY SCHOOL OF ENGINEERING &amp; TECHNOLOGY</w:t>
      </w:r>
    </w:p>
    <w:p>
      <w:pPr>
        <w:spacing w:before="0" w:after="480"/>
        <w:ind w:firstLine="0"/>
        <w:jc w:val="center"/>
      </w:pPr>
      <w:r>
        <w:rPr>
          <w:b w:val="0"/>
          <w:color w:val="1A1A1A"/>
          <w:sz w:val="24"/>
        </w:rPr>
        <w:t>Amity University Uttar Pradesh, Greater Noida</w:t>
      </w:r>
    </w:p>
    <w:p>
      <w:pPr>
        <w:spacing w:before="240" w:after="80"/>
        <w:ind w:firstLine="0"/>
        <w:jc w:val="center"/>
      </w:pPr>
      <w:r>
        <w:rPr>
          <w:b/>
          <w:color w:val="002147"/>
          <w:sz w:val="32"/>
        </w:rPr>
        <w:t>MINOR PROJECT REPORT</w:t>
      </w:r>
    </w:p>
    <w:p>
      <w:pPr>
        <w:spacing w:before="0" w:after="560"/>
        <w:ind w:firstLine="0"/>
        <w:jc w:val="center"/>
      </w:pPr>
      <w:r>
        <w:rPr>
          <w:b w:val="0"/>
          <w:color w:val="1A1A1A"/>
          <w:sz w:val="24"/>
        </w:rPr>
        <w:t>(ETMN100 — 4.00 Credit Units)</w:t>
      </w:r>
    </w:p>
    <w:p>
      <w:pPr>
        <w:spacing w:before="240" w:after="640"/>
        <w:ind w:firstLine="0"/>
        <w:jc w:val="center"/>
      </w:pPr>
      <w:r>
        <w:rPr>
          <w:b/>
          <w:color w:val="002147"/>
          <w:sz w:val="28"/>
        </w:rPr>
        <w:t>WaterTriage: A Data-Driven Water Quality Risk Scoring and</w:t>
        <w:br/>
        <w:t>Intervention Prioritization System for Uttar Pradesh and Bihar</w:t>
      </w:r>
    </w:p>
    <w:p>
      <w:pPr>
        <w:spacing w:before="240" w:after="80"/>
        <w:ind w:firstLine="0"/>
        <w:jc w:val="center"/>
      </w:pPr>
      <w:r>
        <w:rPr>
          <w:b w:val="0"/>
          <w:color w:val="1A1A1A"/>
          <w:sz w:val="23"/>
        </w:rPr>
        <w:t>Submitted by</w:t>
      </w:r>
    </w:p>
    <w:p>
      <w:pPr>
        <w:spacing w:before="0" w:after="40"/>
        <w:ind w:firstLine="0"/>
        <w:jc w:val="center"/>
      </w:pPr>
      <w:r>
        <w:rPr>
          <w:b/>
          <w:color w:val="002147"/>
          <w:sz w:val="26"/>
        </w:rPr>
        <w:t>Anubhav Anand</w:t>
      </w:r>
    </w:p>
    <w:p>
      <w:pPr>
        <w:spacing w:before="0" w:after="40"/>
        <w:ind w:firstLine="0"/>
        <w:jc w:val="center"/>
      </w:pPr>
      <w:r>
        <w:rPr>
          <w:b w:val="0"/>
          <w:color w:val="1A1A1A"/>
          <w:sz w:val="23"/>
        </w:rPr>
        <w:t>Enrollment No. A41105223039</w:t>
      </w:r>
    </w:p>
    <w:p>
      <w:pPr>
        <w:spacing w:before="0" w:after="560"/>
        <w:ind w:firstLine="0"/>
        <w:jc w:val="center"/>
      </w:pPr>
      <w:r>
        <w:rPr>
          <w:b w:val="0"/>
          <w:color w:val="1A1A1A"/>
          <w:sz w:val="23"/>
        </w:rPr>
        <w:t>B.Tech (Computer Science &amp; Engineering), Batch 2023–2027</w:t>
      </w:r>
    </w:p>
    <w:p>
      <w:pPr>
        <w:spacing w:before="240" w:after="80"/>
        <w:ind w:firstLine="0"/>
        <w:jc w:val="center"/>
      </w:pPr>
      <w:r>
        <w:rPr>
          <w:b w:val="0"/>
          <w:color w:val="1A1A1A"/>
          <w:sz w:val="23"/>
        </w:rPr>
        <w:t>Under the guidance of</w:t>
      </w:r>
    </w:p>
    <w:p>
      <w:pPr>
        <w:spacing w:before="0" w:after="560"/>
        <w:ind w:firstLine="0"/>
        <w:jc w:val="center"/>
      </w:pPr>
      <w:r>
        <w:rPr>
          <w:b/>
          <w:color w:val="002147"/>
          <w:sz w:val="26"/>
        </w:rPr>
        <w:t>Dr. Girish Paliwal</w:t>
      </w:r>
    </w:p>
    <w:p>
      <w:pPr>
        <w:spacing w:before="320" w:after="0"/>
        <w:ind w:firstLine="0"/>
        <w:jc w:val="center"/>
      </w:pPr>
      <w:r>
        <w:rPr>
          <w:b w:val="0"/>
          <w:color w:val="1A1A1A"/>
          <w:sz w:val="24"/>
        </w:rPr>
        <w:t>Academic Year 2026–27</w:t>
      </w:r>
    </w:p>
    <w:p>
      <w:r>
        <w:br w:type="page"/>
      </w:r>
    </w:p>
    <w:p>
      <w:pPr>
        <w:keepNext/>
        <w:spacing w:before="320" w:after="120"/>
        <w:ind w:firstLine="0"/>
      </w:pPr>
      <w:r>
        <w:rPr>
          <w:b/>
          <w:color w:val="002147"/>
          <w:sz w:val="28"/>
        </w:rPr>
        <w:t>Declaration</w:t>
      </w:r>
    </w:p>
    <w:p>
      <w:pPr>
        <w:spacing w:line="336" w:lineRule="auto" w:before="0" w:after="120"/>
        <w:ind w:firstLine="0"/>
        <w:jc w:val="both"/>
      </w:pPr>
      <w:r>
        <w:rPr>
          <w:sz w:val="23"/>
        </w:rPr>
        <w:t>I, Anubhav Anand, Enrollment No. A41105223039, hereby declare that this Minor Project report titled "WaterTriage: A Data-Driven Water Quality Risk Scoring and Intervention Prioritization System for Uttar Pradesh and Bihar" is an original record of work carried out by me under the guidance of Dr. Girish Paliwal, Amity School of Engineering &amp; Technology, Amity University Uttar Pradesh, Greater Noida, during the academic year 2026–27 (20/07/2026 to 09/10/2026), and has not been submitted elsewhere for any other degree or diploma.</w:t>
      </w:r>
    </w:p>
    <w:p>
      <w:pPr>
        <w:spacing w:line="336" w:lineRule="auto" w:before="0" w:after="120"/>
        <w:ind w:firstLine="0"/>
        <w:jc w:val="both"/>
      </w:pPr>
      <w:r>
        <w:rPr>
          <w:sz w:val="23"/>
        </w:rPr>
        <w:t>Student Name: Anubhav Anand (Enrollment No. A41105223039)</w:t>
      </w:r>
    </w:p>
    <w:p>
      <w:pPr>
        <w:keepNext/>
        <w:spacing w:before="320" w:after="120"/>
        <w:ind w:firstLine="0"/>
      </w:pPr>
      <w:r>
        <w:rPr>
          <w:b/>
          <w:color w:val="002147"/>
          <w:sz w:val="28"/>
        </w:rPr>
        <w:t>Faculty Guide's Certificate</w:t>
      </w:r>
    </w:p>
    <w:p>
      <w:pPr>
        <w:spacing w:line="336" w:lineRule="auto" w:before="0" w:after="120"/>
        <w:ind w:firstLine="0"/>
        <w:jc w:val="both"/>
      </w:pPr>
      <w:r>
        <w:rPr>
          <w:sz w:val="23"/>
        </w:rPr>
        <w:t>This is to certify that the project report titled "WaterTriage: A Data-Driven Water Quality Risk Scoring and Intervention Prioritization System for Uttar Pradesh and Bihar" submitted by Anubhav Anand (A41105223039) is a record of bona fide work carried out under my supervision in partial fulfilment of the requirements of the Minor Project (ETMN100) component of the B.Tech (Computer Science &amp; Engineering) programme.</w:t>
      </w:r>
    </w:p>
    <w:p>
      <w:pPr>
        <w:spacing w:line="336" w:lineRule="auto" w:before="0" w:after="120"/>
        <w:ind w:firstLine="0"/>
        <w:jc w:val="both"/>
      </w:pPr>
      <w:r>
        <w:rPr>
          <w:sz w:val="23"/>
        </w:rPr>
        <w:t>Dr. Girish Paliwal</w:t>
        <w:br/>
        <w:t>Faculty Guide, Amity School of Engineering &amp; Technology</w:t>
        <w:br/>
        <w:t>Amity University Uttar Pradesh, Greater Noida</w:t>
      </w:r>
    </w:p>
    <w:p>
      <w:pPr>
        <w:keepNext/>
        <w:spacing w:before="320" w:after="120"/>
        <w:ind w:firstLine="0"/>
      </w:pPr>
      <w:r>
        <w:rPr>
          <w:b/>
          <w:color w:val="002147"/>
          <w:sz w:val="28"/>
        </w:rPr>
        <w:t>Table of Contents</w:t>
      </w:r>
    </w:p>
    <w:tbl>
      <w:tblPr>
        <w:tblW w:type="auto" w:w="0"/>
        <w:jc w:val="center"/>
        <w:tblLook w:firstColumn="1" w:firstRow="1" w:lastColumn="0" w:lastRow="0" w:noHBand="0" w:noVBand="1" w:val="04A0"/>
      </w:tblPr>
      <w:tblGrid>
        <w:gridCol w:w="4154"/>
        <w:gridCol w:w="4154"/>
      </w:tblGrid>
      <w:tr>
        <w:trPr>
          <w:tblHeader/>
        </w:trPr>
        <w:tc>
          <w:tcPr>
            <w:tcW w:type="dxa" w:w="4154"/>
            <w:vAlign w:val="center"/>
            <w:shd w:fill="002147"/>
          </w:tcPr>
          <w:p>
            <w:pPr>
              <w:keepNext/>
              <w:spacing w:before="60" w:after="60" w:line="252" w:lineRule="auto"/>
              <w:ind w:firstLine="0"/>
            </w:pPr>
            <w:r>
              <w:rPr>
                <w:b/>
                <w:color w:val="FFFFFF"/>
                <w:sz w:val="20"/>
              </w:rPr>
              <w:t>Section / Chapter</w:t>
            </w:r>
          </w:p>
        </w:tc>
        <w:tc>
          <w:tcPr>
            <w:tcW w:type="dxa" w:w="4154"/>
            <w:vAlign w:val="center"/>
            <w:shd w:fill="002147"/>
          </w:tcPr>
          <w:p>
            <w:pPr>
              <w:keepNext/>
              <w:spacing w:before="60" w:after="60" w:line="252" w:lineRule="auto"/>
              <w:ind w:firstLine="0"/>
            </w:pPr>
            <w:r>
              <w:rPr>
                <w:b/>
                <w:color w:val="FFFFFF"/>
                <w:sz w:val="20"/>
              </w:rPr>
              <w:t>Location</w:t>
            </w:r>
          </w:p>
        </w:tc>
      </w:tr>
      <w:tr>
        <w:trPr>
          <w:cantSplit/>
        </w:trPr>
        <w:tc>
          <w:tcPr>
            <w:tcW w:type="dxa" w:w="4154"/>
            <w:vAlign w:val="center"/>
          </w:tcPr>
          <w:p>
            <w:pPr>
              <w:spacing w:before="60" w:after="60" w:line="252" w:lineRule="auto"/>
              <w:ind w:firstLine="0"/>
            </w:pPr>
            <w:r>
              <w:rPr>
                <w:b/>
                <w:sz w:val="20"/>
              </w:rPr>
              <w:t>Abstract &amp; Keywords</w:t>
            </w:r>
          </w:p>
        </w:tc>
        <w:tc>
          <w:tcPr>
            <w:tcW w:type="dxa" w:w="4154"/>
            <w:vAlign w:val="center"/>
          </w:tcPr>
          <w:p>
            <w:pPr>
              <w:spacing w:before="60" w:after="60" w:line="252" w:lineRule="auto"/>
              <w:ind w:firstLine="0"/>
            </w:pPr>
            <w:r>
              <w:rPr>
                <w:sz w:val="20"/>
              </w:rPr>
              <w:t>Page 2</w:t>
            </w:r>
          </w:p>
        </w:tc>
      </w:tr>
      <w:tr>
        <w:trPr>
          <w:cantSplit/>
        </w:trPr>
        <w:tc>
          <w:tcPr>
            <w:tcW w:type="dxa" w:w="4154"/>
            <w:vAlign w:val="center"/>
            <w:shd w:fill="F4F7FA"/>
          </w:tcPr>
          <w:p>
            <w:pPr>
              <w:spacing w:before="60" w:after="60" w:line="252" w:lineRule="auto"/>
              <w:ind w:firstLine="0"/>
            </w:pPr>
            <w:r>
              <w:rPr>
                <w:b/>
                <w:sz w:val="20"/>
              </w:rPr>
              <w:t>1. Introduction</w:t>
            </w:r>
          </w:p>
        </w:tc>
        <w:tc>
          <w:tcPr>
            <w:tcW w:type="dxa" w:w="4154"/>
            <w:vAlign w:val="center"/>
            <w:shd w:fill="F4F7FA"/>
          </w:tcPr>
          <w:p>
            <w:pPr>
              <w:spacing w:before="60" w:after="60" w:line="252" w:lineRule="auto"/>
              <w:ind w:firstLine="0"/>
            </w:pPr>
            <w:r>
              <w:rPr>
                <w:sz w:val="20"/>
              </w:rPr>
              <w:t>Page 3</w:t>
            </w:r>
          </w:p>
        </w:tc>
      </w:tr>
      <w:tr>
        <w:trPr>
          <w:cantSplit/>
        </w:trPr>
        <w:tc>
          <w:tcPr>
            <w:tcW w:type="dxa" w:w="4154"/>
            <w:vAlign w:val="center"/>
          </w:tcPr>
          <w:p>
            <w:pPr>
              <w:spacing w:before="60" w:after="60" w:line="252" w:lineRule="auto"/>
              <w:ind w:firstLine="0"/>
            </w:pPr>
            <w:r>
              <w:rPr>
                <w:b/>
                <w:sz w:val="20"/>
              </w:rPr>
              <w:t>2. Related Work</w:t>
            </w:r>
          </w:p>
        </w:tc>
        <w:tc>
          <w:tcPr>
            <w:tcW w:type="dxa" w:w="4154"/>
            <w:vAlign w:val="center"/>
          </w:tcPr>
          <w:p>
            <w:pPr>
              <w:spacing w:before="60" w:after="60" w:line="252" w:lineRule="auto"/>
              <w:ind w:firstLine="0"/>
            </w:pPr>
            <w:r>
              <w:rPr>
                <w:sz w:val="20"/>
              </w:rPr>
              <w:t>Page 3</w:t>
            </w:r>
          </w:p>
        </w:tc>
      </w:tr>
      <w:tr>
        <w:trPr>
          <w:cantSplit/>
        </w:trPr>
        <w:tc>
          <w:tcPr>
            <w:tcW w:type="dxa" w:w="4154"/>
            <w:vAlign w:val="center"/>
            <w:shd w:fill="F4F7FA"/>
          </w:tcPr>
          <w:p>
            <w:pPr>
              <w:spacing w:before="60" w:after="60" w:line="252" w:lineRule="auto"/>
              <w:ind w:firstLine="0"/>
            </w:pPr>
            <w:r>
              <w:rPr>
                <w:b/>
                <w:sz w:val="20"/>
              </w:rPr>
              <w:t>3. Methodology (Architecture, Schema, BIS IS 10500 Scoring, Recurrence &amp; Data Acquisition)</w:t>
            </w:r>
          </w:p>
        </w:tc>
        <w:tc>
          <w:tcPr>
            <w:tcW w:type="dxa" w:w="4154"/>
            <w:vAlign w:val="center"/>
            <w:shd w:fill="F4F7FA"/>
          </w:tcPr>
          <w:p>
            <w:pPr>
              <w:spacing w:before="60" w:after="60" w:line="252" w:lineRule="auto"/>
              <w:ind w:firstLine="0"/>
            </w:pPr>
            <w:r>
              <w:rPr>
                <w:sz w:val="20"/>
              </w:rPr>
              <w:t>Page 4</w:t>
            </w:r>
          </w:p>
        </w:tc>
      </w:tr>
      <w:tr>
        <w:trPr>
          <w:cantSplit/>
        </w:trPr>
        <w:tc>
          <w:tcPr>
            <w:tcW w:type="dxa" w:w="4154"/>
            <w:vAlign w:val="center"/>
          </w:tcPr>
          <w:p>
            <w:pPr>
              <w:spacing w:before="60" w:after="60" w:line="252" w:lineRule="auto"/>
              <w:ind w:firstLine="0"/>
            </w:pPr>
            <w:r>
              <w:rPr>
                <w:b/>
                <w:sz w:val="20"/>
              </w:rPr>
              <w:t>4. Results (Canonical Corpus, Two-Limit Iron Sensitivity, Total-Weight Normalization &amp; Rates)</w:t>
            </w:r>
          </w:p>
        </w:tc>
        <w:tc>
          <w:tcPr>
            <w:tcW w:type="dxa" w:w="4154"/>
            <w:vAlign w:val="center"/>
          </w:tcPr>
          <w:p>
            <w:pPr>
              <w:spacing w:before="60" w:after="60" w:line="252" w:lineRule="auto"/>
              <w:ind w:firstLine="0"/>
            </w:pPr>
            <w:r>
              <w:rPr>
                <w:sz w:val="20"/>
              </w:rPr>
              <w:t>Page 6</w:t>
            </w:r>
          </w:p>
        </w:tc>
      </w:tr>
      <w:tr>
        <w:trPr>
          <w:cantSplit/>
        </w:trPr>
        <w:tc>
          <w:tcPr>
            <w:tcW w:type="dxa" w:w="4154"/>
            <w:vAlign w:val="center"/>
            <w:shd w:fill="F4F7FA"/>
          </w:tcPr>
          <w:p>
            <w:pPr>
              <w:spacing w:before="60" w:after="60" w:line="252" w:lineRule="auto"/>
              <w:ind w:firstLine="0"/>
            </w:pPr>
            <w:r>
              <w:rPr>
                <w:b/>
                <w:sz w:val="20"/>
              </w:rPr>
              <w:t>5. Discussion (Panel-Size Effect, Threshold Sensitivity &amp; Dashboard Implementation)</w:t>
            </w:r>
          </w:p>
        </w:tc>
        <w:tc>
          <w:tcPr>
            <w:tcW w:type="dxa" w:w="4154"/>
            <w:vAlign w:val="center"/>
            <w:shd w:fill="F4F7FA"/>
          </w:tcPr>
          <w:p>
            <w:pPr>
              <w:spacing w:before="60" w:after="60" w:line="252" w:lineRule="auto"/>
              <w:ind w:firstLine="0"/>
            </w:pPr>
            <w:r>
              <w:rPr>
                <w:sz w:val="20"/>
              </w:rPr>
              <w:t>Page 8</w:t>
            </w:r>
          </w:p>
        </w:tc>
      </w:tr>
      <w:tr>
        <w:trPr>
          <w:cantSplit/>
        </w:trPr>
        <w:tc>
          <w:tcPr>
            <w:tcW w:type="dxa" w:w="4154"/>
            <w:vAlign w:val="center"/>
          </w:tcPr>
          <w:p>
            <w:pPr>
              <w:spacing w:before="60" w:after="60" w:line="252" w:lineRule="auto"/>
              <w:ind w:firstLine="0"/>
            </w:pPr>
            <w:r>
              <w:rPr>
                <w:b/>
                <w:sz w:val="20"/>
              </w:rPr>
              <w:t>6. Methodological Limitations</w:t>
            </w:r>
          </w:p>
        </w:tc>
        <w:tc>
          <w:tcPr>
            <w:tcW w:type="dxa" w:w="4154"/>
            <w:vAlign w:val="center"/>
          </w:tcPr>
          <w:p>
            <w:pPr>
              <w:spacing w:before="60" w:after="60" w:line="252" w:lineRule="auto"/>
              <w:ind w:firstLine="0"/>
            </w:pPr>
            <w:r>
              <w:rPr>
                <w:sz w:val="20"/>
              </w:rPr>
              <w:t>Page 10</w:t>
            </w:r>
          </w:p>
        </w:tc>
      </w:tr>
      <w:tr>
        <w:trPr>
          <w:cantSplit/>
        </w:trPr>
        <w:tc>
          <w:tcPr>
            <w:tcW w:type="dxa" w:w="4154"/>
            <w:vAlign w:val="center"/>
            <w:shd w:fill="F4F7FA"/>
          </w:tcPr>
          <w:p>
            <w:pPr>
              <w:spacing w:before="60" w:after="60" w:line="252" w:lineRule="auto"/>
              <w:ind w:firstLine="0"/>
            </w:pPr>
            <w:r>
              <w:rPr>
                <w:b/>
                <w:sz w:val="20"/>
              </w:rPr>
              <w:t>7. Conclusion &amp; Future Work</w:t>
            </w:r>
          </w:p>
        </w:tc>
        <w:tc>
          <w:tcPr>
            <w:tcW w:type="dxa" w:w="4154"/>
            <w:vAlign w:val="center"/>
            <w:shd w:fill="F4F7FA"/>
          </w:tcPr>
          <w:p>
            <w:pPr>
              <w:spacing w:before="60" w:after="60" w:line="252" w:lineRule="auto"/>
              <w:ind w:firstLine="0"/>
            </w:pPr>
            <w:r>
              <w:rPr>
                <w:sz w:val="20"/>
              </w:rPr>
              <w:t>Page 11</w:t>
            </w:r>
          </w:p>
        </w:tc>
      </w:tr>
      <w:tr>
        <w:trPr>
          <w:cantSplit/>
        </w:trPr>
        <w:tc>
          <w:tcPr>
            <w:tcW w:type="dxa" w:w="4154"/>
            <w:vAlign w:val="center"/>
          </w:tcPr>
          <w:p>
            <w:pPr>
              <w:spacing w:before="60" w:after="60" w:line="252" w:lineRule="auto"/>
              <w:ind w:firstLine="0"/>
            </w:pPr>
            <w:r>
              <w:rPr>
                <w:b/>
                <w:sz w:val="20"/>
              </w:rPr>
              <w:t>References (Verified BIS IS 10500:2012 &amp; Indexed Literature)</w:t>
            </w:r>
          </w:p>
        </w:tc>
        <w:tc>
          <w:tcPr>
            <w:tcW w:type="dxa" w:w="4154"/>
            <w:vAlign w:val="center"/>
          </w:tcPr>
          <w:p>
            <w:pPr>
              <w:spacing w:before="60" w:after="60" w:line="252" w:lineRule="auto"/>
              <w:ind w:firstLine="0"/>
            </w:pPr>
            <w:r>
              <w:rPr>
                <w:sz w:val="20"/>
              </w:rPr>
              <w:t>Page 12</w:t>
            </w:r>
          </w:p>
        </w:tc>
      </w:tr>
      <w:tr>
        <w:trPr>
          <w:cantSplit/>
        </w:trPr>
        <w:tc>
          <w:tcPr>
            <w:tcW w:type="dxa" w:w="4154"/>
            <w:vAlign w:val="center"/>
            <w:shd w:fill="F4F7FA"/>
          </w:tcPr>
          <w:p>
            <w:pPr>
              <w:spacing w:before="60" w:after="60" w:line="252" w:lineRule="auto"/>
              <w:ind w:firstLine="0"/>
            </w:pPr>
            <w:r>
              <w:rPr>
                <w:b/>
                <w:sz w:val="20"/>
              </w:rPr>
              <w:t>Appendix A: Revision Note on Weekly Progress Reports (WPR-6 to WPR-10)</w:t>
            </w:r>
          </w:p>
        </w:tc>
        <w:tc>
          <w:tcPr>
            <w:tcW w:type="dxa" w:w="4154"/>
            <w:vAlign w:val="center"/>
            <w:shd w:fill="F4F7FA"/>
          </w:tcPr>
          <w:p>
            <w:pPr>
              <w:spacing w:before="60" w:after="60" w:line="252" w:lineRule="auto"/>
              <w:ind w:firstLine="0"/>
            </w:pPr>
            <w:r>
              <w:rPr>
                <w:sz w:val="20"/>
              </w:rPr>
              <w:t>Page 13</w:t>
            </w:r>
          </w:p>
        </w:tc>
      </w:tr>
      <w:tr>
        <w:trPr>
          <w:cantSplit/>
        </w:trPr>
        <w:tc>
          <w:tcPr>
            <w:tcW w:type="dxa" w:w="4154"/>
            <w:vAlign w:val="center"/>
          </w:tcPr>
          <w:p>
            <w:pPr>
              <w:spacing w:before="60" w:after="60" w:line="252" w:lineRule="auto"/>
              <w:ind w:firstLine="0"/>
            </w:pPr>
            <w:r>
              <w:rPr>
                <w:b/>
                <w:sz w:val="20"/>
              </w:rPr>
              <w:t>Appendix B: Claims Ledger (Traceability to Scripts, Queries &amp; Raw Files)</w:t>
            </w:r>
          </w:p>
        </w:tc>
        <w:tc>
          <w:tcPr>
            <w:tcW w:type="dxa" w:w="4154"/>
            <w:vAlign w:val="center"/>
          </w:tcPr>
          <w:p>
            <w:pPr>
              <w:spacing w:before="60" w:after="60" w:line="252" w:lineRule="auto"/>
              <w:ind w:firstLine="0"/>
            </w:pPr>
            <w:r>
              <w:rPr>
                <w:sz w:val="20"/>
              </w:rPr>
              <w:t>Page 13</w:t>
            </w:r>
          </w:p>
        </w:tc>
      </w:tr>
    </w:tbl>
    <w:p>
      <w:pPr>
        <w:spacing w:before="0" w:after="80"/>
      </w:pPr>
    </w:p>
    <w:p>
      <w:pPr>
        <w:keepNext/>
        <w:spacing w:before="320" w:after="120"/>
        <w:ind w:firstLine="0"/>
      </w:pPr>
      <w:r>
        <w:rPr>
          <w:b/>
          <w:color w:val="002147"/>
          <w:sz w:val="28"/>
        </w:rPr>
        <w:t>Abstract</w:t>
      </w:r>
    </w:p>
    <w:p>
      <w:pPr>
        <w:spacing w:line="336" w:lineRule="auto" w:before="0" w:after="120"/>
        <w:ind w:firstLine="0"/>
        <w:jc w:val="both"/>
      </w:pPr>
      <w:r>
        <w:rPr>
          <w:sz w:val="23"/>
        </w:rPr>
        <w:t>Access to safe drinking water remains a major public health challenge across rural India, particularly in Uttar Pradesh and Bihar, where chemical and microbiological contamination of groundwater affects rural habitations. Although the Jal Jeevan Mission (JJM) generates laboratory testing records through the Water Quality Management Information System (WQMIS), public outputs are organized for aggregate administrative monitoring rather than source-level intervention triage. This project presents WaterTriage, an open, reproducible decision-support pipeline built with Python, FastAPI, SQLAlchemy, PostgreSQL, and a React frontend that ingests public WQMIS laboratory reports, evaluates readings against Bureau of Indian Standards (BIS) IS 10500:2012 thresholds, and exposes ranked intervention priority queues.</w:t>
      </w:r>
    </w:p>
    <w:p>
      <w:pPr>
        <w:spacing w:line="336" w:lineRule="auto" w:before="0" w:after="120"/>
        <w:ind w:firstLine="0"/>
        <w:jc w:val="both"/>
      </w:pPr>
      <w:r>
        <w:rPr>
          <w:sz w:val="23"/>
        </w:rPr>
        <w:t>The system was evaluated on a frozen corpus of 1,741 laboratory reports (Uttar Pradesh: 966; Bihar: 775; collected across 2022-07-01 to 2022-11-19 with 6,792 discrete parameter readings) and 100,690 deduplicated historical contamination events (2009–2012) across 14,006 villages. Under the baseline tested-weight composite score at the IS 10500:2012 iron limit of 0.3 mg/L (no relaxation), the corpus yields 89 Critical, 392 High, 28 Medium, and 1,232 Low samples, with a higher mean score in Bihar (18.36) than Uttar Pradesh (12.68) despite medians of 0.00 (Bihar) and 4.08 (Uttar Pradesh). A systematic audit demonstrated that Bihar's elevated mean stems from 70 single-parameter iron tests in Madhepura district (0.318–0.478 mg/L), which score 100.0 when normalized over tested weights alone, and that all 876 raw WQMIS iron records print a lab-recorded limit of 1.0 mg/L. Re-scoring under the 1.0 mg/L lab limit shifts bands to 5 Critical, 139 High, 30 Medium, and 1,567 Low (reversing state means to UP 9.99 [9.95*] &gt; Bihar 1.58), while normalizing against total possible weight across all 10 BIS parameters (TOTAL_BIS_WEIGHT = 6.0, bands 40/20/10/0) eliminates single-parameter inflation (3 Critical, 54 High, 125 Medium, 1,559 Low; UP mean 4.72 &gt; Bihar 2.32). State comparisons are therefore anchored on medians and panel-independent parameter exceedance rates.</w:t>
      </w:r>
    </w:p>
    <w:p>
      <w:pPr>
        <w:spacing w:line="336" w:lineRule="auto" w:before="0" w:after="120"/>
        <w:ind w:firstLine="0"/>
        <w:jc w:val="both"/>
      </w:pPr>
      <w:r>
        <w:rPr>
          <w:b/>
          <w:sz w:val="23"/>
        </w:rPr>
        <w:t xml:space="preserve">Keywords: </w:t>
      </w:r>
      <w:r>
        <w:rPr>
          <w:sz w:val="23"/>
        </w:rPr>
        <w:t>Water Quality; Jal Jeevan Mission; WQMIS; BIS IS 10500:2012; Contamination Risk Scoring; FastAPI; Intervention Prioritization.</w:t>
      </w:r>
    </w:p>
    <w:p>
      <w:pPr>
        <w:keepNext/>
        <w:spacing w:before="320" w:after="120"/>
        <w:ind w:firstLine="0"/>
      </w:pPr>
      <w:r>
        <w:rPr>
          <w:b/>
          <w:color w:val="002147"/>
          <w:sz w:val="28"/>
        </w:rPr>
        <w:t>1. Introduction</w:t>
      </w:r>
    </w:p>
    <w:p>
      <w:pPr>
        <w:spacing w:line="336" w:lineRule="auto" w:before="0" w:after="120"/>
        <w:ind w:firstLine="576"/>
        <w:jc w:val="both"/>
      </w:pPr>
      <w:r>
        <w:rPr>
          <w:sz w:val="23"/>
        </w:rPr>
        <w:t>Groundwater serves as the primary drinking water source across the Indo-Gangetic alluvial plains of Uttar Pradesh and Bihar, where rural habitations face both geogenic contaminants (fluoride, iron, and arsenic) and anthropogenic pollutants (nitrate and fecal coliforms) [1, 2]. Under the Government of India's Jal Jeevan Mission (JJM), routine laboratory and Field Test Kit (FTK) surveillance records are compiled inside the Water Quality Management Information System (WQMIS) [1, 2]. While WQMIS provides programme-level summaries, block and district officials lack an open, reproducible tool that converts individual laboratory test reports into a severity-ranked intervention queue.</w:t>
      </w:r>
    </w:p>
    <w:p>
      <w:pPr>
        <w:spacing w:line="336" w:lineRule="auto" w:before="0" w:after="120"/>
        <w:ind w:firstLine="576"/>
        <w:jc w:val="both"/>
      </w:pPr>
      <w:r>
        <w:rPr>
          <w:sz w:val="23"/>
        </w:rPr>
        <w:t>The objective of this Minor Project (ETMN100) is to design, implement, and audit WaterTriage: a containerized backend and web dashboard that (1) acquires and normalizes public WQMIS laboratory records and historical affected-habitation registries for Uttar Pradesh and Bihar, (2) stores records in a normalized PostgreSQL schema, (3) computes BIS IS 10500:2012 risk scores with an acute-hazard escalation invariant, (4) evaluates district-level historical overlap, and (5) serves filterable priority lists and transparent data-provenance diagnostics via a REST API and React single-page application.</w:t>
      </w:r>
    </w:p>
    <w:p>
      <w:pPr>
        <w:keepNext/>
        <w:spacing w:before="320" w:after="120"/>
        <w:ind w:firstLine="0"/>
      </w:pPr>
      <w:r>
        <w:rPr>
          <w:b/>
          <w:color w:val="002147"/>
          <w:sz w:val="28"/>
        </w:rPr>
        <w:t>2. Related Work</w:t>
      </w:r>
    </w:p>
    <w:p>
      <w:pPr>
        <w:spacing w:line="336" w:lineRule="auto" w:before="0" w:after="120"/>
        <w:ind w:firstLine="0"/>
        <w:jc w:val="both"/>
      </w:pPr>
      <w:r>
        <w:rPr>
          <w:sz w:val="23"/>
        </w:rPr>
        <w:t>2.1 Government Surveillance Infrastructure. The Department of Drinking Water and Sanitation (DDWS) operationalizes rural water quality monitoring through WQMIS, which publishes state and district reports (Formats WQ1–WQ6 and L1/L3) alongside individual sample report pages [1, 2]. Cross-sectional field assessments in Uttar Pradesh districts such as Etawah indicate that physical and chemical exceedances persist in rural supply schemes, motivating source-level prioritization tools [7].</w:t>
      </w:r>
    </w:p>
    <w:p>
      <w:pPr>
        <w:spacing w:line="336" w:lineRule="auto" w:before="0" w:after="120"/>
        <w:ind w:firstLine="0"/>
        <w:jc w:val="both"/>
      </w:pPr>
      <w:r>
        <w:rPr>
          <w:sz w:val="23"/>
        </w:rPr>
        <w:t>2.2 Water Quality Index (WQI) Formulations and Eclipsing. Weighted arithmetic WQI models are widely applied to Indian groundwater quality assessment [4, 5, 6]. However, standard linear weighted averages suffer from two well-documented structural limitations: (a) 'eclipsing' (dilution), where an acute pathogen or toxic heavy metal breach is mathematically masked when averaged with multiple compliant physical parameters [6], and (b) 'panel-size denominator bias', where normalizing solely by the sum of weights of tested parameters allows a single-parameter test exceeding an aesthetic threshold to attain the maximum possible score of 100.0.</w:t>
      </w:r>
    </w:p>
    <w:p>
      <w:pPr>
        <w:spacing w:line="336" w:lineRule="auto" w:before="0" w:after="120"/>
        <w:ind w:firstLine="0"/>
        <w:jc w:val="both"/>
      </w:pPr>
      <w:r>
        <w:rPr>
          <w:sz w:val="23"/>
        </w:rPr>
        <w:t>2.3 Decision-Support and Triage Gap. While machine learning assessments of Bihar aquifers [8], Indo-Gangetic arsenic risk models [9], and composite indices such as the Water Access Index [10] have been published in academic literature, existing open-source tools do not combine public WQMIS sample ingestion, BIS IS 10500:2012 acute-hazard escalation, and explicit panel-size sensitivity auditing into an operational triage queue for Uttar Pradesh and Bihar.</w:t>
      </w:r>
    </w:p>
    <w:p>
      <w:pPr>
        <w:keepNext/>
        <w:spacing w:before="320" w:after="120"/>
        <w:ind w:firstLine="0"/>
      </w:pPr>
      <w:r>
        <w:rPr>
          <w:b/>
          <w:color w:val="002147"/>
          <w:sz w:val="28"/>
        </w:rPr>
        <w:t>3. Methodology</w:t>
      </w:r>
    </w:p>
    <w:p>
      <w:pPr>
        <w:keepNext/>
        <w:spacing w:before="240" w:after="80"/>
        <w:ind w:firstLine="0"/>
      </w:pPr>
      <w:r>
        <w:rPr>
          <w:b/>
          <w:color w:val="002147"/>
          <w:sz w:val="24"/>
        </w:rPr>
        <w:t>3.1 System Architecture and Database Schema</w:t>
      </w:r>
    </w:p>
    <w:p>
      <w:pPr>
        <w:spacing w:line="336" w:lineRule="auto" w:before="0" w:after="120"/>
        <w:ind w:firstLine="576"/>
        <w:jc w:val="both"/>
      </w:pPr>
      <w:r>
        <w:rPr>
          <w:sz w:val="23"/>
        </w:rPr>
        <w:t>WaterTriage is structured as a four-stage pipeline: Acquisition (backend/etl/crawl_fast.py, wqmis.py, load_wqmis.py, load_historical.py), Storage (PostgreSQL 16 in Docker container watertriage-db), Enrichment (backend/app/engine/scoring.py, pipeline.py, recurrence.py), and Serving (FastAPI backend on port 8000 paired with a React + Vite dashboard in dashboard/src/App.jsx). Data is persisted across eight normalized application tables (plus alembic_version): states, districts, villages, bis_parameters, water_samples, readings, risk_scores, interventions, and historical_contamination. Duplicate parameter rows within a single laboratory report are aggregated by maximum severity in pipeline.py.</w:t>
      </w:r>
    </w:p>
    <w:p>
      <w:pPr>
        <w:keepNext/>
        <w:spacing w:before="240" w:after="80"/>
        <w:ind w:firstLine="0"/>
      </w:pPr>
      <w:r>
        <w:rPr>
          <w:b/>
          <w:color w:val="002147"/>
          <w:sz w:val="24"/>
        </w:rPr>
        <w:t>3.2 BIS IS 10500:2012 Thresholds and Scoring Formulations</w:t>
      </w:r>
    </w:p>
    <w:p>
      <w:pPr>
        <w:spacing w:line="336" w:lineRule="auto" w:before="0" w:after="120"/>
        <w:ind w:firstLine="576"/>
        <w:jc w:val="both"/>
      </w:pPr>
      <w:r>
        <w:rPr>
          <w:sz w:val="23"/>
        </w:rPr>
        <w:t>Each chemical or microbiological reading is evaluated against the primary Bureau of Indian Standards IS 10500:2012 specification (and Amendment No. 1, 2015) [3]. Table 1 lists the ten configured parameters in backend/app/engine/scoring.py, their exact IS 10500:2012 table and item references, acceptable and permissible limits, health weights, and the acceptable limits printed inside raw WQMIS laboratory payloads.</w:t>
      </w:r>
    </w:p>
    <w:tbl>
      <w:tblPr>
        <w:tblW w:type="auto" w:w="0"/>
        <w:jc w:val="center"/>
        <w:tblLook w:firstColumn="1" w:firstRow="1" w:lastColumn="0" w:lastRow="0" w:noHBand="0" w:noVBand="1" w:val="04A0"/>
      </w:tblPr>
      <w:tblGrid>
        <w:gridCol w:w="1662"/>
        <w:gridCol w:w="1662"/>
        <w:gridCol w:w="1662"/>
        <w:gridCol w:w="1662"/>
        <w:gridCol w:w="1662"/>
      </w:tblGrid>
      <w:tr>
        <w:trPr>
          <w:tblHeader/>
        </w:trPr>
        <w:tc>
          <w:tcPr>
            <w:tcW w:type="dxa" w:w="1662"/>
            <w:vAlign w:val="center"/>
            <w:shd w:fill="002147"/>
          </w:tcPr>
          <w:p>
            <w:pPr>
              <w:keepNext/>
              <w:spacing w:before="60" w:after="60" w:line="252" w:lineRule="auto"/>
              <w:ind w:firstLine="0"/>
            </w:pPr>
            <w:r>
              <w:rPr>
                <w:b/>
                <w:color w:val="FFFFFF"/>
                <w:sz w:val="19"/>
              </w:rPr>
              <w:t>Parameter (key)</w:t>
            </w:r>
          </w:p>
        </w:tc>
        <w:tc>
          <w:tcPr>
            <w:tcW w:type="dxa" w:w="1662"/>
            <w:vAlign w:val="center"/>
            <w:shd w:fill="002147"/>
          </w:tcPr>
          <w:p>
            <w:pPr>
              <w:keepNext/>
              <w:spacing w:before="60" w:after="60" w:line="252" w:lineRule="auto"/>
              <w:ind w:firstLine="0"/>
            </w:pPr>
            <w:r>
              <w:rPr>
                <w:b/>
                <w:color w:val="FFFFFF"/>
                <w:sz w:val="19"/>
              </w:rPr>
              <w:t>IS 10500:2012 Ref.</w:t>
            </w:r>
          </w:p>
        </w:tc>
        <w:tc>
          <w:tcPr>
            <w:tcW w:type="dxa" w:w="1662"/>
            <w:vAlign w:val="center"/>
            <w:shd w:fill="002147"/>
          </w:tcPr>
          <w:p>
            <w:pPr>
              <w:keepNext/>
              <w:spacing w:before="60" w:after="60" w:line="252" w:lineRule="auto"/>
              <w:ind w:firstLine="0"/>
            </w:pPr>
            <w:r>
              <w:rPr>
                <w:b/>
                <w:color w:val="FFFFFF"/>
                <w:sz w:val="19"/>
              </w:rPr>
              <w:t>Scorer Acceptable / Permissible</w:t>
            </w:r>
          </w:p>
        </w:tc>
        <w:tc>
          <w:tcPr>
            <w:tcW w:type="dxa" w:w="1662"/>
            <w:vAlign w:val="center"/>
            <w:shd w:fill="002147"/>
          </w:tcPr>
          <w:p>
            <w:pPr>
              <w:keepNext/>
              <w:spacing w:before="60" w:after="60" w:line="252" w:lineRule="auto"/>
              <w:ind w:firstLine="0"/>
            </w:pPr>
            <w:r>
              <w:rPr>
                <w:b/>
                <w:color w:val="FFFFFF"/>
                <w:sz w:val="19"/>
              </w:rPr>
              <w:t>Lab-Recorded Limit (records.jsonl)</w:t>
            </w:r>
          </w:p>
        </w:tc>
        <w:tc>
          <w:tcPr>
            <w:tcW w:type="dxa" w:w="1662"/>
            <w:vAlign w:val="center"/>
            <w:shd w:fill="002147"/>
          </w:tcPr>
          <w:p>
            <w:pPr>
              <w:keepNext/>
              <w:spacing w:before="60" w:after="60" w:line="252" w:lineRule="auto"/>
              <w:ind w:firstLine="0"/>
            </w:pPr>
            <w:r>
              <w:rPr>
                <w:b/>
                <w:color w:val="FFFFFF"/>
                <w:sz w:val="19"/>
              </w:rPr>
              <w:t>Weight (w_i) &amp; Strategy</w:t>
            </w:r>
          </w:p>
        </w:tc>
      </w:tr>
      <w:tr>
        <w:trPr>
          <w:cantSplit/>
        </w:trPr>
        <w:tc>
          <w:tcPr>
            <w:tcW w:type="dxa" w:w="1662"/>
            <w:vAlign w:val="center"/>
          </w:tcPr>
          <w:p>
            <w:pPr>
              <w:spacing w:before="60" w:after="60" w:line="252" w:lineRule="auto"/>
              <w:ind w:firstLine="0"/>
            </w:pPr>
            <w:r>
              <w:rPr>
                <w:b/>
                <w:sz w:val="19"/>
              </w:rPr>
              <w:t>Arsenic (arsenic)</w:t>
            </w:r>
          </w:p>
        </w:tc>
        <w:tc>
          <w:tcPr>
            <w:tcW w:type="dxa" w:w="1662"/>
            <w:vAlign w:val="center"/>
          </w:tcPr>
          <w:p>
            <w:pPr>
              <w:spacing w:before="60" w:after="60" w:line="252" w:lineRule="auto"/>
              <w:ind w:firstLine="0"/>
            </w:pPr>
            <w:r>
              <w:rPr>
                <w:sz w:val="19"/>
              </w:rPr>
              <w:t>Table 3, Item (x) + Amend. 1</w:t>
            </w:r>
          </w:p>
        </w:tc>
        <w:tc>
          <w:tcPr>
            <w:tcW w:type="dxa" w:w="1662"/>
            <w:vAlign w:val="center"/>
          </w:tcPr>
          <w:p>
            <w:pPr>
              <w:spacing w:before="60" w:after="60" w:line="252" w:lineRule="auto"/>
              <w:ind w:firstLine="0"/>
            </w:pPr>
            <w:r>
              <w:rPr>
                <w:sz w:val="19"/>
              </w:rPr>
              <w:t>0.01 mg/L / None (No relax.)</w:t>
            </w:r>
          </w:p>
        </w:tc>
        <w:tc>
          <w:tcPr>
            <w:tcW w:type="dxa" w:w="1662"/>
            <w:vAlign w:val="center"/>
          </w:tcPr>
          <w:p>
            <w:pPr>
              <w:spacing w:before="60" w:after="60" w:line="252" w:lineRule="auto"/>
              <w:ind w:firstLine="0"/>
            </w:pPr>
            <w:r>
              <w:rPr>
                <w:sz w:val="19"/>
              </w:rPr>
              <w:t>0.01 mg/L / None (n = 259)</w:t>
            </w:r>
          </w:p>
        </w:tc>
        <w:tc>
          <w:tcPr>
            <w:tcW w:type="dxa" w:w="1662"/>
            <w:vAlign w:val="center"/>
          </w:tcPr>
          <w:p>
            <w:pPr>
              <w:spacing w:before="60" w:after="60" w:line="252" w:lineRule="auto"/>
              <w:ind w:firstLine="0"/>
            </w:pPr>
            <w:r>
              <w:rPr>
                <w:sz w:val="19"/>
              </w:rPr>
              <w:t>1.0 (threshold, Acute)</w:t>
            </w:r>
          </w:p>
        </w:tc>
      </w:tr>
      <w:tr>
        <w:trPr>
          <w:cantSplit/>
        </w:trPr>
        <w:tc>
          <w:tcPr>
            <w:tcW w:type="dxa" w:w="1662"/>
            <w:vAlign w:val="center"/>
            <w:shd w:fill="F4F7FA"/>
          </w:tcPr>
          <w:p>
            <w:pPr>
              <w:spacing w:before="60" w:after="60" w:line="252" w:lineRule="auto"/>
              <w:ind w:firstLine="0"/>
            </w:pPr>
            <w:r>
              <w:rPr>
                <w:b/>
                <w:sz w:val="19"/>
              </w:rPr>
              <w:t>E. coli (e_coli)</w:t>
            </w:r>
          </w:p>
        </w:tc>
        <w:tc>
          <w:tcPr>
            <w:tcW w:type="dxa" w:w="1662"/>
            <w:vAlign w:val="center"/>
            <w:shd w:fill="F4F7FA"/>
          </w:tcPr>
          <w:p>
            <w:pPr>
              <w:spacing w:before="60" w:after="60" w:line="252" w:lineRule="auto"/>
              <w:ind w:firstLine="0"/>
            </w:pPr>
            <w:r>
              <w:rPr>
                <w:sz w:val="19"/>
              </w:rPr>
              <w:t>Table 6, Item (i)</w:t>
            </w:r>
          </w:p>
        </w:tc>
        <w:tc>
          <w:tcPr>
            <w:tcW w:type="dxa" w:w="1662"/>
            <w:vAlign w:val="center"/>
            <w:shd w:fill="F4F7FA"/>
          </w:tcPr>
          <w:p>
            <w:pPr>
              <w:spacing w:before="60" w:after="60" w:line="252" w:lineRule="auto"/>
              <w:ind w:firstLine="0"/>
            </w:pPr>
            <w:r>
              <w:rPr>
                <w:sz w:val="19"/>
              </w:rPr>
              <w:t>0 CFU/100mL / 0 (Absent)</w:t>
            </w:r>
          </w:p>
        </w:tc>
        <w:tc>
          <w:tcPr>
            <w:tcW w:type="dxa" w:w="1662"/>
            <w:vAlign w:val="center"/>
            <w:shd w:fill="F4F7FA"/>
          </w:tcPr>
          <w:p>
            <w:pPr>
              <w:spacing w:before="60" w:after="60" w:line="252" w:lineRule="auto"/>
              <w:ind w:firstLine="0"/>
            </w:pPr>
            <w:r>
              <w:rPr>
                <w:sz w:val="19"/>
              </w:rPr>
              <w:t>0 / 0 (n = 45)</w:t>
            </w:r>
          </w:p>
        </w:tc>
        <w:tc>
          <w:tcPr>
            <w:tcW w:type="dxa" w:w="1662"/>
            <w:vAlign w:val="center"/>
            <w:shd w:fill="F4F7FA"/>
          </w:tcPr>
          <w:p>
            <w:pPr>
              <w:spacing w:before="60" w:after="60" w:line="252" w:lineRule="auto"/>
              <w:ind w:firstLine="0"/>
            </w:pPr>
            <w:r>
              <w:rPr>
                <w:sz w:val="19"/>
              </w:rPr>
              <w:t>0.9 (microbial, Acute)</w:t>
            </w:r>
          </w:p>
        </w:tc>
      </w:tr>
      <w:tr>
        <w:trPr>
          <w:cantSplit/>
        </w:trPr>
        <w:tc>
          <w:tcPr>
            <w:tcW w:type="dxa" w:w="1662"/>
            <w:vAlign w:val="center"/>
          </w:tcPr>
          <w:p>
            <w:pPr>
              <w:spacing w:before="60" w:after="60" w:line="252" w:lineRule="auto"/>
              <w:ind w:firstLine="0"/>
            </w:pPr>
            <w:r>
              <w:rPr>
                <w:b/>
                <w:sz w:val="19"/>
              </w:rPr>
              <w:t>Total Coliform</w:t>
            </w:r>
          </w:p>
        </w:tc>
        <w:tc>
          <w:tcPr>
            <w:tcW w:type="dxa" w:w="1662"/>
            <w:vAlign w:val="center"/>
          </w:tcPr>
          <w:p>
            <w:pPr>
              <w:spacing w:before="60" w:after="60" w:line="252" w:lineRule="auto"/>
              <w:ind w:firstLine="0"/>
            </w:pPr>
            <w:r>
              <w:rPr>
                <w:sz w:val="19"/>
              </w:rPr>
              <w:t>Table 6, Item (ii)</w:t>
            </w:r>
          </w:p>
        </w:tc>
        <w:tc>
          <w:tcPr>
            <w:tcW w:type="dxa" w:w="1662"/>
            <w:vAlign w:val="center"/>
          </w:tcPr>
          <w:p>
            <w:pPr>
              <w:spacing w:before="60" w:after="60" w:line="252" w:lineRule="auto"/>
              <w:ind w:firstLine="0"/>
            </w:pPr>
            <w:r>
              <w:rPr>
                <w:sz w:val="19"/>
              </w:rPr>
              <w:t>0 CFU/100mL / 0 (Absent)</w:t>
            </w:r>
          </w:p>
        </w:tc>
        <w:tc>
          <w:tcPr>
            <w:tcW w:type="dxa" w:w="1662"/>
            <w:vAlign w:val="center"/>
          </w:tcPr>
          <w:p>
            <w:pPr>
              <w:spacing w:before="60" w:after="60" w:line="252" w:lineRule="auto"/>
              <w:ind w:firstLine="0"/>
            </w:pPr>
            <w:r>
              <w:rPr>
                <w:sz w:val="19"/>
              </w:rPr>
              <w:t>0 / 0 (n = 7)</w:t>
            </w:r>
          </w:p>
        </w:tc>
        <w:tc>
          <w:tcPr>
            <w:tcW w:type="dxa" w:w="1662"/>
            <w:vAlign w:val="center"/>
          </w:tcPr>
          <w:p>
            <w:pPr>
              <w:spacing w:before="60" w:after="60" w:line="252" w:lineRule="auto"/>
              <w:ind w:firstLine="0"/>
            </w:pPr>
            <w:r>
              <w:rPr>
                <w:sz w:val="19"/>
              </w:rPr>
              <w:t>0.9 (microbial, Acute)</w:t>
            </w:r>
          </w:p>
        </w:tc>
      </w:tr>
      <w:tr>
        <w:trPr>
          <w:cantSplit/>
        </w:trPr>
        <w:tc>
          <w:tcPr>
            <w:tcW w:type="dxa" w:w="1662"/>
            <w:vAlign w:val="center"/>
            <w:shd w:fill="F4F7FA"/>
          </w:tcPr>
          <w:p>
            <w:pPr>
              <w:spacing w:before="60" w:after="60" w:line="252" w:lineRule="auto"/>
              <w:ind w:firstLine="0"/>
            </w:pPr>
            <w:r>
              <w:rPr>
                <w:b/>
                <w:sz w:val="19"/>
              </w:rPr>
              <w:t>Fluoride (fluoride)</w:t>
            </w:r>
          </w:p>
        </w:tc>
        <w:tc>
          <w:tcPr>
            <w:tcW w:type="dxa" w:w="1662"/>
            <w:vAlign w:val="center"/>
            <w:shd w:fill="F4F7FA"/>
          </w:tcPr>
          <w:p>
            <w:pPr>
              <w:spacing w:before="60" w:after="60" w:line="252" w:lineRule="auto"/>
              <w:ind w:firstLine="0"/>
            </w:pPr>
            <w:r>
              <w:rPr>
                <w:sz w:val="19"/>
              </w:rPr>
              <w:t>Table 2, Item (xiii)</w:t>
            </w:r>
          </w:p>
        </w:tc>
        <w:tc>
          <w:tcPr>
            <w:tcW w:type="dxa" w:w="1662"/>
            <w:vAlign w:val="center"/>
            <w:shd w:fill="F4F7FA"/>
          </w:tcPr>
          <w:p>
            <w:pPr>
              <w:spacing w:before="60" w:after="60" w:line="252" w:lineRule="auto"/>
              <w:ind w:firstLine="0"/>
            </w:pPr>
            <w:r>
              <w:rPr>
                <w:sz w:val="19"/>
              </w:rPr>
              <w:t>1.0 mg/L / 1.5 mg/L</w:t>
            </w:r>
          </w:p>
        </w:tc>
        <w:tc>
          <w:tcPr>
            <w:tcW w:type="dxa" w:w="1662"/>
            <w:vAlign w:val="center"/>
            <w:shd w:fill="F4F7FA"/>
          </w:tcPr>
          <w:p>
            <w:pPr>
              <w:spacing w:before="60" w:after="60" w:line="252" w:lineRule="auto"/>
              <w:ind w:firstLine="0"/>
            </w:pPr>
            <w:r>
              <w:rPr>
                <w:sz w:val="19"/>
              </w:rPr>
              <w:t>1.0 mg/L / 1.5 mg/L (n = 893)</w:t>
            </w:r>
          </w:p>
        </w:tc>
        <w:tc>
          <w:tcPr>
            <w:tcW w:type="dxa" w:w="1662"/>
            <w:vAlign w:val="center"/>
            <w:shd w:fill="F4F7FA"/>
          </w:tcPr>
          <w:p>
            <w:pPr>
              <w:spacing w:before="60" w:after="60" w:line="252" w:lineRule="auto"/>
              <w:ind w:firstLine="0"/>
            </w:pPr>
            <w:r>
              <w:rPr>
                <w:sz w:val="19"/>
              </w:rPr>
              <w:t>0.8 (threshold)</w:t>
            </w:r>
          </w:p>
        </w:tc>
      </w:tr>
      <w:tr>
        <w:trPr>
          <w:cantSplit/>
        </w:trPr>
        <w:tc>
          <w:tcPr>
            <w:tcW w:type="dxa" w:w="1662"/>
            <w:vAlign w:val="center"/>
          </w:tcPr>
          <w:p>
            <w:pPr>
              <w:spacing w:before="60" w:after="60" w:line="252" w:lineRule="auto"/>
              <w:ind w:firstLine="0"/>
            </w:pPr>
            <w:r>
              <w:rPr>
                <w:b/>
                <w:sz w:val="19"/>
              </w:rPr>
              <w:t>Nitrate (nitrate)</w:t>
            </w:r>
          </w:p>
        </w:tc>
        <w:tc>
          <w:tcPr>
            <w:tcW w:type="dxa" w:w="1662"/>
            <w:vAlign w:val="center"/>
          </w:tcPr>
          <w:p>
            <w:pPr>
              <w:spacing w:before="60" w:after="60" w:line="252" w:lineRule="auto"/>
              <w:ind w:firstLine="0"/>
            </w:pPr>
            <w:r>
              <w:rPr>
                <w:sz w:val="19"/>
              </w:rPr>
              <w:t>Table 2, Item (xvii)</w:t>
            </w:r>
          </w:p>
        </w:tc>
        <w:tc>
          <w:tcPr>
            <w:tcW w:type="dxa" w:w="1662"/>
            <w:vAlign w:val="center"/>
          </w:tcPr>
          <w:p>
            <w:pPr>
              <w:spacing w:before="60" w:after="60" w:line="252" w:lineRule="auto"/>
              <w:ind w:firstLine="0"/>
            </w:pPr>
            <w:r>
              <w:rPr>
                <w:sz w:val="19"/>
              </w:rPr>
              <w:t>45.0 mg/L / None (No relax.)</w:t>
            </w:r>
          </w:p>
        </w:tc>
        <w:tc>
          <w:tcPr>
            <w:tcW w:type="dxa" w:w="1662"/>
            <w:vAlign w:val="center"/>
          </w:tcPr>
          <w:p>
            <w:pPr>
              <w:spacing w:before="60" w:after="60" w:line="252" w:lineRule="auto"/>
              <w:ind w:firstLine="0"/>
            </w:pPr>
            <w:r>
              <w:rPr>
                <w:sz w:val="19"/>
              </w:rPr>
              <w:t>45.0 mg/L / None (n = 583)</w:t>
            </w:r>
          </w:p>
        </w:tc>
        <w:tc>
          <w:tcPr>
            <w:tcW w:type="dxa" w:w="1662"/>
            <w:vAlign w:val="center"/>
          </w:tcPr>
          <w:p>
            <w:pPr>
              <w:spacing w:before="60" w:after="60" w:line="252" w:lineRule="auto"/>
              <w:ind w:firstLine="0"/>
            </w:pPr>
            <w:r>
              <w:rPr>
                <w:sz w:val="19"/>
              </w:rPr>
              <w:t>0.7 (threshold)</w:t>
            </w:r>
          </w:p>
        </w:tc>
      </w:tr>
      <w:tr>
        <w:trPr>
          <w:cantSplit/>
        </w:trPr>
        <w:tc>
          <w:tcPr>
            <w:tcW w:type="dxa" w:w="1662"/>
            <w:vAlign w:val="center"/>
            <w:shd w:fill="F4F7FA"/>
          </w:tcPr>
          <w:p>
            <w:pPr>
              <w:spacing w:before="60" w:after="60" w:line="252" w:lineRule="auto"/>
              <w:ind w:firstLine="0"/>
            </w:pPr>
            <w:r>
              <w:rPr>
                <w:b/>
                <w:sz w:val="19"/>
              </w:rPr>
              <w:t>Sulphate (sulphate)</w:t>
            </w:r>
          </w:p>
        </w:tc>
        <w:tc>
          <w:tcPr>
            <w:tcW w:type="dxa" w:w="1662"/>
            <w:vAlign w:val="center"/>
            <w:shd w:fill="F4F7FA"/>
          </w:tcPr>
          <w:p>
            <w:pPr>
              <w:spacing w:before="60" w:after="60" w:line="252" w:lineRule="auto"/>
              <w:ind w:firstLine="0"/>
            </w:pPr>
            <w:r>
              <w:rPr>
                <w:sz w:val="19"/>
              </w:rPr>
              <w:t>Table 2, Item (xiv)</w:t>
            </w:r>
          </w:p>
        </w:tc>
        <w:tc>
          <w:tcPr>
            <w:tcW w:type="dxa" w:w="1662"/>
            <w:vAlign w:val="center"/>
            <w:shd w:fill="F4F7FA"/>
          </w:tcPr>
          <w:p>
            <w:pPr>
              <w:spacing w:before="60" w:after="60" w:line="252" w:lineRule="auto"/>
              <w:ind w:firstLine="0"/>
            </w:pPr>
            <w:r>
              <w:rPr>
                <w:sz w:val="19"/>
              </w:rPr>
              <w:t>200.0 mg/L / 400.0 mg/L</w:t>
            </w:r>
          </w:p>
        </w:tc>
        <w:tc>
          <w:tcPr>
            <w:tcW w:type="dxa" w:w="1662"/>
            <w:vAlign w:val="center"/>
            <w:shd w:fill="F4F7FA"/>
          </w:tcPr>
          <w:p>
            <w:pPr>
              <w:spacing w:before="60" w:after="60" w:line="252" w:lineRule="auto"/>
              <w:ind w:firstLine="0"/>
            </w:pPr>
            <w:r>
              <w:rPr>
                <w:sz w:val="19"/>
              </w:rPr>
              <w:t>200.0 / 400.0 mg/L (n = 467)</w:t>
            </w:r>
          </w:p>
        </w:tc>
        <w:tc>
          <w:tcPr>
            <w:tcW w:type="dxa" w:w="1662"/>
            <w:vAlign w:val="center"/>
            <w:shd w:fill="F4F7FA"/>
          </w:tcPr>
          <w:p>
            <w:pPr>
              <w:spacing w:before="60" w:after="60" w:line="252" w:lineRule="auto"/>
              <w:ind w:firstLine="0"/>
            </w:pPr>
            <w:r>
              <w:rPr>
                <w:sz w:val="19"/>
              </w:rPr>
              <w:t>0.5 (threshold)</w:t>
            </w:r>
          </w:p>
        </w:tc>
      </w:tr>
      <w:tr>
        <w:trPr>
          <w:cantSplit/>
        </w:trPr>
        <w:tc>
          <w:tcPr>
            <w:tcW w:type="dxa" w:w="1662"/>
            <w:vAlign w:val="center"/>
          </w:tcPr>
          <w:p>
            <w:pPr>
              <w:spacing w:before="60" w:after="60" w:line="252" w:lineRule="auto"/>
              <w:ind w:firstLine="0"/>
            </w:pPr>
            <w:r>
              <w:rPr>
                <w:b/>
                <w:sz w:val="19"/>
              </w:rPr>
              <w:t>Iron (iron)</w:t>
            </w:r>
          </w:p>
        </w:tc>
        <w:tc>
          <w:tcPr>
            <w:tcW w:type="dxa" w:w="1662"/>
            <w:vAlign w:val="center"/>
          </w:tcPr>
          <w:p>
            <w:pPr>
              <w:spacing w:before="60" w:after="60" w:line="252" w:lineRule="auto"/>
              <w:ind w:firstLine="0"/>
            </w:pPr>
            <w:r>
              <w:rPr>
                <w:sz w:val="19"/>
              </w:rPr>
              <w:t>Table 2, Item (xii)</w:t>
            </w:r>
          </w:p>
        </w:tc>
        <w:tc>
          <w:tcPr>
            <w:tcW w:type="dxa" w:w="1662"/>
            <w:vAlign w:val="center"/>
          </w:tcPr>
          <w:p>
            <w:pPr>
              <w:spacing w:before="60" w:after="60" w:line="252" w:lineRule="auto"/>
              <w:ind w:firstLine="0"/>
            </w:pPr>
            <w:r>
              <w:rPr>
                <w:sz w:val="19"/>
              </w:rPr>
              <w:t>0.3 mg/L / None (No relax.)</w:t>
            </w:r>
          </w:p>
        </w:tc>
        <w:tc>
          <w:tcPr>
            <w:tcW w:type="dxa" w:w="1662"/>
            <w:vAlign w:val="center"/>
          </w:tcPr>
          <w:p>
            <w:pPr>
              <w:spacing w:before="60" w:after="60" w:line="252" w:lineRule="auto"/>
              <w:ind w:firstLine="0"/>
            </w:pPr>
            <w:r>
              <w:rPr>
                <w:sz w:val="19"/>
              </w:rPr>
              <w:t>1.0 mg/L / None (all 876 rows)</w:t>
            </w:r>
          </w:p>
        </w:tc>
        <w:tc>
          <w:tcPr>
            <w:tcW w:type="dxa" w:w="1662"/>
            <w:vAlign w:val="center"/>
          </w:tcPr>
          <w:p>
            <w:pPr>
              <w:spacing w:before="60" w:after="60" w:line="252" w:lineRule="auto"/>
              <w:ind w:firstLine="0"/>
            </w:pPr>
            <w:r>
              <w:rPr>
                <w:sz w:val="19"/>
              </w:rPr>
              <w:t>0.4 (threshold)</w:t>
            </w:r>
          </w:p>
        </w:tc>
      </w:tr>
      <w:tr>
        <w:trPr>
          <w:cantSplit/>
        </w:trPr>
        <w:tc>
          <w:tcPr>
            <w:tcW w:type="dxa" w:w="1662"/>
            <w:vAlign w:val="center"/>
            <w:shd w:fill="F4F7FA"/>
          </w:tcPr>
          <w:p>
            <w:pPr>
              <w:spacing w:before="60" w:after="60" w:line="252" w:lineRule="auto"/>
              <w:ind w:firstLine="0"/>
            </w:pPr>
            <w:r>
              <w:rPr>
                <w:b/>
                <w:sz w:val="19"/>
              </w:rPr>
              <w:t>Turbidity (turbidity)</w:t>
            </w:r>
          </w:p>
        </w:tc>
        <w:tc>
          <w:tcPr>
            <w:tcW w:type="dxa" w:w="1662"/>
            <w:vAlign w:val="center"/>
            <w:shd w:fill="F4F7FA"/>
          </w:tcPr>
          <w:p>
            <w:pPr>
              <w:spacing w:before="60" w:after="60" w:line="252" w:lineRule="auto"/>
              <w:ind w:firstLine="0"/>
            </w:pPr>
            <w:r>
              <w:rPr>
                <w:sz w:val="19"/>
              </w:rPr>
              <w:t>Table 1, Item (ii)</w:t>
            </w:r>
          </w:p>
        </w:tc>
        <w:tc>
          <w:tcPr>
            <w:tcW w:type="dxa" w:w="1662"/>
            <w:vAlign w:val="center"/>
            <w:shd w:fill="F4F7FA"/>
          </w:tcPr>
          <w:p>
            <w:pPr>
              <w:spacing w:before="60" w:after="60" w:line="252" w:lineRule="auto"/>
              <w:ind w:firstLine="0"/>
            </w:pPr>
            <w:r>
              <w:rPr>
                <w:sz w:val="19"/>
              </w:rPr>
              <w:t>1.0 NTU / 5.0 NTU</w:t>
            </w:r>
          </w:p>
        </w:tc>
        <w:tc>
          <w:tcPr>
            <w:tcW w:type="dxa" w:w="1662"/>
            <w:vAlign w:val="center"/>
            <w:shd w:fill="F4F7FA"/>
          </w:tcPr>
          <w:p>
            <w:pPr>
              <w:spacing w:before="60" w:after="60" w:line="252" w:lineRule="auto"/>
              <w:ind w:firstLine="0"/>
            </w:pPr>
            <w:r>
              <w:rPr>
                <w:sz w:val="19"/>
              </w:rPr>
              <w:t>1.0 NTU / 5.0 NTU (n = 998)</w:t>
            </w:r>
          </w:p>
        </w:tc>
        <w:tc>
          <w:tcPr>
            <w:tcW w:type="dxa" w:w="1662"/>
            <w:vAlign w:val="center"/>
            <w:shd w:fill="F4F7FA"/>
          </w:tcPr>
          <w:p>
            <w:pPr>
              <w:spacing w:before="60" w:after="60" w:line="252" w:lineRule="auto"/>
              <w:ind w:firstLine="0"/>
            </w:pPr>
            <w:r>
              <w:rPr>
                <w:sz w:val="19"/>
              </w:rPr>
              <w:t>0.3 (threshold)</w:t>
            </w:r>
          </w:p>
        </w:tc>
      </w:tr>
      <w:tr>
        <w:trPr>
          <w:cantSplit/>
        </w:trPr>
        <w:tc>
          <w:tcPr>
            <w:tcW w:type="dxa" w:w="1662"/>
            <w:vAlign w:val="center"/>
          </w:tcPr>
          <w:p>
            <w:pPr>
              <w:spacing w:before="60" w:after="60" w:line="252" w:lineRule="auto"/>
              <w:ind w:firstLine="0"/>
            </w:pPr>
            <w:r>
              <w:rPr>
                <w:b/>
                <w:sz w:val="19"/>
              </w:rPr>
              <w:t>TDS (tds)</w:t>
            </w:r>
          </w:p>
        </w:tc>
        <w:tc>
          <w:tcPr>
            <w:tcW w:type="dxa" w:w="1662"/>
            <w:vAlign w:val="center"/>
          </w:tcPr>
          <w:p>
            <w:pPr>
              <w:spacing w:before="60" w:after="60" w:line="252" w:lineRule="auto"/>
              <w:ind w:firstLine="0"/>
            </w:pPr>
            <w:r>
              <w:rPr>
                <w:sz w:val="19"/>
              </w:rPr>
              <w:t>Table 1, Item (vi)</w:t>
            </w:r>
          </w:p>
        </w:tc>
        <w:tc>
          <w:tcPr>
            <w:tcW w:type="dxa" w:w="1662"/>
            <w:vAlign w:val="center"/>
          </w:tcPr>
          <w:p>
            <w:pPr>
              <w:spacing w:before="60" w:after="60" w:line="252" w:lineRule="auto"/>
              <w:ind w:firstLine="0"/>
            </w:pPr>
            <w:r>
              <w:rPr>
                <w:sz w:val="19"/>
              </w:rPr>
              <w:t>500.0 mg/L / 2000.0 mg/L</w:t>
            </w:r>
          </w:p>
        </w:tc>
        <w:tc>
          <w:tcPr>
            <w:tcW w:type="dxa" w:w="1662"/>
            <w:vAlign w:val="center"/>
          </w:tcPr>
          <w:p>
            <w:pPr>
              <w:spacing w:before="60" w:after="60" w:line="252" w:lineRule="auto"/>
              <w:ind w:firstLine="0"/>
            </w:pPr>
            <w:r>
              <w:rPr>
                <w:sz w:val="19"/>
              </w:rPr>
              <w:t>500.0 / 2000.0 mg/L (n = 1,295)</w:t>
            </w:r>
          </w:p>
        </w:tc>
        <w:tc>
          <w:tcPr>
            <w:tcW w:type="dxa" w:w="1662"/>
            <w:vAlign w:val="center"/>
          </w:tcPr>
          <w:p>
            <w:pPr>
              <w:spacing w:before="60" w:after="60" w:line="252" w:lineRule="auto"/>
              <w:ind w:firstLine="0"/>
            </w:pPr>
            <w:r>
              <w:rPr>
                <w:sz w:val="19"/>
              </w:rPr>
              <w:t>0.3 (threshold)</w:t>
            </w:r>
          </w:p>
        </w:tc>
      </w:tr>
      <w:tr>
        <w:trPr>
          <w:cantSplit/>
        </w:trPr>
        <w:tc>
          <w:tcPr>
            <w:tcW w:type="dxa" w:w="1662"/>
            <w:vAlign w:val="center"/>
            <w:shd w:fill="F4F7FA"/>
          </w:tcPr>
          <w:p>
            <w:pPr>
              <w:spacing w:before="60" w:after="60" w:line="252" w:lineRule="auto"/>
              <w:ind w:firstLine="0"/>
            </w:pPr>
            <w:r>
              <w:rPr>
                <w:b/>
                <w:sz w:val="19"/>
              </w:rPr>
              <w:t>pH (ph)</w:t>
            </w:r>
          </w:p>
        </w:tc>
        <w:tc>
          <w:tcPr>
            <w:tcW w:type="dxa" w:w="1662"/>
            <w:vAlign w:val="center"/>
            <w:shd w:fill="F4F7FA"/>
          </w:tcPr>
          <w:p>
            <w:pPr>
              <w:spacing w:before="60" w:after="60" w:line="252" w:lineRule="auto"/>
              <w:ind w:firstLine="0"/>
            </w:pPr>
            <w:r>
              <w:rPr>
                <w:sz w:val="19"/>
              </w:rPr>
              <w:t>Table 1, Item (iv)</w:t>
            </w:r>
          </w:p>
        </w:tc>
        <w:tc>
          <w:tcPr>
            <w:tcW w:type="dxa" w:w="1662"/>
            <w:vAlign w:val="center"/>
            <w:shd w:fill="F4F7FA"/>
          </w:tcPr>
          <w:p>
            <w:pPr>
              <w:spacing w:before="60" w:after="60" w:line="252" w:lineRule="auto"/>
              <w:ind w:firstLine="0"/>
            </w:pPr>
            <w:r>
              <w:rPr>
                <w:sz w:val="19"/>
              </w:rPr>
              <w:t>6.5 – 8.5 (range)</w:t>
            </w:r>
          </w:p>
        </w:tc>
        <w:tc>
          <w:tcPr>
            <w:tcW w:type="dxa" w:w="1662"/>
            <w:vAlign w:val="center"/>
            <w:shd w:fill="F4F7FA"/>
          </w:tcPr>
          <w:p>
            <w:pPr>
              <w:spacing w:before="60" w:after="60" w:line="252" w:lineRule="auto"/>
              <w:ind w:firstLine="0"/>
            </w:pPr>
            <w:r>
              <w:rPr>
                <w:sz w:val="19"/>
              </w:rPr>
              <w:t>6.5 – 8.5 (n = 1,369)</w:t>
            </w:r>
          </w:p>
        </w:tc>
        <w:tc>
          <w:tcPr>
            <w:tcW w:type="dxa" w:w="1662"/>
            <w:vAlign w:val="center"/>
            <w:shd w:fill="F4F7FA"/>
          </w:tcPr>
          <w:p>
            <w:pPr>
              <w:spacing w:before="60" w:after="60" w:line="252" w:lineRule="auto"/>
              <w:ind w:firstLine="0"/>
            </w:pPr>
            <w:r>
              <w:rPr>
                <w:sz w:val="19"/>
              </w:rPr>
              <w:t>0.2 (range)</w:t>
            </w:r>
          </w:p>
        </w:tc>
      </w:tr>
    </w:tbl>
    <w:p>
      <w:pPr>
        <w:spacing w:before="0" w:after="80"/>
      </w:pPr>
    </w:p>
    <w:p>
      <w:pPr>
        <w:spacing w:line="336" w:lineRule="auto" w:before="0" w:after="120"/>
        <w:ind w:firstLine="576"/>
        <w:jc w:val="both"/>
      </w:pPr>
      <w:r>
        <w:rPr>
          <w:sz w:val="23"/>
        </w:rPr>
        <w:t>For any parameter i with acceptable limit a_i and permissible limit p_i &gt; a_i, per-parameter severity s_i is 0.0 when v_i &lt;= a_i, and min(1.0, (v_i - a_i)/(p_i - a_i)) when v_i &gt; a_i. For no-relaxation parameters (p_i = None: iron, nitrate, arsenic) and microbial parameters (E. coli, total coliform), any reading above a_i assigns s_i = 1.0. For pH, deviation outside [6.5, 8.5] is scaled over 1.0 pH unit and capped at 1.0. Two composite risk score (CRS) formulations were evaluated across the project:</w:t>
      </w:r>
    </w:p>
    <w:p>
      <w:pPr>
        <w:pStyle w:val="ListBullet"/>
        <w:spacing w:line="312" w:lineRule="auto" w:before="0" w:after="80"/>
        <w:ind w:firstLine="0"/>
        <w:jc w:val="both"/>
      </w:pPr>
      <w:r>
        <w:rPr>
          <w:b/>
          <w:sz w:val="22"/>
        </w:rPr>
        <w:t xml:space="preserve">Model v1 (Baseline Tested-Weight Formulation): </w:t>
      </w:r>
      <w:r>
        <w:rPr>
          <w:sz w:val="22"/>
        </w:rPr>
        <w:t>CRS_v1 = 100 * sum(w_i * s_i) / sum(w_i,tested) across the 8 primary parameters (6,318 readings), with bands Critical (&gt;= 75), High (50–74.99), Medium (25–49.99), and Low (&lt; 25), where any full breach (s_i = 1.0) floors the band at High and any acute hazard (E. coli, total coliform, arsenic) floors at Critical.</w:t>
      </w:r>
    </w:p>
    <w:p>
      <w:pPr>
        <w:pStyle w:val="ListBullet"/>
        <w:spacing w:line="312" w:lineRule="auto" w:before="0" w:after="80"/>
        <w:ind w:firstLine="0"/>
        <w:jc w:val="both"/>
      </w:pPr>
      <w:r>
        <w:rPr>
          <w:b/>
          <w:sz w:val="22"/>
        </w:rPr>
        <w:t xml:space="preserve">Model v2 (Week 12 Coverage-Adjusted Total-Weight Formulation in scoring.py, commit 7331a9b): </w:t>
      </w:r>
      <w:r>
        <w:rPr>
          <w:sz w:val="22"/>
        </w:rPr>
        <w:t>CRS_v2 = 100 * sum(w_i * s_i) / TOTAL_BIS_WEIGHT, where TOTAL_BIS_WEIGHT = 6.0 is the sum of weights across all 10 BIS parameters (scoring all 6,792 readings), zero values for detection-limited parameters (arsenic, E. coli, total coliform) are treated as below-detection-limit, severity bands are calibrated to the reachable score range (Critical &gt;= 40, High &gt;= 20, Medium &gt;= 10, Low &lt; 10), and automatic band escalation is restricted strictly to ACUTE_HAZARDS (arsenic, E. coli, total coliform).</w:t>
      </w:r>
    </w:p>
    <w:p>
      <w:pPr>
        <w:keepNext/>
        <w:spacing w:before="240" w:after="80"/>
        <w:ind w:firstLine="0"/>
      </w:pPr>
      <w:r>
        <w:rPr>
          <w:b/>
          <w:color w:val="002147"/>
          <w:sz w:val="24"/>
        </w:rPr>
        <w:t>3.3 Data Acquisition and Provenance</w:t>
      </w:r>
    </w:p>
    <w:p>
      <w:pPr>
        <w:spacing w:line="336" w:lineRule="auto" w:before="0" w:after="120"/>
        <w:ind w:firstLine="576"/>
        <w:jc w:val="both"/>
      </w:pPr>
      <w:r>
        <w:rPr>
          <w:sz w:val="23"/>
        </w:rPr>
        <w:t>Publicly accessible sample report pages (/WQMIS/Common/final_report_print) were retrieved in batches of up to 500 valid reports between 23 August and 20 September 2026 using up to 6 parallel workers; individual HTTP request logs and rates were not retained. The raw file data/raw/wqmis/records.jsonl grew across four committed batches: 149 lines (23 Aug), 822 lines (1 Sep), 1,322 lines (7 Sep), and 1,822 lines (20 Sep). Of the 1,822 retrieved records, 81 contained empty laboratory result arrays and were excluded during ingestion, yielding exactly 1,741 valid scored samples (sample collection dates spanning 2022-07-01 to 2022-11-19) and 6,792 discrete parameter readings. Because sample identifiers were enumerated within contiguous laboratory ID blocks rather than drawn via a random spatial frame, corpus comparisons describe the collected sample rather than population prevalence. For historical context, the 2009–2012 DDWS Quality-Affected Habitations registry was loaded and deduplicated to 100,690 distinct contamination events across 14,006 villages in 93 historical districts (65 UP, 28 Bihar).</w:t>
      </w:r>
    </w:p>
    <w:p>
      <w:pPr>
        <w:keepNext/>
        <w:spacing w:before="320" w:after="120"/>
        <w:ind w:firstLine="0"/>
      </w:pPr>
      <w:r>
        <w:rPr>
          <w:b/>
          <w:color w:val="002147"/>
          <w:sz w:val="28"/>
        </w:rPr>
        <w:t>4. Results</w:t>
      </w:r>
    </w:p>
    <w:p>
      <w:pPr>
        <w:keepNext/>
        <w:spacing w:before="240" w:after="80"/>
        <w:ind w:firstLine="0"/>
      </w:pPr>
      <w:r>
        <w:rPr>
          <w:b/>
          <w:color w:val="002147"/>
          <w:sz w:val="24"/>
        </w:rPr>
        <w:t>4.1 Three-Way Scoring and Iron Limit Sensitivity Analysis</w:t>
      </w:r>
    </w:p>
    <w:p>
      <w:pPr>
        <w:spacing w:line="336" w:lineRule="auto" w:before="0" w:after="120"/>
        <w:ind w:firstLine="576"/>
        <w:jc w:val="both"/>
      </w:pPr>
      <w:r>
        <w:rPr>
          <w:sz w:val="23"/>
        </w:rPr>
        <w:t>Cross-checking raw laboratory payloads in records.jsonl against BIS IS 10500:2012 revealed a critical threshold discrepancy: while IS 10500:2012 Table 2 item (xii) sets the acceptable Iron limit at 0.3 mg/L with 'No relaxation', all 876 iron readings in records.jsonl (450 Bihar, 426 Uttar Pradesh) record an acceptable limit of 1.0 mg/L on the laboratory report itself (reflecting older BIS relaxation rules). Table 2 presents the complete side-by-side results on the frozen 1,741-sample corpus across Model v1 at 0.3 mg/L (BIS text), Model v1 at 1.0 mg/L (lab-recorded limit), and Model v2 at 0.3 mg/L (coverage-adjusted total-weight normalization).</w:t>
      </w:r>
    </w:p>
    <w:tbl>
      <w:tblPr>
        <w:tblW w:type="auto" w:w="0"/>
        <w:jc w:val="center"/>
        <w:tblLook w:firstColumn="1" w:firstRow="1" w:lastColumn="0" w:lastRow="0" w:noHBand="0" w:noVBand="1" w:val="04A0"/>
      </w:tblPr>
      <w:tblGrid>
        <w:gridCol w:w="2077"/>
        <w:gridCol w:w="2077"/>
        <w:gridCol w:w="2077"/>
        <w:gridCol w:w="2077"/>
      </w:tblGrid>
      <w:tr>
        <w:trPr>
          <w:tblHeader/>
        </w:trPr>
        <w:tc>
          <w:tcPr>
            <w:tcW w:type="dxa" w:w="2077"/>
            <w:vAlign w:val="center"/>
            <w:shd w:fill="002147"/>
          </w:tcPr>
          <w:p>
            <w:pPr>
              <w:keepNext/>
              <w:spacing w:before="60" w:after="60" w:line="252" w:lineRule="auto"/>
              <w:ind w:firstLine="0"/>
            </w:pPr>
            <w:r>
              <w:rPr>
                <w:b/>
                <w:color w:val="FFFFFF"/>
                <w:sz w:val="19"/>
              </w:rPr>
              <w:t>Metric / Cohort (N = 1,741 Samples)</w:t>
            </w:r>
          </w:p>
        </w:tc>
        <w:tc>
          <w:tcPr>
            <w:tcW w:type="dxa" w:w="2077"/>
            <w:vAlign w:val="center"/>
            <w:shd w:fill="002147"/>
          </w:tcPr>
          <w:p>
            <w:pPr>
              <w:keepNext/>
              <w:spacing w:before="60" w:after="60" w:line="252" w:lineRule="auto"/>
              <w:ind w:firstLine="0"/>
            </w:pPr>
            <w:r>
              <w:rPr>
                <w:b/>
                <w:color w:val="FFFFFF"/>
                <w:sz w:val="19"/>
              </w:rPr>
              <w:t>Model v1: Tested-Weight (Fe = 0.3 mg/L BIS Text)</w:t>
            </w:r>
          </w:p>
        </w:tc>
        <w:tc>
          <w:tcPr>
            <w:tcW w:type="dxa" w:w="2077"/>
            <w:vAlign w:val="center"/>
            <w:shd w:fill="002147"/>
          </w:tcPr>
          <w:p>
            <w:pPr>
              <w:keepNext/>
              <w:spacing w:before="60" w:after="60" w:line="252" w:lineRule="auto"/>
              <w:ind w:firstLine="0"/>
            </w:pPr>
            <w:r>
              <w:rPr>
                <w:b/>
                <w:color w:val="FFFFFF"/>
                <w:sz w:val="19"/>
              </w:rPr>
              <w:t>Sensitivity: Tested-Weight (Fe = 1.0 mg/L Lab Record)</w:t>
            </w:r>
          </w:p>
        </w:tc>
        <w:tc>
          <w:tcPr>
            <w:tcW w:type="dxa" w:w="2077"/>
            <w:vAlign w:val="center"/>
            <w:shd w:fill="002147"/>
          </w:tcPr>
          <w:p>
            <w:pPr>
              <w:keepNext/>
              <w:spacing w:before="60" w:after="60" w:line="252" w:lineRule="auto"/>
              <w:ind w:firstLine="0"/>
            </w:pPr>
            <w:r>
              <w:rPr>
                <w:b/>
                <w:color w:val="FFFFFF"/>
                <w:sz w:val="19"/>
              </w:rPr>
              <w:t>Model v2: Total-Weight / 6.0 (10 Params, 40/20/10 Bands)</w:t>
            </w:r>
          </w:p>
        </w:tc>
      </w:tr>
      <w:tr>
        <w:trPr>
          <w:cantSplit/>
        </w:trPr>
        <w:tc>
          <w:tcPr>
            <w:tcW w:type="dxa" w:w="2077"/>
            <w:vAlign w:val="center"/>
          </w:tcPr>
          <w:p>
            <w:pPr>
              <w:spacing w:before="60" w:after="60" w:line="252" w:lineRule="auto"/>
              <w:ind w:firstLine="0"/>
            </w:pPr>
            <w:r>
              <w:rPr>
                <w:b/>
                <w:sz w:val="19"/>
              </w:rPr>
              <w:t>Critical Band Count (%)</w:t>
            </w:r>
          </w:p>
        </w:tc>
        <w:tc>
          <w:tcPr>
            <w:tcW w:type="dxa" w:w="2077"/>
            <w:vAlign w:val="center"/>
          </w:tcPr>
          <w:p>
            <w:pPr>
              <w:spacing w:before="60" w:after="60" w:line="252" w:lineRule="auto"/>
              <w:ind w:firstLine="0"/>
            </w:pPr>
            <w:r>
              <w:rPr>
                <w:sz w:val="19"/>
              </w:rPr>
              <w:t>89 (5.1%)</w:t>
            </w:r>
          </w:p>
        </w:tc>
        <w:tc>
          <w:tcPr>
            <w:tcW w:type="dxa" w:w="2077"/>
            <w:vAlign w:val="center"/>
          </w:tcPr>
          <w:p>
            <w:pPr>
              <w:spacing w:before="60" w:after="60" w:line="252" w:lineRule="auto"/>
              <w:ind w:firstLine="0"/>
            </w:pPr>
            <w:r>
              <w:rPr>
                <w:sz w:val="19"/>
              </w:rPr>
              <w:t>5 (0.3%) [Graded: 5]</w:t>
            </w:r>
          </w:p>
        </w:tc>
        <w:tc>
          <w:tcPr>
            <w:tcW w:type="dxa" w:w="2077"/>
            <w:vAlign w:val="center"/>
          </w:tcPr>
          <w:p>
            <w:pPr>
              <w:spacing w:before="60" w:after="60" w:line="252" w:lineRule="auto"/>
              <w:ind w:firstLine="0"/>
            </w:pPr>
            <w:r>
              <w:rPr>
                <w:sz w:val="19"/>
              </w:rPr>
              <w:t>3 (0.2%)</w:t>
            </w:r>
          </w:p>
        </w:tc>
      </w:tr>
      <w:tr>
        <w:trPr>
          <w:cantSplit/>
        </w:trPr>
        <w:tc>
          <w:tcPr>
            <w:tcW w:type="dxa" w:w="2077"/>
            <w:vAlign w:val="center"/>
            <w:shd w:fill="F4F7FA"/>
          </w:tcPr>
          <w:p>
            <w:pPr>
              <w:spacing w:before="60" w:after="60" w:line="252" w:lineRule="auto"/>
              <w:ind w:firstLine="0"/>
            </w:pPr>
            <w:r>
              <w:rPr>
                <w:b/>
                <w:sz w:val="19"/>
              </w:rPr>
              <w:t>High Band Count (%)</w:t>
            </w:r>
          </w:p>
        </w:tc>
        <w:tc>
          <w:tcPr>
            <w:tcW w:type="dxa" w:w="2077"/>
            <w:vAlign w:val="center"/>
            <w:shd w:fill="F4F7FA"/>
          </w:tcPr>
          <w:p>
            <w:pPr>
              <w:spacing w:before="60" w:after="60" w:line="252" w:lineRule="auto"/>
              <w:ind w:firstLine="0"/>
            </w:pPr>
            <w:r>
              <w:rPr>
                <w:sz w:val="19"/>
              </w:rPr>
              <w:t>392 (22.5%)</w:t>
            </w:r>
          </w:p>
        </w:tc>
        <w:tc>
          <w:tcPr>
            <w:tcW w:type="dxa" w:w="2077"/>
            <w:vAlign w:val="center"/>
            <w:shd w:fill="F4F7FA"/>
          </w:tcPr>
          <w:p>
            <w:pPr>
              <w:spacing w:before="60" w:after="60" w:line="252" w:lineRule="auto"/>
              <w:ind w:firstLine="0"/>
            </w:pPr>
            <w:r>
              <w:rPr>
                <w:sz w:val="19"/>
              </w:rPr>
              <w:t>139 (8.0%) [No-floor: 30]</w:t>
            </w:r>
          </w:p>
        </w:tc>
        <w:tc>
          <w:tcPr>
            <w:tcW w:type="dxa" w:w="2077"/>
            <w:vAlign w:val="center"/>
            <w:shd w:fill="F4F7FA"/>
          </w:tcPr>
          <w:p>
            <w:pPr>
              <w:spacing w:before="60" w:after="60" w:line="252" w:lineRule="auto"/>
              <w:ind w:firstLine="0"/>
            </w:pPr>
            <w:r>
              <w:rPr>
                <w:sz w:val="19"/>
              </w:rPr>
              <w:t>54 (3.1%)</w:t>
            </w:r>
          </w:p>
        </w:tc>
      </w:tr>
      <w:tr>
        <w:trPr>
          <w:cantSplit/>
        </w:trPr>
        <w:tc>
          <w:tcPr>
            <w:tcW w:type="dxa" w:w="2077"/>
            <w:vAlign w:val="center"/>
          </w:tcPr>
          <w:p>
            <w:pPr>
              <w:spacing w:before="60" w:after="60" w:line="252" w:lineRule="auto"/>
              <w:ind w:firstLine="0"/>
            </w:pPr>
            <w:r>
              <w:rPr>
                <w:b/>
                <w:sz w:val="19"/>
              </w:rPr>
              <w:t>Medium Band Count (%)</w:t>
            </w:r>
          </w:p>
        </w:tc>
        <w:tc>
          <w:tcPr>
            <w:tcW w:type="dxa" w:w="2077"/>
            <w:vAlign w:val="center"/>
          </w:tcPr>
          <w:p>
            <w:pPr>
              <w:spacing w:before="60" w:after="60" w:line="252" w:lineRule="auto"/>
              <w:ind w:firstLine="0"/>
            </w:pPr>
            <w:r>
              <w:rPr>
                <w:sz w:val="19"/>
              </w:rPr>
              <w:t>28 (1.6%)</w:t>
            </w:r>
          </w:p>
        </w:tc>
        <w:tc>
          <w:tcPr>
            <w:tcW w:type="dxa" w:w="2077"/>
            <w:vAlign w:val="center"/>
          </w:tcPr>
          <w:p>
            <w:pPr>
              <w:spacing w:before="60" w:after="60" w:line="252" w:lineRule="auto"/>
              <w:ind w:firstLine="0"/>
            </w:pPr>
            <w:r>
              <w:rPr>
                <w:sz w:val="19"/>
              </w:rPr>
              <w:t>30 (1.7%) [No-floor: 97]</w:t>
            </w:r>
          </w:p>
        </w:tc>
        <w:tc>
          <w:tcPr>
            <w:tcW w:type="dxa" w:w="2077"/>
            <w:vAlign w:val="center"/>
          </w:tcPr>
          <w:p>
            <w:pPr>
              <w:spacing w:before="60" w:after="60" w:line="252" w:lineRule="auto"/>
              <w:ind w:firstLine="0"/>
            </w:pPr>
            <w:r>
              <w:rPr>
                <w:sz w:val="19"/>
              </w:rPr>
              <w:t>125 (7.2%)</w:t>
            </w:r>
          </w:p>
        </w:tc>
      </w:tr>
      <w:tr>
        <w:trPr>
          <w:cantSplit/>
        </w:trPr>
        <w:tc>
          <w:tcPr>
            <w:tcW w:type="dxa" w:w="2077"/>
            <w:vAlign w:val="center"/>
            <w:shd w:fill="F4F7FA"/>
          </w:tcPr>
          <w:p>
            <w:pPr>
              <w:spacing w:before="60" w:after="60" w:line="252" w:lineRule="auto"/>
              <w:ind w:firstLine="0"/>
            </w:pPr>
            <w:r>
              <w:rPr>
                <w:b/>
                <w:sz w:val="19"/>
              </w:rPr>
              <w:t>Low Band Count (%)</w:t>
            </w:r>
          </w:p>
        </w:tc>
        <w:tc>
          <w:tcPr>
            <w:tcW w:type="dxa" w:w="2077"/>
            <w:vAlign w:val="center"/>
            <w:shd w:fill="F4F7FA"/>
          </w:tcPr>
          <w:p>
            <w:pPr>
              <w:spacing w:before="60" w:after="60" w:line="252" w:lineRule="auto"/>
              <w:ind w:firstLine="0"/>
            </w:pPr>
            <w:r>
              <w:rPr>
                <w:sz w:val="19"/>
              </w:rPr>
              <w:t>1,232 (70.8%)</w:t>
            </w:r>
          </w:p>
        </w:tc>
        <w:tc>
          <w:tcPr>
            <w:tcW w:type="dxa" w:w="2077"/>
            <w:vAlign w:val="center"/>
            <w:shd w:fill="F4F7FA"/>
          </w:tcPr>
          <w:p>
            <w:pPr>
              <w:spacing w:before="60" w:after="60" w:line="252" w:lineRule="auto"/>
              <w:ind w:firstLine="0"/>
            </w:pPr>
            <w:r>
              <w:rPr>
                <w:sz w:val="19"/>
              </w:rPr>
              <w:t>1,567 (90.0%) [No-floor: 1,608]</w:t>
            </w:r>
          </w:p>
        </w:tc>
        <w:tc>
          <w:tcPr>
            <w:tcW w:type="dxa" w:w="2077"/>
            <w:vAlign w:val="center"/>
            <w:shd w:fill="F4F7FA"/>
          </w:tcPr>
          <w:p>
            <w:pPr>
              <w:spacing w:before="60" w:after="60" w:line="252" w:lineRule="auto"/>
              <w:ind w:firstLine="0"/>
            </w:pPr>
            <w:r>
              <w:rPr>
                <w:sz w:val="19"/>
              </w:rPr>
              <w:t>1,559 (89.5%)</w:t>
            </w:r>
          </w:p>
        </w:tc>
      </w:tr>
      <w:tr>
        <w:trPr>
          <w:cantSplit/>
        </w:trPr>
        <w:tc>
          <w:tcPr>
            <w:tcW w:type="dxa" w:w="2077"/>
            <w:vAlign w:val="center"/>
          </w:tcPr>
          <w:p>
            <w:pPr>
              <w:spacing w:before="60" w:after="60" w:line="252" w:lineRule="auto"/>
              <w:ind w:firstLine="0"/>
            </w:pPr>
            <w:r>
              <w:rPr>
                <w:b/>
                <w:sz w:val="19"/>
              </w:rPr>
              <w:t>Bihar (n = 775) Mean / Median CRS</w:t>
            </w:r>
          </w:p>
        </w:tc>
        <w:tc>
          <w:tcPr>
            <w:tcW w:type="dxa" w:w="2077"/>
            <w:vAlign w:val="center"/>
          </w:tcPr>
          <w:p>
            <w:pPr>
              <w:spacing w:before="60" w:after="60" w:line="252" w:lineRule="auto"/>
              <w:ind w:firstLine="0"/>
            </w:pPr>
            <w:r>
              <w:rPr>
                <w:sz w:val="19"/>
              </w:rPr>
              <w:t>18.36 / 0.00 (54.3% score 0)</w:t>
            </w:r>
          </w:p>
        </w:tc>
        <w:tc>
          <w:tcPr>
            <w:tcW w:type="dxa" w:w="2077"/>
            <w:vAlign w:val="center"/>
          </w:tcPr>
          <w:p>
            <w:pPr>
              <w:spacing w:before="60" w:after="60" w:line="252" w:lineRule="auto"/>
              <w:ind w:firstLine="0"/>
            </w:pPr>
            <w:r>
              <w:rPr>
                <w:sz w:val="19"/>
              </w:rPr>
              <w:t>1.58 / 0.00</w:t>
            </w:r>
          </w:p>
        </w:tc>
        <w:tc>
          <w:tcPr>
            <w:tcW w:type="dxa" w:w="2077"/>
            <w:vAlign w:val="center"/>
          </w:tcPr>
          <w:p>
            <w:pPr>
              <w:spacing w:before="60" w:after="60" w:line="252" w:lineRule="auto"/>
              <w:ind w:firstLine="0"/>
            </w:pPr>
            <w:r>
              <w:rPr>
                <w:sz w:val="19"/>
              </w:rPr>
              <w:t>2.32 / 0.00</w:t>
            </w:r>
          </w:p>
        </w:tc>
      </w:tr>
      <w:tr>
        <w:trPr>
          <w:cantSplit/>
        </w:trPr>
        <w:tc>
          <w:tcPr>
            <w:tcW w:type="dxa" w:w="2077"/>
            <w:vAlign w:val="center"/>
            <w:shd w:fill="F4F7FA"/>
          </w:tcPr>
          <w:p>
            <w:pPr>
              <w:spacing w:before="60" w:after="60" w:line="252" w:lineRule="auto"/>
              <w:ind w:firstLine="0"/>
            </w:pPr>
            <w:r>
              <w:rPr>
                <w:b/>
                <w:sz w:val="19"/>
              </w:rPr>
              <w:t>Bihar Band Split (Crit / High / Med / Low)</w:t>
            </w:r>
          </w:p>
        </w:tc>
        <w:tc>
          <w:tcPr>
            <w:tcW w:type="dxa" w:w="2077"/>
            <w:vAlign w:val="center"/>
            <w:shd w:fill="F4F7FA"/>
          </w:tcPr>
          <w:p>
            <w:pPr>
              <w:spacing w:before="60" w:after="60" w:line="252" w:lineRule="auto"/>
              <w:ind w:firstLine="0"/>
            </w:pPr>
            <w:r>
              <w:rPr>
                <w:sz w:val="19"/>
              </w:rPr>
              <w:t>75 / 158 / 1 / 541</w:t>
            </w:r>
          </w:p>
        </w:tc>
        <w:tc>
          <w:tcPr>
            <w:tcW w:type="dxa" w:w="2077"/>
            <w:vAlign w:val="center"/>
            <w:shd w:fill="F4F7FA"/>
          </w:tcPr>
          <w:p>
            <w:pPr>
              <w:spacing w:before="60" w:after="60" w:line="252" w:lineRule="auto"/>
              <w:ind w:firstLine="0"/>
            </w:pPr>
            <w:r>
              <w:rPr>
                <w:sz w:val="19"/>
              </w:rPr>
              <w:t>0 / 0 / 1 / 774</w:t>
            </w:r>
          </w:p>
        </w:tc>
        <w:tc>
          <w:tcPr>
            <w:tcW w:type="dxa" w:w="2077"/>
            <w:vAlign w:val="center"/>
            <w:shd w:fill="F4F7FA"/>
          </w:tcPr>
          <w:p>
            <w:pPr>
              <w:spacing w:before="60" w:after="60" w:line="252" w:lineRule="auto"/>
              <w:ind w:firstLine="0"/>
            </w:pPr>
            <w:r>
              <w:rPr>
                <w:sz w:val="19"/>
              </w:rPr>
              <w:t>0 / 0 / 3 / 772</w:t>
            </w:r>
          </w:p>
        </w:tc>
      </w:tr>
      <w:tr>
        <w:trPr>
          <w:cantSplit/>
        </w:trPr>
        <w:tc>
          <w:tcPr>
            <w:tcW w:type="dxa" w:w="2077"/>
            <w:vAlign w:val="center"/>
          </w:tcPr>
          <w:p>
            <w:pPr>
              <w:spacing w:before="60" w:after="60" w:line="252" w:lineRule="auto"/>
              <w:ind w:firstLine="0"/>
            </w:pPr>
            <w:r>
              <w:rPr>
                <w:b/>
                <w:sz w:val="19"/>
              </w:rPr>
              <w:t>Uttar Pradesh (n = 966) Mean / Median CRS</w:t>
            </w:r>
          </w:p>
        </w:tc>
        <w:tc>
          <w:tcPr>
            <w:tcW w:type="dxa" w:w="2077"/>
            <w:vAlign w:val="center"/>
          </w:tcPr>
          <w:p>
            <w:pPr>
              <w:spacing w:before="60" w:after="60" w:line="252" w:lineRule="auto"/>
              <w:ind w:firstLine="0"/>
            </w:pPr>
            <w:r>
              <w:rPr>
                <w:sz w:val="19"/>
              </w:rPr>
              <w:t>12.68 / 4.08 (32.2% score 0)</w:t>
            </w:r>
          </w:p>
        </w:tc>
        <w:tc>
          <w:tcPr>
            <w:tcW w:type="dxa" w:w="2077"/>
            <w:vAlign w:val="center"/>
          </w:tcPr>
          <w:p>
            <w:pPr>
              <w:spacing w:before="60" w:after="60" w:line="252" w:lineRule="auto"/>
              <w:ind w:firstLine="0"/>
            </w:pPr>
            <w:r>
              <w:rPr>
                <w:sz w:val="19"/>
              </w:rPr>
              <w:t>9.99 [9.95*] / 3.10</w:t>
            </w:r>
          </w:p>
        </w:tc>
        <w:tc>
          <w:tcPr>
            <w:tcW w:type="dxa" w:w="2077"/>
            <w:vAlign w:val="center"/>
          </w:tcPr>
          <w:p>
            <w:pPr>
              <w:spacing w:before="60" w:after="60" w:line="252" w:lineRule="auto"/>
              <w:ind w:firstLine="0"/>
            </w:pPr>
            <w:r>
              <w:rPr>
                <w:sz w:val="19"/>
              </w:rPr>
              <w:t>4.72 / 1.45</w:t>
            </w:r>
          </w:p>
        </w:tc>
      </w:tr>
      <w:tr>
        <w:trPr>
          <w:cantSplit/>
        </w:trPr>
        <w:tc>
          <w:tcPr>
            <w:tcW w:type="dxa" w:w="2077"/>
            <w:vAlign w:val="center"/>
            <w:shd w:fill="F4F7FA"/>
          </w:tcPr>
          <w:p>
            <w:pPr>
              <w:spacing w:before="60" w:after="60" w:line="252" w:lineRule="auto"/>
              <w:ind w:firstLine="0"/>
            </w:pPr>
            <w:r>
              <w:rPr>
                <w:b/>
                <w:sz w:val="19"/>
              </w:rPr>
              <w:t>UP Band Split (Crit / High / Med / Low)</w:t>
            </w:r>
          </w:p>
        </w:tc>
        <w:tc>
          <w:tcPr>
            <w:tcW w:type="dxa" w:w="2077"/>
            <w:vAlign w:val="center"/>
            <w:shd w:fill="F4F7FA"/>
          </w:tcPr>
          <w:p>
            <w:pPr>
              <w:spacing w:before="60" w:after="60" w:line="252" w:lineRule="auto"/>
              <w:ind w:firstLine="0"/>
            </w:pPr>
            <w:r>
              <w:rPr>
                <w:sz w:val="19"/>
              </w:rPr>
              <w:t>14 / 234 / 27 / 691</w:t>
            </w:r>
          </w:p>
        </w:tc>
        <w:tc>
          <w:tcPr>
            <w:tcW w:type="dxa" w:w="2077"/>
            <w:vAlign w:val="center"/>
            <w:shd w:fill="F4F7FA"/>
          </w:tcPr>
          <w:p>
            <w:pPr>
              <w:spacing w:before="60" w:after="60" w:line="252" w:lineRule="auto"/>
              <w:ind w:firstLine="0"/>
            </w:pPr>
            <w:r>
              <w:rPr>
                <w:sz w:val="19"/>
              </w:rPr>
              <w:t>5 / 139 / 29 / 793</w:t>
            </w:r>
          </w:p>
        </w:tc>
        <w:tc>
          <w:tcPr>
            <w:tcW w:type="dxa" w:w="2077"/>
            <w:vAlign w:val="center"/>
            <w:shd w:fill="F4F7FA"/>
          </w:tcPr>
          <w:p>
            <w:pPr>
              <w:spacing w:before="60" w:after="60" w:line="252" w:lineRule="auto"/>
              <w:ind w:firstLine="0"/>
            </w:pPr>
            <w:r>
              <w:rPr>
                <w:sz w:val="19"/>
              </w:rPr>
              <w:t>3 / 54 / 122 / 787</w:t>
            </w:r>
          </w:p>
        </w:tc>
      </w:tr>
      <w:tr>
        <w:trPr>
          <w:cantSplit/>
        </w:trPr>
        <w:tc>
          <w:tcPr>
            <w:tcW w:type="dxa" w:w="2077"/>
            <w:vAlign w:val="center"/>
          </w:tcPr>
          <w:p>
            <w:pPr>
              <w:spacing w:before="60" w:after="60" w:line="252" w:lineRule="auto"/>
              <w:ind w:firstLine="0"/>
            </w:pPr>
            <w:r>
              <w:rPr>
                <w:b/>
                <w:sz w:val="19"/>
              </w:rPr>
              <w:t>Madhepura District Cohort (n = 70, Bihar)</w:t>
            </w:r>
          </w:p>
        </w:tc>
        <w:tc>
          <w:tcPr>
            <w:tcW w:type="dxa" w:w="2077"/>
            <w:vAlign w:val="center"/>
          </w:tcPr>
          <w:p>
            <w:pPr>
              <w:spacing w:before="60" w:after="60" w:line="252" w:lineRule="auto"/>
              <w:ind w:firstLine="0"/>
            </w:pPr>
            <w:r>
              <w:rPr>
                <w:sz w:val="19"/>
              </w:rPr>
              <w:t>70 Critical (mean 100.0; 78.7% of all Criticals)</w:t>
            </w:r>
          </w:p>
        </w:tc>
        <w:tc>
          <w:tcPr>
            <w:tcW w:type="dxa" w:w="2077"/>
            <w:vAlign w:val="center"/>
          </w:tcPr>
          <w:p>
            <w:pPr>
              <w:spacing w:before="60" w:after="60" w:line="252" w:lineRule="auto"/>
              <w:ind w:firstLine="0"/>
            </w:pPr>
            <w:r>
              <w:rPr>
                <w:sz w:val="19"/>
              </w:rPr>
              <w:t>0 Critical, 70 Low (mean 0.00; Fe 0.318–0.478 mg/L)</w:t>
            </w:r>
          </w:p>
        </w:tc>
        <w:tc>
          <w:tcPr>
            <w:tcW w:type="dxa" w:w="2077"/>
            <w:vAlign w:val="center"/>
          </w:tcPr>
          <w:p>
            <w:pPr>
              <w:spacing w:before="60" w:after="60" w:line="252" w:lineRule="auto"/>
              <w:ind w:firstLine="0"/>
            </w:pPr>
            <w:r>
              <w:rPr>
                <w:sz w:val="19"/>
              </w:rPr>
              <w:t>0 Critical, 70 Low (mean 6.67; panel bias removed)</w:t>
            </w:r>
          </w:p>
        </w:tc>
      </w:tr>
      <w:tr>
        <w:trPr>
          <w:cantSplit/>
        </w:trPr>
        <w:tc>
          <w:tcPr>
            <w:tcW w:type="dxa" w:w="2077"/>
            <w:vAlign w:val="center"/>
            <w:shd w:fill="F4F7FA"/>
          </w:tcPr>
          <w:p>
            <w:pPr>
              <w:spacing w:before="60" w:after="60" w:line="252" w:lineRule="auto"/>
              <w:ind w:firstLine="0"/>
            </w:pPr>
            <w:r>
              <w:rPr>
                <w:b/>
                <w:sz w:val="19"/>
              </w:rPr>
              <w:t>State Mean CRS Excl. Madhepura &amp; Agra</w:t>
            </w:r>
          </w:p>
        </w:tc>
        <w:tc>
          <w:tcPr>
            <w:tcW w:type="dxa" w:w="2077"/>
            <w:vAlign w:val="center"/>
            <w:shd w:fill="F4F7FA"/>
          </w:tcPr>
          <w:p>
            <w:pPr>
              <w:spacing w:before="60" w:after="60" w:line="252" w:lineRule="auto"/>
              <w:ind w:firstLine="0"/>
            </w:pPr>
            <w:r>
              <w:rPr>
                <w:sz w:val="19"/>
              </w:rPr>
              <w:t>Bihar: 10.25 (n=705) | UP: 10.47 (n=923)</w:t>
            </w:r>
          </w:p>
        </w:tc>
        <w:tc>
          <w:tcPr>
            <w:tcW w:type="dxa" w:w="2077"/>
            <w:vAlign w:val="center"/>
            <w:shd w:fill="F4F7FA"/>
          </w:tcPr>
          <w:p>
            <w:pPr>
              <w:spacing w:before="60" w:after="60" w:line="252" w:lineRule="auto"/>
              <w:ind w:firstLine="0"/>
            </w:pPr>
            <w:r>
              <w:rPr>
                <w:sz w:val="19"/>
              </w:rPr>
              <w:t>Bihar: 1.58 (n=705) | UP: 8.12 (n=923)</w:t>
            </w:r>
          </w:p>
        </w:tc>
        <w:tc>
          <w:tcPr>
            <w:tcW w:type="dxa" w:w="2077"/>
            <w:vAlign w:val="center"/>
            <w:shd w:fill="F4F7FA"/>
          </w:tcPr>
          <w:p>
            <w:pPr>
              <w:spacing w:before="60" w:after="60" w:line="252" w:lineRule="auto"/>
              <w:ind w:firstLine="0"/>
            </w:pPr>
            <w:r>
              <w:rPr>
                <w:sz w:val="19"/>
              </w:rPr>
              <w:t>Bihar: 1.93 (n=705) | UP: 3.84 (n=923)</w:t>
            </w:r>
          </w:p>
        </w:tc>
      </w:tr>
    </w:tbl>
    <w:p>
      <w:pPr>
        <w:spacing w:before="0" w:after="80"/>
      </w:pPr>
    </w:p>
    <w:p>
      <w:pPr>
        <w:spacing w:line="336" w:lineRule="auto" w:before="0" w:after="120"/>
        <w:ind w:firstLine="576"/>
        <w:jc w:val="both"/>
      </w:pPr>
      <w:r>
        <w:rPr>
          <w:sz w:val="23"/>
        </w:rPr>
        <w:t>Three core findings emerge from Table 2: (1) Under Model v1 at 0.3 mg/L, Bihar's higher mean CRS (18.36 vs. 12.68) contradicts its lower median (0.00 vs. 4.08) because Madhepura district contributes 70 single-parameter iron samples (0.318–0.478 mg/L, median 0.3820 mg/L), each scoring 0.4/0.4 * 100 = 100.0 (accounting for 70 of Bihar's 75 Criticals and 78.7% of all 89 Criticals); (2) Under the 1.0 mg/L limit printed on the lab reports themselves, all 70 Madhepura samples are compliant (&lt; 1.0 mg/L) and drop to Low (0.00), reducing Bihar's Critical count from 75 to 0 and reversing the state mean ordering to UP (9.99; 9.95* under direct 10-param recomputation) &gt; Bihar (1.58); and (3) Under Model v2 (normalizing against TOTAL_BIS_WEIGHT = 6.0), a single-parameter iron exceedance scores 0.4/6.0 * 100 = 6.67 (Low), eliminating single-parameter inflation while retaining Critical escalation for acute hazards such as Lucknow E. coli sample U691097L158S1903.</w:t>
      </w:r>
    </w:p>
    <w:p>
      <w:pPr>
        <w:keepNext/>
        <w:spacing w:before="240" w:after="80"/>
        <w:ind w:firstLine="0"/>
      </w:pPr>
      <w:r>
        <w:rPr>
          <w:b/>
          <w:color w:val="002147"/>
          <w:sz w:val="24"/>
        </w:rPr>
        <w:t>4.2 Panel-Independent Parameter Exceedance Rates and Censored Data</w:t>
      </w:r>
    </w:p>
    <w:p>
      <w:pPr>
        <w:spacing w:line="336" w:lineRule="auto" w:before="0" w:after="120"/>
        <w:ind w:firstLine="576"/>
        <w:jc w:val="both"/>
      </w:pPr>
      <w:r>
        <w:rPr>
          <w:sz w:val="23"/>
        </w:rPr>
        <w:t>Because single-parameter test panels represent 38.2% of Bihar samples (296/775) and 13.4% of Uttar Pradesh samples (129/966), state comparisons must be grounded in panel-independent exceedance rates among tested samples (Table 3).</w:t>
      </w:r>
    </w:p>
    <w:tbl>
      <w:tblPr>
        <w:tblW w:type="auto" w:w="0"/>
        <w:jc w:val="center"/>
        <w:tblLook w:firstColumn="1" w:firstRow="1" w:lastColumn="0" w:lastRow="0" w:noHBand="0" w:noVBand="1" w:val="04A0"/>
      </w:tblPr>
      <w:tblGrid>
        <w:gridCol w:w="2077"/>
        <w:gridCol w:w="2077"/>
        <w:gridCol w:w="2077"/>
        <w:gridCol w:w="2077"/>
      </w:tblGrid>
      <w:tr>
        <w:trPr>
          <w:tblHeader/>
        </w:trPr>
        <w:tc>
          <w:tcPr>
            <w:tcW w:type="dxa" w:w="2077"/>
            <w:vAlign w:val="center"/>
            <w:shd w:fill="002147"/>
          </w:tcPr>
          <w:p>
            <w:pPr>
              <w:keepNext/>
              <w:spacing w:before="60" w:after="60" w:line="252" w:lineRule="auto"/>
              <w:ind w:firstLine="0"/>
            </w:pPr>
            <w:r>
              <w:rPr>
                <w:b/>
                <w:color w:val="FFFFFF"/>
                <w:sz w:val="19"/>
              </w:rPr>
              <w:t>Parameter</w:t>
            </w:r>
          </w:p>
        </w:tc>
        <w:tc>
          <w:tcPr>
            <w:tcW w:type="dxa" w:w="2077"/>
            <w:vAlign w:val="center"/>
            <w:shd w:fill="002147"/>
          </w:tcPr>
          <w:p>
            <w:pPr>
              <w:keepNext/>
              <w:spacing w:before="60" w:after="60" w:line="252" w:lineRule="auto"/>
              <w:ind w:firstLine="0"/>
            </w:pPr>
            <w:r>
              <w:rPr>
                <w:b/>
                <w:color w:val="FFFFFF"/>
                <w:sz w:val="19"/>
              </w:rPr>
              <w:t>Bihar: Tested, &gt;Acceptable (&gt;Perm.)</w:t>
            </w:r>
          </w:p>
        </w:tc>
        <w:tc>
          <w:tcPr>
            <w:tcW w:type="dxa" w:w="2077"/>
            <w:vAlign w:val="center"/>
            <w:shd w:fill="002147"/>
          </w:tcPr>
          <w:p>
            <w:pPr>
              <w:keepNext/>
              <w:spacing w:before="60" w:after="60" w:line="252" w:lineRule="auto"/>
              <w:ind w:firstLine="0"/>
            </w:pPr>
            <w:r>
              <w:rPr>
                <w:b/>
                <w:color w:val="FFFFFF"/>
                <w:sz w:val="19"/>
              </w:rPr>
              <w:t>UP: Tested, &gt;Acceptable (&gt;Perm.)</w:t>
            </w:r>
          </w:p>
        </w:tc>
        <w:tc>
          <w:tcPr>
            <w:tcW w:type="dxa" w:w="2077"/>
            <w:vAlign w:val="center"/>
            <w:shd w:fill="002147"/>
          </w:tcPr>
          <w:p>
            <w:pPr>
              <w:keepNext/>
              <w:spacing w:before="60" w:after="60" w:line="252" w:lineRule="auto"/>
              <w:ind w:firstLine="0"/>
            </w:pPr>
            <w:r>
              <w:rPr>
                <w:b/>
                <w:color w:val="FFFFFF"/>
                <w:sz w:val="19"/>
              </w:rPr>
              <w:t>Diagnostic Notes &amp; Extreme / Censored Readings</w:t>
            </w:r>
          </w:p>
        </w:tc>
      </w:tr>
      <w:tr>
        <w:trPr>
          <w:cantSplit/>
        </w:trPr>
        <w:tc>
          <w:tcPr>
            <w:tcW w:type="dxa" w:w="2077"/>
            <w:vAlign w:val="center"/>
          </w:tcPr>
          <w:p>
            <w:pPr>
              <w:spacing w:before="60" w:after="60" w:line="252" w:lineRule="auto"/>
              <w:ind w:firstLine="0"/>
            </w:pPr>
            <w:r>
              <w:rPr>
                <w:b/>
                <w:sz w:val="19"/>
              </w:rPr>
              <w:t>Fluoride</w:t>
            </w:r>
          </w:p>
        </w:tc>
        <w:tc>
          <w:tcPr>
            <w:tcW w:type="dxa" w:w="2077"/>
            <w:vAlign w:val="center"/>
          </w:tcPr>
          <w:p>
            <w:pPr>
              <w:spacing w:before="60" w:after="60" w:line="252" w:lineRule="auto"/>
              <w:ind w:firstLine="0"/>
            </w:pPr>
            <w:r>
              <w:rPr>
                <w:sz w:val="19"/>
              </w:rPr>
              <w:t>182 tested, 2 (1.1%) [0 &gt;1.5]</w:t>
            </w:r>
          </w:p>
        </w:tc>
        <w:tc>
          <w:tcPr>
            <w:tcW w:type="dxa" w:w="2077"/>
            <w:vAlign w:val="center"/>
          </w:tcPr>
          <w:p>
            <w:pPr>
              <w:spacing w:before="60" w:after="60" w:line="252" w:lineRule="auto"/>
              <w:ind w:firstLine="0"/>
            </w:pPr>
            <w:r>
              <w:rPr>
                <w:sz w:val="19"/>
              </w:rPr>
              <w:t>711 tested, 159 (22.4%) [40 (5.6%)]</w:t>
            </w:r>
          </w:p>
        </w:tc>
        <w:tc>
          <w:tcPr>
            <w:tcW w:type="dxa" w:w="2077"/>
            <w:vAlign w:val="center"/>
          </w:tcPr>
          <w:p>
            <w:pPr>
              <w:spacing w:before="60" w:after="60" w:line="252" w:lineRule="auto"/>
              <w:ind w:firstLine="0"/>
            </w:pPr>
            <w:r>
              <w:rPr>
                <w:sz w:val="19"/>
              </w:rPr>
              <w:t>Peak 12.60 mg/L in sample U715825L405S1002693 (UP, district 'Not available'). Agra cluster: 43 samples (mean CRS 60.13; 31 fluoride-driven; 41 use 5-param panel).</w:t>
            </w:r>
          </w:p>
        </w:tc>
      </w:tr>
      <w:tr>
        <w:trPr>
          <w:cantSplit/>
        </w:trPr>
        <w:tc>
          <w:tcPr>
            <w:tcW w:type="dxa" w:w="2077"/>
            <w:vAlign w:val="center"/>
            <w:shd w:fill="F4F7FA"/>
          </w:tcPr>
          <w:p>
            <w:pPr>
              <w:spacing w:before="60" w:after="60" w:line="252" w:lineRule="auto"/>
              <w:ind w:firstLine="0"/>
            </w:pPr>
            <w:r>
              <w:rPr>
                <w:b/>
                <w:sz w:val="19"/>
              </w:rPr>
              <w:t>Iron (at 0.3 / at 1.0 mg/L)</w:t>
            </w:r>
          </w:p>
        </w:tc>
        <w:tc>
          <w:tcPr>
            <w:tcW w:type="dxa" w:w="2077"/>
            <w:vAlign w:val="center"/>
            <w:shd w:fill="F4F7FA"/>
          </w:tcPr>
          <w:p>
            <w:pPr>
              <w:spacing w:before="60" w:after="60" w:line="252" w:lineRule="auto"/>
              <w:ind w:firstLine="0"/>
            </w:pPr>
            <w:r>
              <w:rPr>
                <w:sz w:val="19"/>
              </w:rPr>
              <w:t>450 tested, 233 (51.8%) / 0 (0.0%)</w:t>
            </w:r>
          </w:p>
        </w:tc>
        <w:tc>
          <w:tcPr>
            <w:tcW w:type="dxa" w:w="2077"/>
            <w:vAlign w:val="center"/>
            <w:shd w:fill="F4F7FA"/>
          </w:tcPr>
          <w:p>
            <w:pPr>
              <w:spacing w:before="60" w:after="60" w:line="252" w:lineRule="auto"/>
              <w:ind w:firstLine="0"/>
            </w:pPr>
            <w:r>
              <w:rPr>
                <w:sz w:val="19"/>
              </w:rPr>
              <w:t>426 tested, 187 (43.9%) / 29 (6.8%)</w:t>
            </w:r>
          </w:p>
        </w:tc>
        <w:tc>
          <w:tcPr>
            <w:tcW w:type="dxa" w:w="2077"/>
            <w:vAlign w:val="center"/>
            <w:shd w:fill="F4F7FA"/>
          </w:tcPr>
          <w:p>
            <w:pPr>
              <w:spacing w:before="60" w:after="60" w:line="252" w:lineRule="auto"/>
              <w:ind w:firstLine="0"/>
            </w:pPr>
            <w:r>
              <w:rPr>
                <w:sz w:val="19"/>
              </w:rPr>
              <w:t>Excl. Madhepura (n=70), Bihar iron &gt;0.3 mg/L is 163/380 (42.9%), matching UP (43.9%).</w:t>
            </w:r>
          </w:p>
        </w:tc>
      </w:tr>
      <w:tr>
        <w:trPr>
          <w:cantSplit/>
        </w:trPr>
        <w:tc>
          <w:tcPr>
            <w:tcW w:type="dxa" w:w="2077"/>
            <w:vAlign w:val="center"/>
          </w:tcPr>
          <w:p>
            <w:pPr>
              <w:spacing w:before="60" w:after="60" w:line="252" w:lineRule="auto"/>
              <w:ind w:firstLine="0"/>
            </w:pPr>
            <w:r>
              <w:rPr>
                <w:b/>
                <w:sz w:val="19"/>
              </w:rPr>
              <w:t>Turbidity</w:t>
            </w:r>
          </w:p>
        </w:tc>
        <w:tc>
          <w:tcPr>
            <w:tcW w:type="dxa" w:w="2077"/>
            <w:vAlign w:val="center"/>
          </w:tcPr>
          <w:p>
            <w:pPr>
              <w:spacing w:before="60" w:after="60" w:line="252" w:lineRule="auto"/>
              <w:ind w:firstLine="0"/>
            </w:pPr>
            <w:r>
              <w:rPr>
                <w:sz w:val="19"/>
              </w:rPr>
              <w:t>328 tested, 130 (39.6%) [0 &gt;5 NTU]</w:t>
            </w:r>
          </w:p>
        </w:tc>
        <w:tc>
          <w:tcPr>
            <w:tcW w:type="dxa" w:w="2077"/>
            <w:vAlign w:val="center"/>
          </w:tcPr>
          <w:p>
            <w:pPr>
              <w:spacing w:before="60" w:after="60" w:line="252" w:lineRule="auto"/>
              <w:ind w:firstLine="0"/>
            </w:pPr>
            <w:r>
              <w:rPr>
                <w:sz w:val="19"/>
              </w:rPr>
              <w:t>670 tested, 547 (81.6%) [53 (7.9%)]</w:t>
            </w:r>
          </w:p>
        </w:tc>
        <w:tc>
          <w:tcPr>
            <w:tcW w:type="dxa" w:w="2077"/>
            <w:vAlign w:val="center"/>
          </w:tcPr>
          <w:p>
            <w:pPr>
              <w:spacing w:before="60" w:after="60" w:line="252" w:lineRule="auto"/>
              <w:ind w:firstLine="0"/>
            </w:pPr>
            <w:r>
              <w:rPr>
                <w:sz w:val="19"/>
              </w:rPr>
              <w:t>UP exhibits 2.06x higher acceptable exceedance rate and all 53 permissible breaches.</w:t>
            </w:r>
          </w:p>
        </w:tc>
      </w:tr>
      <w:tr>
        <w:trPr>
          <w:cantSplit/>
        </w:trPr>
        <w:tc>
          <w:tcPr>
            <w:tcW w:type="dxa" w:w="2077"/>
            <w:vAlign w:val="center"/>
            <w:shd w:fill="F4F7FA"/>
          </w:tcPr>
          <w:p>
            <w:pPr>
              <w:spacing w:before="60" w:after="60" w:line="252" w:lineRule="auto"/>
              <w:ind w:firstLine="0"/>
            </w:pPr>
            <w:r>
              <w:rPr>
                <w:b/>
                <w:sz w:val="19"/>
              </w:rPr>
              <w:t>TDS</w:t>
            </w:r>
          </w:p>
        </w:tc>
        <w:tc>
          <w:tcPr>
            <w:tcW w:type="dxa" w:w="2077"/>
            <w:vAlign w:val="center"/>
            <w:shd w:fill="F4F7FA"/>
          </w:tcPr>
          <w:p>
            <w:pPr>
              <w:spacing w:before="60" w:after="60" w:line="252" w:lineRule="auto"/>
              <w:ind w:firstLine="0"/>
            </w:pPr>
            <w:r>
              <w:rPr>
                <w:sz w:val="19"/>
              </w:rPr>
              <w:t>444 tested, 44 (9.9%) [0 &gt;2000]</w:t>
            </w:r>
          </w:p>
        </w:tc>
        <w:tc>
          <w:tcPr>
            <w:tcW w:type="dxa" w:w="2077"/>
            <w:vAlign w:val="center"/>
            <w:shd w:fill="F4F7FA"/>
          </w:tcPr>
          <w:p>
            <w:pPr>
              <w:spacing w:before="60" w:after="60" w:line="252" w:lineRule="auto"/>
              <w:ind w:firstLine="0"/>
            </w:pPr>
            <w:r>
              <w:rPr>
                <w:sz w:val="19"/>
              </w:rPr>
              <w:t>851 tested, 348 (40.9%) [51 (6.0%)]</w:t>
            </w:r>
          </w:p>
        </w:tc>
        <w:tc>
          <w:tcPr>
            <w:tcW w:type="dxa" w:w="2077"/>
            <w:vAlign w:val="center"/>
            <w:shd w:fill="F4F7FA"/>
          </w:tcPr>
          <w:p>
            <w:pPr>
              <w:spacing w:before="60" w:after="60" w:line="252" w:lineRule="auto"/>
              <w:ind w:firstLine="0"/>
            </w:pPr>
            <w:r>
              <w:rPr>
                <w:sz w:val="19"/>
              </w:rPr>
              <w:t>UP exhibits 4.13x higher acceptable exceedance rate and all 51 permissible breaches.</w:t>
            </w:r>
          </w:p>
        </w:tc>
      </w:tr>
      <w:tr>
        <w:trPr>
          <w:cantSplit/>
        </w:trPr>
        <w:tc>
          <w:tcPr>
            <w:tcW w:type="dxa" w:w="2077"/>
            <w:vAlign w:val="center"/>
          </w:tcPr>
          <w:p>
            <w:pPr>
              <w:spacing w:before="60" w:after="60" w:line="252" w:lineRule="auto"/>
              <w:ind w:firstLine="0"/>
            </w:pPr>
            <w:r>
              <w:rPr>
                <w:b/>
                <w:sz w:val="19"/>
              </w:rPr>
              <w:t>Nitrate</w:t>
            </w:r>
          </w:p>
        </w:tc>
        <w:tc>
          <w:tcPr>
            <w:tcW w:type="dxa" w:w="2077"/>
            <w:vAlign w:val="center"/>
          </w:tcPr>
          <w:p>
            <w:pPr>
              <w:spacing w:before="60" w:after="60" w:line="252" w:lineRule="auto"/>
              <w:ind w:firstLine="0"/>
            </w:pPr>
            <w:r>
              <w:rPr>
                <w:sz w:val="19"/>
              </w:rPr>
              <w:t>123 tested, 0 (0.0%) [n/a]</w:t>
            </w:r>
          </w:p>
        </w:tc>
        <w:tc>
          <w:tcPr>
            <w:tcW w:type="dxa" w:w="2077"/>
            <w:vAlign w:val="center"/>
          </w:tcPr>
          <w:p>
            <w:pPr>
              <w:spacing w:before="60" w:after="60" w:line="252" w:lineRule="auto"/>
              <w:ind w:firstLine="0"/>
            </w:pPr>
            <w:r>
              <w:rPr>
                <w:sz w:val="19"/>
              </w:rPr>
              <w:t>460 tested, 8 (1.7%) [n/a]</w:t>
            </w:r>
          </w:p>
        </w:tc>
        <w:tc>
          <w:tcPr>
            <w:tcW w:type="dxa" w:w="2077"/>
            <w:vAlign w:val="center"/>
          </w:tcPr>
          <w:p>
            <w:pPr>
              <w:spacing w:before="60" w:after="60" w:line="252" w:lineRule="auto"/>
              <w:ind w:firstLine="0"/>
            </w:pPr>
            <w:r>
              <w:rPr>
                <w:sz w:val="19"/>
              </w:rPr>
              <w:t>No relaxation above 45 mg/L; UP max = 61.24 mg/L.</w:t>
            </w:r>
          </w:p>
        </w:tc>
      </w:tr>
      <w:tr>
        <w:trPr>
          <w:cantSplit/>
        </w:trPr>
        <w:tc>
          <w:tcPr>
            <w:tcW w:type="dxa" w:w="2077"/>
            <w:vAlign w:val="center"/>
            <w:shd w:fill="F4F7FA"/>
          </w:tcPr>
          <w:p>
            <w:pPr>
              <w:spacing w:before="60" w:after="60" w:line="252" w:lineRule="auto"/>
              <w:ind w:firstLine="0"/>
            </w:pPr>
            <w:r>
              <w:rPr>
                <w:b/>
                <w:sz w:val="19"/>
              </w:rPr>
              <w:t>pH</w:t>
            </w:r>
          </w:p>
        </w:tc>
        <w:tc>
          <w:tcPr>
            <w:tcW w:type="dxa" w:w="2077"/>
            <w:vAlign w:val="center"/>
            <w:shd w:fill="F4F7FA"/>
          </w:tcPr>
          <w:p>
            <w:pPr>
              <w:spacing w:before="60" w:after="60" w:line="252" w:lineRule="auto"/>
              <w:ind w:firstLine="0"/>
            </w:pPr>
            <w:r>
              <w:rPr>
                <w:sz w:val="19"/>
              </w:rPr>
              <w:t>467 tested, 0 (0.0%) [n/a]</w:t>
            </w:r>
          </w:p>
        </w:tc>
        <w:tc>
          <w:tcPr>
            <w:tcW w:type="dxa" w:w="2077"/>
            <w:vAlign w:val="center"/>
            <w:shd w:fill="F4F7FA"/>
          </w:tcPr>
          <w:p>
            <w:pPr>
              <w:spacing w:before="60" w:after="60" w:line="252" w:lineRule="auto"/>
              <w:ind w:firstLine="0"/>
            </w:pPr>
            <w:r>
              <w:rPr>
                <w:sz w:val="19"/>
              </w:rPr>
              <w:t>902 tested, 2 (0.2%) [n/a]</w:t>
            </w:r>
          </w:p>
        </w:tc>
        <w:tc>
          <w:tcPr>
            <w:tcW w:type="dxa" w:w="2077"/>
            <w:vAlign w:val="center"/>
            <w:shd w:fill="F4F7FA"/>
          </w:tcPr>
          <w:p>
            <w:pPr>
              <w:spacing w:before="60" w:after="60" w:line="252" w:lineRule="auto"/>
              <w:ind w:firstLine="0"/>
            </w:pPr>
            <w:r>
              <w:rPr>
                <w:sz w:val="19"/>
              </w:rPr>
              <w:t>467 sulphate readings previously mis-tagged as pH were repaired in load_wqmis.py (defect B1).</w:t>
            </w:r>
          </w:p>
        </w:tc>
      </w:tr>
      <w:tr>
        <w:trPr>
          <w:cantSplit/>
        </w:trPr>
        <w:tc>
          <w:tcPr>
            <w:tcW w:type="dxa" w:w="2077"/>
            <w:vAlign w:val="center"/>
          </w:tcPr>
          <w:p>
            <w:pPr>
              <w:spacing w:before="60" w:after="60" w:line="252" w:lineRule="auto"/>
              <w:ind w:firstLine="0"/>
            </w:pPr>
            <w:r>
              <w:rPr>
                <w:b/>
                <w:sz w:val="19"/>
              </w:rPr>
              <w:t>Sulphate</w:t>
            </w:r>
          </w:p>
        </w:tc>
        <w:tc>
          <w:tcPr>
            <w:tcW w:type="dxa" w:w="2077"/>
            <w:vAlign w:val="center"/>
          </w:tcPr>
          <w:p>
            <w:pPr>
              <w:spacing w:before="60" w:after="60" w:line="252" w:lineRule="auto"/>
              <w:ind w:firstLine="0"/>
            </w:pPr>
            <w:r>
              <w:rPr>
                <w:sz w:val="19"/>
              </w:rPr>
              <w:t>73 tested, 0 (0.0%) [0 &gt;400]</w:t>
            </w:r>
          </w:p>
        </w:tc>
        <w:tc>
          <w:tcPr>
            <w:tcW w:type="dxa" w:w="2077"/>
            <w:vAlign w:val="center"/>
          </w:tcPr>
          <w:p>
            <w:pPr>
              <w:spacing w:before="60" w:after="60" w:line="252" w:lineRule="auto"/>
              <w:ind w:firstLine="0"/>
            </w:pPr>
            <w:r>
              <w:rPr>
                <w:sz w:val="19"/>
              </w:rPr>
              <w:t>394 tested, 50 (12.7%) [7 (1.8%) &gt;400]</w:t>
            </w:r>
          </w:p>
        </w:tc>
        <w:tc>
          <w:tcPr>
            <w:tcW w:type="dxa" w:w="2077"/>
            <w:vAlign w:val="center"/>
          </w:tcPr>
          <w:p>
            <w:pPr>
              <w:spacing w:before="60" w:after="60" w:line="252" w:lineRule="auto"/>
              <w:ind w:firstLine="0"/>
            </w:pPr>
            <w:r>
              <w:rPr>
                <w:sz w:val="19"/>
              </w:rPr>
              <w:t>467 total readings (73 Bihar, 394 UP); max 479.0 mg/L, all 7 permissible breaches (&gt;400 mg/L) in Agra (478, 452, 466, 425, 425, 402, 479).</w:t>
            </w:r>
          </w:p>
        </w:tc>
      </w:tr>
      <w:tr>
        <w:trPr>
          <w:cantSplit/>
        </w:trPr>
        <w:tc>
          <w:tcPr>
            <w:tcW w:type="dxa" w:w="2077"/>
            <w:vAlign w:val="center"/>
            <w:shd w:fill="F4F7FA"/>
          </w:tcPr>
          <w:p>
            <w:pPr>
              <w:spacing w:before="60" w:after="60" w:line="252" w:lineRule="auto"/>
              <w:ind w:firstLine="0"/>
            </w:pPr>
            <w:r>
              <w:rPr>
                <w:b/>
                <w:sz w:val="19"/>
              </w:rPr>
              <w:t>Arsenic</w:t>
            </w:r>
          </w:p>
        </w:tc>
        <w:tc>
          <w:tcPr>
            <w:tcW w:type="dxa" w:w="2077"/>
            <w:vAlign w:val="center"/>
            <w:shd w:fill="F4F7FA"/>
          </w:tcPr>
          <w:p>
            <w:pPr>
              <w:spacing w:before="60" w:after="60" w:line="252" w:lineRule="auto"/>
              <w:ind w:firstLine="0"/>
            </w:pPr>
            <w:r>
              <w:rPr>
                <w:sz w:val="19"/>
              </w:rPr>
              <w:t>230 tested, 0 (0.0%) [max 0.009]</w:t>
            </w:r>
          </w:p>
        </w:tc>
        <w:tc>
          <w:tcPr>
            <w:tcW w:type="dxa" w:w="2077"/>
            <w:vAlign w:val="center"/>
            <w:shd w:fill="F4F7FA"/>
          </w:tcPr>
          <w:p>
            <w:pPr>
              <w:spacing w:before="60" w:after="60" w:line="252" w:lineRule="auto"/>
              <w:ind w:firstLine="0"/>
            </w:pPr>
            <w:r>
              <w:rPr>
                <w:sz w:val="19"/>
              </w:rPr>
              <w:t>29 tested, 0 (0.0%) [max 0.009]</w:t>
            </w:r>
          </w:p>
        </w:tc>
        <w:tc>
          <w:tcPr>
            <w:tcW w:type="dxa" w:w="2077"/>
            <w:vAlign w:val="center"/>
            <w:shd w:fill="F4F7FA"/>
          </w:tcPr>
          <w:p>
            <w:pPr>
              <w:spacing w:before="60" w:after="60" w:line="252" w:lineRule="auto"/>
              <w:ind w:firstLine="0"/>
            </w:pPr>
            <w:r>
              <w:rPr>
                <w:sz w:val="19"/>
              </w:rPr>
              <w:t>150 of 259 readings (57.9%: 139 Bihar, 11 UP) recorded as 0.0 in source, concentrated in 4 labs (Lab L794=69, L234=27, L269=19, L268=13). Censored vs. true zero is unrecorded.</w:t>
            </w:r>
          </w:p>
        </w:tc>
      </w:tr>
      <w:tr>
        <w:trPr>
          <w:cantSplit/>
        </w:trPr>
        <w:tc>
          <w:tcPr>
            <w:tcW w:type="dxa" w:w="2077"/>
            <w:vAlign w:val="center"/>
          </w:tcPr>
          <w:p>
            <w:pPr>
              <w:spacing w:before="60" w:after="60" w:line="252" w:lineRule="auto"/>
              <w:ind w:firstLine="0"/>
            </w:pPr>
            <w:r>
              <w:rPr>
                <w:b/>
                <w:sz w:val="19"/>
              </w:rPr>
              <w:t>E. coli &amp; Total Coliform</w:t>
            </w:r>
          </w:p>
        </w:tc>
        <w:tc>
          <w:tcPr>
            <w:tcW w:type="dxa" w:w="2077"/>
            <w:vAlign w:val="center"/>
          </w:tcPr>
          <w:p>
            <w:pPr>
              <w:spacing w:before="60" w:after="60" w:line="252" w:lineRule="auto"/>
              <w:ind w:firstLine="0"/>
            </w:pPr>
            <w:r>
              <w:rPr>
                <w:sz w:val="19"/>
              </w:rPr>
              <w:t>E. coli: 37, 0 (0%) | TC: 0 tested</w:t>
            </w:r>
          </w:p>
        </w:tc>
        <w:tc>
          <w:tcPr>
            <w:tcW w:type="dxa" w:w="2077"/>
            <w:vAlign w:val="center"/>
          </w:tcPr>
          <w:p>
            <w:pPr>
              <w:spacing w:before="60" w:after="60" w:line="252" w:lineRule="auto"/>
              <w:ind w:firstLine="0"/>
            </w:pPr>
            <w:r>
              <w:rPr>
                <w:sz w:val="19"/>
              </w:rPr>
              <w:t>E. coli: 8, 2 (25%) | TC: 7, 3 (42.9%)</w:t>
            </w:r>
          </w:p>
        </w:tc>
        <w:tc>
          <w:tcPr>
            <w:tcW w:type="dxa" w:w="2077"/>
            <w:vAlign w:val="center"/>
          </w:tcPr>
          <w:p>
            <w:pPr>
              <w:spacing w:before="60" w:after="60" w:line="252" w:lineRule="auto"/>
              <w:ind w:firstLine="0"/>
            </w:pPr>
            <w:r>
              <w:rPr>
                <w:sz w:val="19"/>
              </w:rPr>
              <w:t>Microbial testing covers 2.6% of corpus (45 E. coli, 7 TC). Positive hits in Lucknow: 2 E. coli (8.0, 20.0) and 3 TC (46, 80, 80 CFU/100mL).</w:t>
            </w:r>
          </w:p>
        </w:tc>
      </w:tr>
    </w:tbl>
    <w:p>
      <w:pPr>
        <w:spacing w:before="0" w:after="80"/>
      </w:pPr>
    </w:p>
    <w:p>
      <w:pPr>
        <w:keepNext/>
        <w:spacing w:before="240" w:after="80"/>
        <w:ind w:firstLine="0"/>
      </w:pPr>
      <w:r>
        <w:rPr>
          <w:b/>
          <w:color w:val="002147"/>
          <w:sz w:val="24"/>
        </w:rPr>
        <w:t>4.3 Exploratory Registry Consistency Check (Spearman Rank Correlation)</w:t>
      </w:r>
    </w:p>
    <w:p>
      <w:pPr>
        <w:spacing w:line="336" w:lineRule="auto" w:before="0" w:after="120"/>
        <w:ind w:firstLine="576"/>
        <w:jc w:val="both"/>
      </w:pPr>
      <w:r>
        <w:rPr>
          <w:sz w:val="23"/>
        </w:rPr>
        <w:t>Because village names are populated for only 21 of 1,741 samples (1.21%, all in UP; 0% in Bihar) and 354 samples (20.3%: 339 UP, 15 Bihar) have district recorded as 'Not available', live comparison against the 2009–2012 DDWS registry (100,690 events across 14,006 villages) was conducted at the district level for districts with n &gt;= 5 tested samples (Table 4). Khokha village (Purnia district, Bihar, Village ID 7568) logged 166 iron events across 2009–2012 (48 in 2009, 48 in 2010, 46 in 2011, 24 in 2012)—the highest in the registry—but has zero samples in the 2022 corpus and is therefore documented strictly as a registry-only finding.</w:t>
      </w:r>
    </w:p>
    <w:tbl>
      <w:tblPr>
        <w:tblW w:type="auto" w:w="0"/>
        <w:jc w:val="center"/>
        <w:tblLook w:firstColumn="1" w:firstRow="1" w:lastColumn="0" w:lastRow="0" w:noHBand="0" w:noVBand="1" w:val="04A0"/>
      </w:tblPr>
      <w:tblGrid>
        <w:gridCol w:w="1662"/>
        <w:gridCol w:w="1662"/>
        <w:gridCol w:w="1662"/>
        <w:gridCol w:w="1662"/>
        <w:gridCol w:w="1662"/>
      </w:tblGrid>
      <w:tr>
        <w:trPr>
          <w:tblHeader/>
        </w:trPr>
        <w:tc>
          <w:tcPr>
            <w:tcW w:type="dxa" w:w="1662"/>
            <w:vAlign w:val="center"/>
            <w:shd w:fill="002147"/>
          </w:tcPr>
          <w:p>
            <w:pPr>
              <w:keepNext/>
              <w:spacing w:before="60" w:after="60" w:line="252" w:lineRule="auto"/>
              <w:ind w:firstLine="0"/>
            </w:pPr>
            <w:r>
              <w:rPr>
                <w:b/>
                <w:color w:val="FFFFFF"/>
                <w:sz w:val="19"/>
              </w:rPr>
              <w:t>Parameter &amp; Iron Threshold</w:t>
            </w:r>
          </w:p>
        </w:tc>
        <w:tc>
          <w:tcPr>
            <w:tcW w:type="dxa" w:w="1662"/>
            <w:vAlign w:val="center"/>
            <w:shd w:fill="002147"/>
          </w:tcPr>
          <w:p>
            <w:pPr>
              <w:keepNext/>
              <w:spacing w:before="60" w:after="60" w:line="252" w:lineRule="auto"/>
              <w:ind w:firstLine="0"/>
            </w:pPr>
            <w:r>
              <w:rPr>
                <w:b/>
                <w:color w:val="FFFFFF"/>
                <w:sz w:val="19"/>
              </w:rPr>
              <w:t>Cohort (Districts with n &gt;= 5)</w:t>
            </w:r>
          </w:p>
        </w:tc>
        <w:tc>
          <w:tcPr>
            <w:tcW w:type="dxa" w:w="1662"/>
            <w:vAlign w:val="center"/>
            <w:shd w:fill="002147"/>
          </w:tcPr>
          <w:p>
            <w:pPr>
              <w:keepNext/>
              <w:spacing w:before="60" w:after="60" w:line="252" w:lineRule="auto"/>
              <w:ind w:firstLine="0"/>
            </w:pPr>
            <w:r>
              <w:rPr>
                <w:b/>
                <w:color w:val="FFFFFF"/>
                <w:sz w:val="19"/>
              </w:rPr>
              <w:t>Districts (n)</w:t>
            </w:r>
          </w:p>
        </w:tc>
        <w:tc>
          <w:tcPr>
            <w:tcW w:type="dxa" w:w="1662"/>
            <w:vAlign w:val="center"/>
            <w:shd w:fill="002147"/>
          </w:tcPr>
          <w:p>
            <w:pPr>
              <w:keepNext/>
              <w:spacing w:before="60" w:after="60" w:line="252" w:lineRule="auto"/>
              <w:ind w:firstLine="0"/>
            </w:pPr>
            <w:r>
              <w:rPr>
                <w:b/>
                <w:color w:val="FFFFFF"/>
                <w:sz w:val="19"/>
              </w:rPr>
              <w:t>Spearman rho (Unmapped / Alias-Mapped)</w:t>
            </w:r>
          </w:p>
        </w:tc>
        <w:tc>
          <w:tcPr>
            <w:tcW w:type="dxa" w:w="1662"/>
            <w:vAlign w:val="center"/>
            <w:shd w:fill="002147"/>
          </w:tcPr>
          <w:p>
            <w:pPr>
              <w:keepNext/>
              <w:spacing w:before="60" w:after="60" w:line="252" w:lineRule="auto"/>
              <w:ind w:firstLine="0"/>
            </w:pPr>
            <w:r>
              <w:rPr>
                <w:b/>
                <w:color w:val="FFFFFF"/>
                <w:sz w:val="19"/>
              </w:rPr>
              <w:t>p-value (Unmapped / Alias-Mapped) &amp; Bonferroni Status (alpha = 0.0083)</w:t>
            </w:r>
          </w:p>
        </w:tc>
      </w:tr>
      <w:tr>
        <w:trPr>
          <w:cantSplit/>
        </w:trPr>
        <w:tc>
          <w:tcPr>
            <w:tcW w:type="dxa" w:w="1662"/>
            <w:vAlign w:val="center"/>
          </w:tcPr>
          <w:p>
            <w:pPr>
              <w:spacing w:before="60" w:after="60" w:line="252" w:lineRule="auto"/>
              <w:ind w:firstLine="0"/>
            </w:pPr>
            <w:r>
              <w:rPr>
                <w:b/>
                <w:sz w:val="19"/>
              </w:rPr>
              <w:t>Iron (0.3 mg/L BIS limit)</w:t>
            </w:r>
          </w:p>
        </w:tc>
        <w:tc>
          <w:tcPr>
            <w:tcW w:type="dxa" w:w="1662"/>
            <w:vAlign w:val="center"/>
          </w:tcPr>
          <w:p>
            <w:pPr>
              <w:spacing w:before="60" w:after="60" w:line="252" w:lineRule="auto"/>
              <w:ind w:firstLine="0"/>
            </w:pPr>
            <w:r>
              <w:rPr>
                <w:sz w:val="19"/>
              </w:rPr>
              <w:t>Pooled (UP + Bihar)</w:t>
            </w:r>
          </w:p>
        </w:tc>
        <w:tc>
          <w:tcPr>
            <w:tcW w:type="dxa" w:w="1662"/>
            <w:vAlign w:val="center"/>
          </w:tcPr>
          <w:p>
            <w:pPr>
              <w:spacing w:before="60" w:after="60" w:line="252" w:lineRule="auto"/>
              <w:ind w:firstLine="0"/>
            </w:pPr>
            <w:r>
              <w:rPr>
                <w:sz w:val="19"/>
              </w:rPr>
              <w:t>26</w:t>
            </w:r>
          </w:p>
        </w:tc>
        <w:tc>
          <w:tcPr>
            <w:tcW w:type="dxa" w:w="1662"/>
            <w:vAlign w:val="center"/>
          </w:tcPr>
          <w:p>
            <w:pPr>
              <w:spacing w:before="60" w:after="60" w:line="252" w:lineRule="auto"/>
              <w:ind w:firstLine="0"/>
            </w:pPr>
            <w:r>
              <w:rPr>
                <w:sz w:val="19"/>
              </w:rPr>
              <w:t>0.460 / 0.548</w:t>
            </w:r>
          </w:p>
        </w:tc>
        <w:tc>
          <w:tcPr>
            <w:tcW w:type="dxa" w:w="1662"/>
            <w:vAlign w:val="center"/>
          </w:tcPr>
          <w:p>
            <w:pPr>
              <w:spacing w:before="60" w:after="60" w:line="252" w:lineRule="auto"/>
              <w:ind w:firstLine="0"/>
            </w:pPr>
            <w:r>
              <w:rPr>
                <w:sz w:val="19"/>
              </w:rPr>
              <w:t>p = 0.018 / p = 0.004 (Exploratory; sensitive to alias mapping)</w:t>
            </w:r>
          </w:p>
        </w:tc>
      </w:tr>
      <w:tr>
        <w:trPr>
          <w:cantSplit/>
        </w:trPr>
        <w:tc>
          <w:tcPr>
            <w:tcW w:type="dxa" w:w="1662"/>
            <w:vAlign w:val="center"/>
            <w:shd w:fill="F4F7FA"/>
          </w:tcPr>
          <w:p>
            <w:pPr>
              <w:spacing w:before="60" w:after="60" w:line="252" w:lineRule="auto"/>
              <w:ind w:firstLine="0"/>
            </w:pPr>
            <w:r>
              <w:rPr>
                <w:b/>
                <w:sz w:val="19"/>
              </w:rPr>
              <w:t>Iron (0.3 mg/L BIS limit)</w:t>
            </w:r>
          </w:p>
        </w:tc>
        <w:tc>
          <w:tcPr>
            <w:tcW w:type="dxa" w:w="1662"/>
            <w:vAlign w:val="center"/>
            <w:shd w:fill="F4F7FA"/>
          </w:tcPr>
          <w:p>
            <w:pPr>
              <w:spacing w:before="60" w:after="60" w:line="252" w:lineRule="auto"/>
              <w:ind w:firstLine="0"/>
            </w:pPr>
            <w:r>
              <w:rPr>
                <w:sz w:val="19"/>
              </w:rPr>
              <w:t>Pooled Excl. Madhepura</w:t>
            </w:r>
          </w:p>
        </w:tc>
        <w:tc>
          <w:tcPr>
            <w:tcW w:type="dxa" w:w="1662"/>
            <w:vAlign w:val="center"/>
            <w:shd w:fill="F4F7FA"/>
          </w:tcPr>
          <w:p>
            <w:pPr>
              <w:spacing w:before="60" w:after="60" w:line="252" w:lineRule="auto"/>
              <w:ind w:firstLine="0"/>
            </w:pPr>
            <w:r>
              <w:rPr>
                <w:sz w:val="19"/>
              </w:rPr>
              <w:t>25</w:t>
            </w:r>
          </w:p>
        </w:tc>
        <w:tc>
          <w:tcPr>
            <w:tcW w:type="dxa" w:w="1662"/>
            <w:vAlign w:val="center"/>
            <w:shd w:fill="F4F7FA"/>
          </w:tcPr>
          <w:p>
            <w:pPr>
              <w:spacing w:before="60" w:after="60" w:line="252" w:lineRule="auto"/>
              <w:ind w:firstLine="0"/>
            </w:pPr>
            <w:r>
              <w:rPr>
                <w:sz w:val="19"/>
              </w:rPr>
              <w:t>0.395 / 0.493</w:t>
            </w:r>
          </w:p>
        </w:tc>
        <w:tc>
          <w:tcPr>
            <w:tcW w:type="dxa" w:w="1662"/>
            <w:vAlign w:val="center"/>
            <w:shd w:fill="F4F7FA"/>
          </w:tcPr>
          <w:p>
            <w:pPr>
              <w:spacing w:before="60" w:after="60" w:line="252" w:lineRule="auto"/>
              <w:ind w:firstLine="0"/>
            </w:pPr>
            <w:r>
              <w:rPr>
                <w:sz w:val="19"/>
              </w:rPr>
              <w:t>p = 0.051 / p = 0.012 (Does not pass Bonferroni 0.0083)</w:t>
            </w:r>
          </w:p>
        </w:tc>
      </w:tr>
      <w:tr>
        <w:trPr>
          <w:cantSplit/>
        </w:trPr>
        <w:tc>
          <w:tcPr>
            <w:tcW w:type="dxa" w:w="1662"/>
            <w:vAlign w:val="center"/>
          </w:tcPr>
          <w:p>
            <w:pPr>
              <w:spacing w:before="60" w:after="60" w:line="252" w:lineRule="auto"/>
              <w:ind w:firstLine="0"/>
            </w:pPr>
            <w:r>
              <w:rPr>
                <w:b/>
                <w:sz w:val="19"/>
              </w:rPr>
              <w:t>Iron (0.3 mg/L BIS limit)</w:t>
            </w:r>
          </w:p>
        </w:tc>
        <w:tc>
          <w:tcPr>
            <w:tcW w:type="dxa" w:w="1662"/>
            <w:vAlign w:val="center"/>
          </w:tcPr>
          <w:p>
            <w:pPr>
              <w:spacing w:before="60" w:after="60" w:line="252" w:lineRule="auto"/>
              <w:ind w:firstLine="0"/>
            </w:pPr>
            <w:r>
              <w:rPr>
                <w:sz w:val="19"/>
              </w:rPr>
              <w:t>Bihar Only / UP Only</w:t>
            </w:r>
          </w:p>
        </w:tc>
        <w:tc>
          <w:tcPr>
            <w:tcW w:type="dxa" w:w="1662"/>
            <w:vAlign w:val="center"/>
          </w:tcPr>
          <w:p>
            <w:pPr>
              <w:spacing w:before="60" w:after="60" w:line="252" w:lineRule="auto"/>
              <w:ind w:firstLine="0"/>
            </w:pPr>
            <w:r>
              <w:rPr>
                <w:sz w:val="19"/>
              </w:rPr>
              <w:t>11 / 15</w:t>
            </w:r>
          </w:p>
        </w:tc>
        <w:tc>
          <w:tcPr>
            <w:tcW w:type="dxa" w:w="1662"/>
            <w:vAlign w:val="center"/>
          </w:tcPr>
          <w:p>
            <w:pPr>
              <w:spacing w:before="60" w:after="60" w:line="252" w:lineRule="auto"/>
              <w:ind w:firstLine="0"/>
            </w:pPr>
            <w:r>
              <w:rPr>
                <w:sz w:val="19"/>
              </w:rPr>
              <w:t>Bihar: 0.610 | UP: 0.400</w:t>
            </w:r>
          </w:p>
        </w:tc>
        <w:tc>
          <w:tcPr>
            <w:tcW w:type="dxa" w:w="1662"/>
            <w:vAlign w:val="center"/>
          </w:tcPr>
          <w:p>
            <w:pPr>
              <w:spacing w:before="60" w:after="60" w:line="252" w:lineRule="auto"/>
              <w:ind w:firstLine="0"/>
            </w:pPr>
            <w:r>
              <w:rPr>
                <w:sz w:val="19"/>
              </w:rPr>
              <w:t>Bihar: p = 0.047 | UP: p = 0.136 (Small-n exploratory)</w:t>
            </w:r>
          </w:p>
        </w:tc>
      </w:tr>
      <w:tr>
        <w:trPr>
          <w:cantSplit/>
        </w:trPr>
        <w:tc>
          <w:tcPr>
            <w:tcW w:type="dxa" w:w="1662"/>
            <w:vAlign w:val="center"/>
            <w:shd w:fill="F4F7FA"/>
          </w:tcPr>
          <w:p>
            <w:pPr>
              <w:spacing w:before="60" w:after="60" w:line="252" w:lineRule="auto"/>
              <w:ind w:firstLine="0"/>
            </w:pPr>
            <w:r>
              <w:rPr>
                <w:b/>
                <w:sz w:val="19"/>
              </w:rPr>
              <w:t>Iron (1.0 mg/L Lab limit)</w:t>
            </w:r>
          </w:p>
        </w:tc>
        <w:tc>
          <w:tcPr>
            <w:tcW w:type="dxa" w:w="1662"/>
            <w:vAlign w:val="center"/>
            <w:shd w:fill="F4F7FA"/>
          </w:tcPr>
          <w:p>
            <w:pPr>
              <w:spacing w:before="60" w:after="60" w:line="252" w:lineRule="auto"/>
              <w:ind w:firstLine="0"/>
            </w:pPr>
            <w:r>
              <w:rPr>
                <w:sz w:val="19"/>
              </w:rPr>
              <w:t>Pooled / Excl. Madhepura</w:t>
            </w:r>
          </w:p>
        </w:tc>
        <w:tc>
          <w:tcPr>
            <w:tcW w:type="dxa" w:w="1662"/>
            <w:vAlign w:val="center"/>
            <w:shd w:fill="F4F7FA"/>
          </w:tcPr>
          <w:p>
            <w:pPr>
              <w:spacing w:before="60" w:after="60" w:line="252" w:lineRule="auto"/>
              <w:ind w:firstLine="0"/>
            </w:pPr>
            <w:r>
              <w:rPr>
                <w:sz w:val="19"/>
              </w:rPr>
              <w:t>26 / 25</w:t>
            </w:r>
          </w:p>
        </w:tc>
        <w:tc>
          <w:tcPr>
            <w:tcW w:type="dxa" w:w="1662"/>
            <w:vAlign w:val="center"/>
            <w:shd w:fill="F4F7FA"/>
          </w:tcPr>
          <w:p>
            <w:pPr>
              <w:spacing w:before="60" w:after="60" w:line="252" w:lineRule="auto"/>
              <w:ind w:firstLine="0"/>
            </w:pPr>
            <w:r>
              <w:rPr>
                <w:sz w:val="19"/>
              </w:rPr>
              <w:t>0.270 / 0.330</w:t>
            </w:r>
          </w:p>
        </w:tc>
        <w:tc>
          <w:tcPr>
            <w:tcW w:type="dxa" w:w="1662"/>
            <w:vAlign w:val="center"/>
            <w:shd w:fill="F4F7FA"/>
          </w:tcPr>
          <w:p>
            <w:pPr>
              <w:spacing w:before="60" w:after="60" w:line="252" w:lineRule="auto"/>
              <w:ind w:firstLine="0"/>
            </w:pPr>
            <w:r>
              <w:rPr>
                <w:sz w:val="19"/>
              </w:rPr>
              <w:t>p = 0.190 / p = 0.110 (Bihar rate is 0% across all districts)</w:t>
            </w:r>
          </w:p>
        </w:tc>
      </w:tr>
      <w:tr>
        <w:trPr>
          <w:cantSplit/>
        </w:trPr>
        <w:tc>
          <w:tcPr>
            <w:tcW w:type="dxa" w:w="1662"/>
            <w:vAlign w:val="center"/>
          </w:tcPr>
          <w:p>
            <w:pPr>
              <w:spacing w:before="60" w:after="60" w:line="252" w:lineRule="auto"/>
              <w:ind w:firstLine="0"/>
            </w:pPr>
            <w:r>
              <w:rPr>
                <w:b/>
                <w:sz w:val="19"/>
              </w:rPr>
              <w:t>Fluoride (1.0 mg/L limit)</w:t>
            </w:r>
          </w:p>
        </w:tc>
        <w:tc>
          <w:tcPr>
            <w:tcW w:type="dxa" w:w="1662"/>
            <w:vAlign w:val="center"/>
          </w:tcPr>
          <w:p>
            <w:pPr>
              <w:spacing w:before="60" w:after="60" w:line="252" w:lineRule="auto"/>
              <w:ind w:firstLine="0"/>
            </w:pPr>
            <w:r>
              <w:rPr>
                <w:sz w:val="19"/>
              </w:rPr>
              <w:t>Pooled (UP + Bihar)</w:t>
            </w:r>
          </w:p>
        </w:tc>
        <w:tc>
          <w:tcPr>
            <w:tcW w:type="dxa" w:w="1662"/>
            <w:vAlign w:val="center"/>
          </w:tcPr>
          <w:p>
            <w:pPr>
              <w:spacing w:before="60" w:after="60" w:line="252" w:lineRule="auto"/>
              <w:ind w:firstLine="0"/>
            </w:pPr>
            <w:r>
              <w:rPr>
                <w:sz w:val="19"/>
              </w:rPr>
              <w:t>29</w:t>
            </w:r>
          </w:p>
        </w:tc>
        <w:tc>
          <w:tcPr>
            <w:tcW w:type="dxa" w:w="1662"/>
            <w:vAlign w:val="center"/>
          </w:tcPr>
          <w:p>
            <w:pPr>
              <w:spacing w:before="60" w:after="60" w:line="252" w:lineRule="auto"/>
              <w:ind w:firstLine="0"/>
            </w:pPr>
            <w:r>
              <w:rPr>
                <w:sz w:val="19"/>
              </w:rPr>
              <w:t>0.275 / 0.223</w:t>
            </w:r>
          </w:p>
        </w:tc>
        <w:tc>
          <w:tcPr>
            <w:tcW w:type="dxa" w:w="1662"/>
            <w:vAlign w:val="center"/>
          </w:tcPr>
          <w:p>
            <w:pPr>
              <w:spacing w:before="60" w:after="60" w:line="252" w:lineRule="auto"/>
              <w:ind w:firstLine="0"/>
            </w:pPr>
            <w:r>
              <w:rPr>
                <w:sz w:val="19"/>
              </w:rPr>
              <w:t>p = 0.149 / p = 0.246 (Not significant)</w:t>
            </w:r>
          </w:p>
        </w:tc>
      </w:tr>
      <w:tr>
        <w:trPr>
          <w:cantSplit/>
        </w:trPr>
        <w:tc>
          <w:tcPr>
            <w:tcW w:type="dxa" w:w="1662"/>
            <w:vAlign w:val="center"/>
            <w:shd w:fill="F4F7FA"/>
          </w:tcPr>
          <w:p>
            <w:pPr>
              <w:spacing w:before="60" w:after="60" w:line="252" w:lineRule="auto"/>
              <w:ind w:firstLine="0"/>
            </w:pPr>
            <w:r>
              <w:rPr>
                <w:b/>
                <w:sz w:val="19"/>
              </w:rPr>
              <w:t>Fluoride (1.0 mg/L limit)</w:t>
            </w:r>
          </w:p>
        </w:tc>
        <w:tc>
          <w:tcPr>
            <w:tcW w:type="dxa" w:w="1662"/>
            <w:vAlign w:val="center"/>
            <w:shd w:fill="F4F7FA"/>
          </w:tcPr>
          <w:p>
            <w:pPr>
              <w:spacing w:before="60" w:after="60" w:line="252" w:lineRule="auto"/>
              <w:ind w:firstLine="0"/>
            </w:pPr>
            <w:r>
              <w:rPr>
                <w:sz w:val="19"/>
              </w:rPr>
              <w:t>Uttar Pradesh Only</w:t>
            </w:r>
          </w:p>
        </w:tc>
        <w:tc>
          <w:tcPr>
            <w:tcW w:type="dxa" w:w="1662"/>
            <w:vAlign w:val="center"/>
            <w:shd w:fill="F4F7FA"/>
          </w:tcPr>
          <w:p>
            <w:pPr>
              <w:spacing w:before="60" w:after="60" w:line="252" w:lineRule="auto"/>
              <w:ind w:firstLine="0"/>
            </w:pPr>
            <w:r>
              <w:rPr>
                <w:sz w:val="19"/>
              </w:rPr>
              <w:t>22</w:t>
            </w:r>
          </w:p>
        </w:tc>
        <w:tc>
          <w:tcPr>
            <w:tcW w:type="dxa" w:w="1662"/>
            <w:vAlign w:val="center"/>
            <w:shd w:fill="F4F7FA"/>
          </w:tcPr>
          <w:p>
            <w:pPr>
              <w:spacing w:before="60" w:after="60" w:line="252" w:lineRule="auto"/>
              <w:ind w:firstLine="0"/>
            </w:pPr>
            <w:r>
              <w:rPr>
                <w:sz w:val="19"/>
              </w:rPr>
              <w:t>0.500 / 0.426</w:t>
            </w:r>
          </w:p>
        </w:tc>
        <w:tc>
          <w:tcPr>
            <w:tcW w:type="dxa" w:w="1662"/>
            <w:vAlign w:val="center"/>
            <w:shd w:fill="F4F7FA"/>
          </w:tcPr>
          <w:p>
            <w:pPr>
              <w:spacing w:before="60" w:after="60" w:line="252" w:lineRule="auto"/>
              <w:ind w:firstLine="0"/>
            </w:pPr>
            <w:r>
              <w:rPr>
                <w:sz w:val="19"/>
              </w:rPr>
              <w:t>p = 0.018 / p = 0.004 (Moderate positive association in UP)</w:t>
            </w:r>
          </w:p>
        </w:tc>
      </w:tr>
    </w:tbl>
    <w:p>
      <w:pPr>
        <w:spacing w:before="0" w:after="80"/>
      </w:pPr>
    </w:p>
    <w:p>
      <w:pPr>
        <w:keepNext/>
        <w:spacing w:before="320" w:after="120"/>
        <w:ind w:firstLine="0"/>
      </w:pPr>
      <w:r>
        <w:rPr>
          <w:b/>
          <w:color w:val="002147"/>
          <w:sz w:val="28"/>
        </w:rPr>
        <w:t>5. Discussion and System Implementation</w:t>
      </w:r>
    </w:p>
    <w:p>
      <w:pPr>
        <w:spacing w:line="336" w:lineRule="auto" w:before="0" w:after="120"/>
        <w:ind w:firstLine="576"/>
        <w:jc w:val="both"/>
      </w:pPr>
      <w:r>
        <w:rPr>
          <w:sz w:val="23"/>
        </w:rPr>
        <w:t>The empirical audit demonstrates why water quality decision-support systems must decouple aesthetic parameters from acute health hazards and account for test-panel completeness. In tested samples, Uttar Pradesh exhibits higher exceedance rates for fluoride (22.4% vs. 1.1%), turbidity (81.6% vs. 39.6%), and TDS (40.9% vs. 9.9%), while dissolved iron exceedances at 0.3 mg/L are comparable once Madhepura's single-parameter cluster is removed (42.9% Bihar vs. 43.9% UP). Furthermore, zero arsenic exceedances among 259 tested samples cannot be interpreted as regional safety because 57.9% of readings (150/259) are recorded as 0.0 from four primary laboratories without detection-limit metadata.</w:t>
      </w:r>
    </w:p>
    <w:p>
      <w:pPr>
        <w:spacing w:line="336" w:lineRule="auto" w:before="0" w:after="120"/>
        <w:ind w:firstLine="576"/>
        <w:jc w:val="both"/>
      </w:pPr>
      <w:r>
        <w:rPr>
          <w:sz w:val="23"/>
        </w:rPr>
        <w:t>To ensure full transparency for district administrators and evaluators, the React dashboard (dashboard/src/App.jsx) consumes corpus invariants, parameter exceedance rates, two-limit sensitivity tables, and explicit methodological limitations directly from GET /api/meta. Figures 1 through 4 display the live dashboard views connected to the canonical 1,741-sample database.</w:t>
      </w:r>
    </w:p>
    <w:p>
      <w:pPr>
        <w:keepNext/>
        <w:spacing w:before="160" w:after="40"/>
        <w:ind w:firstLine="0"/>
        <w:jc w:val="center"/>
      </w:pPr>
      <w:r>
        <w:drawing>
          <wp:inline xmlns:a="http://schemas.openxmlformats.org/drawingml/2006/main" xmlns:pic="http://schemas.openxmlformats.org/drawingml/2006/picture">
            <wp:extent cx="4937760" cy="3128534"/>
            <wp:docPr id="2" name="Picture 2"/>
            <wp:cNvGraphicFramePr>
              <a:graphicFrameLocks noChangeAspect="1"/>
            </wp:cNvGraphicFramePr>
            <a:graphic>
              <a:graphicData uri="http://schemas.openxmlformats.org/drawingml/2006/picture">
                <pic:pic>
                  <pic:nvPicPr>
                    <pic:cNvPr id="0" name="Overview.png"/>
                    <pic:cNvPicPr/>
                  </pic:nvPicPr>
                  <pic:blipFill>
                    <a:blip r:embed="rId11"/>
                    <a:stretch>
                      <a:fillRect/>
                    </a:stretch>
                  </pic:blipFill>
                  <pic:spPr>
                    <a:xfrm>
                      <a:off x="0" y="0"/>
                      <a:ext cx="4937760" cy="3128534"/>
                    </a:xfrm>
                    <a:prstGeom prst="rect"/>
                  </pic:spPr>
                </pic:pic>
              </a:graphicData>
            </a:graphic>
          </wp:inline>
        </w:drawing>
      </w:r>
    </w:p>
    <w:p>
      <w:pPr>
        <w:spacing w:before="0" w:after="160"/>
        <w:ind w:firstLine="0"/>
        <w:jc w:val="center"/>
      </w:pPr>
      <w:r>
        <w:rPr>
          <w:i/>
          <w:color w:val="4A5568"/>
          <w:sz w:val="20"/>
        </w:rPr>
        <w:t>Figure 1: WaterTriage React Dashboard — Overview tab displaying canonical band counts (89/392/28/1,232), exploratory Spearman consistency metrics, and the Iron = 1.0 mg/L sensitivity run with live DB status badge.</w:t>
      </w:r>
    </w:p>
    <w:p>
      <w:pPr>
        <w:keepNext/>
        <w:spacing w:before="160" w:after="40"/>
        <w:ind w:firstLine="0"/>
        <w:jc w:val="center"/>
      </w:pPr>
      <w:r>
        <w:drawing>
          <wp:inline xmlns:a="http://schemas.openxmlformats.org/drawingml/2006/main" xmlns:pic="http://schemas.openxmlformats.org/drawingml/2006/picture">
            <wp:extent cx="4937760" cy="3444859"/>
            <wp:docPr id="3" name="Picture 3"/>
            <wp:cNvGraphicFramePr>
              <a:graphicFrameLocks noChangeAspect="1"/>
            </wp:cNvGraphicFramePr>
            <a:graphic>
              <a:graphicData uri="http://schemas.openxmlformats.org/drawingml/2006/picture">
                <pic:pic>
                  <pic:nvPicPr>
                    <pic:cNvPr id="0" name="Queue.png"/>
                    <pic:cNvPicPr/>
                  </pic:nvPicPr>
                  <pic:blipFill>
                    <a:blip r:embed="rId12"/>
                    <a:stretch>
                      <a:fillRect/>
                    </a:stretch>
                  </pic:blipFill>
                  <pic:spPr>
                    <a:xfrm>
                      <a:off x="0" y="0"/>
                      <a:ext cx="4937760" cy="3444859"/>
                    </a:xfrm>
                    <a:prstGeom prst="rect"/>
                  </pic:spPr>
                </pic:pic>
              </a:graphicData>
            </a:graphic>
          </wp:inline>
        </w:drawing>
      </w:r>
    </w:p>
    <w:p>
      <w:pPr>
        <w:spacing w:before="0" w:after="160"/>
        <w:ind w:firstLine="0"/>
        <w:jc w:val="center"/>
      </w:pPr>
      <w:r>
        <w:rPr>
          <w:i/>
          <w:color w:val="4A5568"/>
          <w:sz w:val="20"/>
        </w:rPr>
        <w:t>Figure 2: WaterTriage React Dashboard — Priority Intervention Queue tab showing sample-level rankings and the 'Tested Params (1 / 8)' panel-coverage badge exposing Madhepura's single-parameter iron cluster.</w:t>
      </w:r>
    </w:p>
    <w:p>
      <w:pPr>
        <w:keepNext/>
        <w:spacing w:before="160" w:after="40"/>
        <w:ind w:firstLine="0"/>
        <w:jc w:val="center"/>
      </w:pPr>
      <w:r>
        <w:drawing>
          <wp:inline xmlns:a="http://schemas.openxmlformats.org/drawingml/2006/main" xmlns:pic="http://schemas.openxmlformats.org/drawingml/2006/picture">
            <wp:extent cx="4937760" cy="3444859"/>
            <wp:docPr id="4" name="Picture 4"/>
            <wp:cNvGraphicFramePr>
              <a:graphicFrameLocks noChangeAspect="1"/>
            </wp:cNvGraphicFramePr>
            <a:graphic>
              <a:graphicData uri="http://schemas.openxmlformats.org/drawingml/2006/picture">
                <pic:pic>
                  <pic:nvPicPr>
                    <pic:cNvPr id="0" name="QueueDetail.png"/>
                    <pic:cNvPicPr/>
                  </pic:nvPicPr>
                  <pic:blipFill>
                    <a:blip r:embed="rId13"/>
                    <a:stretch>
                      <a:fillRect/>
                    </a:stretch>
                  </pic:blipFill>
                  <pic:spPr>
                    <a:xfrm>
                      <a:off x="0" y="0"/>
                      <a:ext cx="4937760" cy="3444859"/>
                    </a:xfrm>
                    <a:prstGeom prst="rect"/>
                  </pic:spPr>
                </pic:pic>
              </a:graphicData>
            </a:graphic>
          </wp:inline>
        </w:drawing>
      </w:r>
    </w:p>
    <w:p>
      <w:pPr>
        <w:spacing w:before="0" w:after="160"/>
        <w:ind w:firstLine="0"/>
        <w:jc w:val="center"/>
      </w:pPr>
      <w:r>
        <w:rPr>
          <w:i/>
          <w:color w:val="4A5568"/>
          <w:sz w:val="20"/>
        </w:rPr>
        <w:t>Figure 3: WaterTriage React Dashboard — Sample Details side drawer inspecting individual sample metadata, score, band, worst parameter, and tested parameter count.</w:t>
      </w:r>
    </w:p>
    <w:p>
      <w:pPr>
        <w:keepNext/>
        <w:spacing w:before="160" w:after="40"/>
        <w:ind w:firstLine="0"/>
        <w:jc w:val="center"/>
      </w:pPr>
      <w:r>
        <w:drawing>
          <wp:inline xmlns:a="http://schemas.openxmlformats.org/drawingml/2006/main" xmlns:pic="http://schemas.openxmlformats.org/drawingml/2006/picture">
            <wp:extent cx="4937760" cy="2927937"/>
            <wp:docPr id="5" name="Picture 5"/>
            <wp:cNvGraphicFramePr>
              <a:graphicFrameLocks noChangeAspect="1"/>
            </wp:cNvGraphicFramePr>
            <a:graphic>
              <a:graphicData uri="http://schemas.openxmlformats.org/drawingml/2006/picture">
                <pic:pic>
                  <pic:nvPicPr>
                    <pic:cNvPr id="0" name="Methodology.png"/>
                    <pic:cNvPicPr/>
                  </pic:nvPicPr>
                  <pic:blipFill>
                    <a:blip r:embed="rId14"/>
                    <a:stretch>
                      <a:fillRect/>
                    </a:stretch>
                  </pic:blipFill>
                  <pic:spPr>
                    <a:xfrm>
                      <a:off x="0" y="0"/>
                      <a:ext cx="4937760" cy="2927937"/>
                    </a:xfrm>
                    <a:prstGeom prst="rect"/>
                  </pic:spPr>
                </pic:pic>
              </a:graphicData>
            </a:graphic>
          </wp:inline>
        </w:drawing>
      </w:r>
    </w:p>
    <w:p>
      <w:pPr>
        <w:spacing w:before="0" w:after="160"/>
        <w:ind w:firstLine="0"/>
        <w:jc w:val="center"/>
      </w:pPr>
      <w:r>
        <w:rPr>
          <w:i/>
          <w:color w:val="4A5568"/>
          <w:sz w:val="20"/>
        </w:rPr>
        <w:t>Figure 4: WaterTriage React Dashboard — Data Provenance &amp; Limitations view rendering batch crawl provenance and all eight API-reported limitations from /api/meta.</w:t>
      </w:r>
    </w:p>
    <w:p>
      <w:pPr>
        <w:keepNext/>
        <w:spacing w:before="320" w:after="120"/>
        <w:ind w:firstLine="0"/>
      </w:pPr>
      <w:r>
        <w:rPr>
          <w:b/>
          <w:color w:val="002147"/>
          <w:sz w:val="28"/>
        </w:rPr>
        <w:t>6. Methodological Limitations</w:t>
      </w:r>
    </w:p>
    <w:p>
      <w:pPr>
        <w:pStyle w:val="ListBullet"/>
        <w:spacing w:line="312" w:lineRule="auto" w:before="0" w:after="80"/>
        <w:ind w:firstLine="0"/>
        <w:jc w:val="both"/>
      </w:pPr>
      <w:r>
        <w:rPr>
          <w:b/>
          <w:sz w:val="22"/>
        </w:rPr>
        <w:t xml:space="preserve">1. Non-Random Contiguous ID Crawl (2022 Only): </w:t>
      </w:r>
      <w:r>
        <w:rPr>
          <w:sz w:val="22"/>
        </w:rPr>
        <w:t>Sample reports were harvested across contiguous identifier ranges in batches of up to 500 hits (up to 6 parallel workers, no request log retained) covering collection dates 2022-07-01 to 2022-11-19. Sample density reflects laboratory upload order rather than a random geographic census (47 named districts out of 113 UP+Bihar districts; 41.6% district coverage).</w:t>
      </w:r>
    </w:p>
    <w:p>
      <w:pPr>
        <w:pStyle w:val="ListBullet"/>
        <w:spacing w:line="312" w:lineRule="auto" w:before="0" w:after="80"/>
        <w:ind w:firstLine="0"/>
        <w:jc w:val="both"/>
      </w:pPr>
      <w:r>
        <w:rPr>
          <w:b/>
          <w:sz w:val="22"/>
        </w:rPr>
        <w:t xml:space="preserve">2. Iron Threshold Conflict and Step Saturation: </w:t>
      </w:r>
      <w:r>
        <w:rPr>
          <w:sz w:val="22"/>
        </w:rPr>
        <w:t>BIS IS 10500:2012 Table 2 specifies an acceptable iron limit of 0.3 mg/L with no relaxation, whereas all 876 raw WQMIS iron records print 1.0 mg/L. Under a binary step function at 0.3 mg/L, marginal aesthetic iron readings (0.318–0.478 mg/L in Madhepura) saturate at severity 1.0.</w:t>
      </w:r>
    </w:p>
    <w:p>
      <w:pPr>
        <w:pStyle w:val="ListBullet"/>
        <w:spacing w:line="312" w:lineRule="auto" w:before="0" w:after="80"/>
        <w:ind w:firstLine="0"/>
        <w:jc w:val="both"/>
      </w:pPr>
      <w:r>
        <w:rPr>
          <w:b/>
          <w:sz w:val="22"/>
        </w:rPr>
        <w:t xml:space="preserve">3. Panel-Size Denominator Sensitivity: </w:t>
      </w:r>
      <w:r>
        <w:rPr>
          <w:sz w:val="22"/>
        </w:rPr>
        <w:t>In Model v1, normalizing over tested parameters alone causes single-parameter exceedances to score 100.0 and makes the Medium band nearly empty (28 samples, 1.6%). Normalizing over TOTAL_BIS_WEIGHT = 6.0 (Model v2) resolves this bias (125 Medium samples, 7.2%).</w:t>
      </w:r>
    </w:p>
    <w:p>
      <w:pPr>
        <w:pStyle w:val="ListBullet"/>
        <w:spacing w:line="312" w:lineRule="auto" w:before="0" w:after="80"/>
        <w:ind w:firstLine="0"/>
        <w:jc w:val="both"/>
      </w:pPr>
      <w:r>
        <w:rPr>
          <w:b/>
          <w:sz w:val="22"/>
        </w:rPr>
        <w:t xml:space="preserve">4. Missing District and Village Identifiers: </w:t>
      </w:r>
      <w:r>
        <w:rPr>
          <w:sz w:val="22"/>
        </w:rPr>
        <w:t>354 of 1,741 samples (20.3%: 339 UP, 15 Bihar) record district as 'Not available' (including the 12.60 mg/L fluoride sample U715825L405S1002693), and village names exist for only 21 of 1,741 samples (1.21%), preventing sample-linked village recurrence.</w:t>
      </w:r>
    </w:p>
    <w:p>
      <w:pPr>
        <w:pStyle w:val="ListBullet"/>
        <w:spacing w:line="312" w:lineRule="auto" w:before="0" w:after="80"/>
        <w:ind w:firstLine="0"/>
        <w:jc w:val="both"/>
      </w:pPr>
      <w:r>
        <w:rPr>
          <w:b/>
          <w:sz w:val="22"/>
        </w:rPr>
        <w:t xml:space="preserve">5. Sparse Microbial Coverage and Censored Arsenic Zeros: </w:t>
      </w:r>
      <w:r>
        <w:rPr>
          <w:sz w:val="22"/>
        </w:rPr>
        <w:t>E. coli was tested in 45 samples (2.6%) and total coliform in 7 samples (0.4%). Among 259 arsenic tests, 150 (57.9%) are recorded as 0.0 across four primary labs without distinguishing below-detection-limit values from true zeros.</w:t>
      </w:r>
    </w:p>
    <w:p>
      <w:pPr>
        <w:pStyle w:val="ListBullet"/>
        <w:spacing w:line="312" w:lineRule="auto" w:before="0" w:after="80"/>
        <w:ind w:firstLine="0"/>
        <w:jc w:val="both"/>
      </w:pPr>
      <w:r>
        <w:rPr>
          <w:b/>
          <w:sz w:val="22"/>
        </w:rPr>
        <w:t xml:space="preserve">6. Temporal and Unit Gap in Historical Registry: </w:t>
      </w:r>
      <w:r>
        <w:rPr>
          <w:sz w:val="22"/>
        </w:rPr>
        <w:t>The 2009–2012 registry tracks affected habitation event rows (100,690 events across 14,006 villages) rather than 2022 source concentrations; rank correlations are therefore exploratory consistency checks.</w:t>
      </w:r>
    </w:p>
    <w:p>
      <w:pPr>
        <w:keepNext/>
        <w:spacing w:before="320" w:after="120"/>
        <w:ind w:firstLine="0"/>
      </w:pPr>
      <w:r>
        <w:rPr>
          <w:b/>
          <w:color w:val="002147"/>
          <w:sz w:val="28"/>
        </w:rPr>
        <w:t>7. Conclusion and Future Work</w:t>
      </w:r>
    </w:p>
    <w:p>
      <w:pPr>
        <w:spacing w:line="336" w:lineRule="auto" w:before="0" w:after="120"/>
        <w:ind w:firstLine="576"/>
        <w:jc w:val="both"/>
      </w:pPr>
      <w:r>
        <w:rPr>
          <w:sz w:val="23"/>
        </w:rPr>
        <w:t>WaterTriage demonstrates an end-to-end, auditable data-engineering pipeline that transforms raw WQMIS laboratory HTML reports into BIS IS 10500:2012 risk scores, REST API priority queues, and an interactive React decision-support console verified by 29 automated pytest test cases (28 passed, 1 skipped offline; 29 passed with PostgreSQL). Table 5 maps each synopsis objective to its delivered engineering outcome.</w:t>
      </w:r>
    </w:p>
    <w:tbl>
      <w:tblPr>
        <w:tblW w:type="auto" w:w="0"/>
        <w:jc w:val="center"/>
        <w:tblLook w:firstColumn="1" w:firstRow="1" w:lastColumn="0" w:lastRow="0" w:noHBand="0" w:noVBand="1" w:val="04A0"/>
      </w:tblPr>
      <w:tblGrid>
        <w:gridCol w:w="4154"/>
        <w:gridCol w:w="4154"/>
      </w:tblGrid>
      <w:tr>
        <w:trPr>
          <w:tblHeader/>
        </w:trPr>
        <w:tc>
          <w:tcPr>
            <w:tcW w:type="dxa" w:w="4154"/>
            <w:vAlign w:val="center"/>
            <w:shd w:fill="002147"/>
          </w:tcPr>
          <w:p>
            <w:pPr>
              <w:keepNext/>
              <w:spacing w:before="60" w:after="60" w:line="252" w:lineRule="auto"/>
              <w:ind w:firstLine="0"/>
            </w:pPr>
            <w:r>
              <w:rPr>
                <w:b/>
                <w:color w:val="FFFFFF"/>
                <w:sz w:val="19"/>
              </w:rPr>
              <w:t>Synopsis Objective</w:t>
            </w:r>
          </w:p>
        </w:tc>
        <w:tc>
          <w:tcPr>
            <w:tcW w:type="dxa" w:w="4154"/>
            <w:vAlign w:val="center"/>
            <w:shd w:fill="002147"/>
          </w:tcPr>
          <w:p>
            <w:pPr>
              <w:keepNext/>
              <w:spacing w:before="60" w:after="60" w:line="252" w:lineRule="auto"/>
              <w:ind w:firstLine="0"/>
            </w:pPr>
            <w:r>
              <w:rPr>
                <w:b/>
                <w:color w:val="FFFFFF"/>
                <w:sz w:val="19"/>
              </w:rPr>
              <w:t>Delivered Engineering Outcome &amp; Verification Status</w:t>
            </w:r>
          </w:p>
        </w:tc>
      </w:tr>
      <w:tr>
        <w:trPr>
          <w:cantSplit/>
        </w:trPr>
        <w:tc>
          <w:tcPr>
            <w:tcW w:type="dxa" w:w="4154"/>
            <w:vAlign w:val="center"/>
          </w:tcPr>
          <w:p>
            <w:pPr>
              <w:spacing w:before="60" w:after="60" w:line="252" w:lineRule="auto"/>
              <w:ind w:firstLine="0"/>
            </w:pPr>
            <w:r>
              <w:rPr>
                <w:b/>
                <w:sz w:val="19"/>
              </w:rPr>
              <w:t>1. Acquisition &amp; normalization of JJM data (UP &amp; Bihar)</w:t>
            </w:r>
          </w:p>
        </w:tc>
        <w:tc>
          <w:tcPr>
            <w:tcW w:type="dxa" w:w="4154"/>
            <w:vAlign w:val="center"/>
          </w:tcPr>
          <w:p>
            <w:pPr>
              <w:spacing w:before="60" w:after="60" w:line="252" w:lineRule="auto"/>
              <w:ind w:firstLine="0"/>
            </w:pPr>
            <w:r>
              <w:rPr>
                <w:sz w:val="19"/>
              </w:rPr>
              <w:t>Achieved — Crawled 1,822 WQMIS reports; ingested 1,741 valid 2022 lab samples (966 UP, 775 Bihar; 6,792 readings) plus 100,690 deduplicated historical registry events (2009–2012) across 14,006 villages.</w:t>
            </w:r>
          </w:p>
        </w:tc>
      </w:tr>
      <w:tr>
        <w:trPr>
          <w:cantSplit/>
        </w:trPr>
        <w:tc>
          <w:tcPr>
            <w:tcW w:type="dxa" w:w="4154"/>
            <w:vAlign w:val="center"/>
            <w:shd w:fill="F4F7FA"/>
          </w:tcPr>
          <w:p>
            <w:pPr>
              <w:spacing w:before="60" w:after="60" w:line="252" w:lineRule="auto"/>
              <w:ind w:firstLine="0"/>
            </w:pPr>
            <w:r>
              <w:rPr>
                <w:b/>
                <w:sz w:val="19"/>
              </w:rPr>
              <w:t>2. Relational database schema in PostgreSQL</w:t>
            </w:r>
          </w:p>
        </w:tc>
        <w:tc>
          <w:tcPr>
            <w:tcW w:type="dxa" w:w="4154"/>
            <w:vAlign w:val="center"/>
            <w:shd w:fill="F4F7FA"/>
          </w:tcPr>
          <w:p>
            <w:pPr>
              <w:spacing w:before="60" w:after="60" w:line="252" w:lineRule="auto"/>
              <w:ind w:firstLine="0"/>
            </w:pPr>
            <w:r>
              <w:rPr>
                <w:sz w:val="19"/>
              </w:rPr>
              <w:t>Achieved — 8 normalized domain tables (plus alembic_version) with foreign-key integrity and duplicate-reading max-severity aggregation in pipeline.py.</w:t>
            </w:r>
          </w:p>
        </w:tc>
      </w:tr>
      <w:tr>
        <w:trPr>
          <w:cantSplit/>
        </w:trPr>
        <w:tc>
          <w:tcPr>
            <w:tcW w:type="dxa" w:w="4154"/>
            <w:vAlign w:val="center"/>
          </w:tcPr>
          <w:p>
            <w:pPr>
              <w:spacing w:before="60" w:after="60" w:line="252" w:lineRule="auto"/>
              <w:ind w:firstLine="0"/>
            </w:pPr>
            <w:r>
              <w:rPr>
                <w:b/>
                <w:sz w:val="19"/>
              </w:rPr>
              <w:t>3. BIS IS 10500:2012 severity scoring engine</w:t>
            </w:r>
          </w:p>
        </w:tc>
        <w:tc>
          <w:tcPr>
            <w:tcW w:type="dxa" w:w="4154"/>
            <w:vAlign w:val="center"/>
          </w:tcPr>
          <w:p>
            <w:pPr>
              <w:spacing w:before="60" w:after="60" w:line="252" w:lineRule="auto"/>
              <w:ind w:firstLine="0"/>
            </w:pPr>
            <w:r>
              <w:rPr>
                <w:sz w:val="19"/>
              </w:rPr>
              <w:t>Achieved &amp; Audited — Implemented both tested-weight (Model v1) and coverage-adjusted total-weight (Model v2, TOTAL_BIS_WEIGHT=6.0, 10 parameters, 40/20/10 bands) engines with acute-hazard escalation and two-limit iron sensitivity (0.3 vs. 1.0 mg/L).</w:t>
            </w:r>
          </w:p>
        </w:tc>
      </w:tr>
      <w:tr>
        <w:trPr>
          <w:cantSplit/>
        </w:trPr>
        <w:tc>
          <w:tcPr>
            <w:tcW w:type="dxa" w:w="4154"/>
            <w:vAlign w:val="center"/>
            <w:shd w:fill="F4F7FA"/>
          </w:tcPr>
          <w:p>
            <w:pPr>
              <w:spacing w:before="60" w:after="60" w:line="252" w:lineRule="auto"/>
              <w:ind w:firstLine="0"/>
            </w:pPr>
            <w:r>
              <w:rPr>
                <w:b/>
                <w:sz w:val="19"/>
              </w:rPr>
              <w:t>4. Recurrence / trend detection module</w:t>
            </w:r>
          </w:p>
        </w:tc>
        <w:tc>
          <w:tcPr>
            <w:tcW w:type="dxa" w:w="4154"/>
            <w:vAlign w:val="center"/>
            <w:shd w:fill="F4F7FA"/>
          </w:tcPr>
          <w:p>
            <w:pPr>
              <w:spacing w:before="60" w:after="60" w:line="252" w:lineRule="auto"/>
              <w:ind w:firstLine="0"/>
            </w:pPr>
            <w:r>
              <w:rPr>
                <w:sz w:val="19"/>
              </w:rPr>
              <w:t>Partially Achieved — Unit-tested recurrence classification logic and district-level Spearman consistency check (93 historical districts); village-level live linkage is blocked by 1.21% village name coverage in public WQMIS reports.</w:t>
            </w:r>
          </w:p>
        </w:tc>
      </w:tr>
      <w:tr>
        <w:trPr>
          <w:cantSplit/>
        </w:trPr>
        <w:tc>
          <w:tcPr>
            <w:tcW w:type="dxa" w:w="4154"/>
            <w:vAlign w:val="center"/>
          </w:tcPr>
          <w:p>
            <w:pPr>
              <w:spacing w:before="60" w:after="60" w:line="252" w:lineRule="auto"/>
              <w:ind w:firstLine="0"/>
            </w:pPr>
            <w:r>
              <w:rPr>
                <w:b/>
                <w:sz w:val="19"/>
              </w:rPr>
              <w:t>5. FastAPI backend &amp; React dashboard</w:t>
            </w:r>
          </w:p>
        </w:tc>
        <w:tc>
          <w:tcPr>
            <w:tcW w:type="dxa" w:w="4154"/>
            <w:vAlign w:val="center"/>
          </w:tcPr>
          <w:p>
            <w:pPr>
              <w:spacing w:before="60" w:after="60" w:line="252" w:lineRule="auto"/>
              <w:ind w:firstLine="0"/>
            </w:pPr>
            <w:r>
              <w:rPr>
                <w:sz w:val="19"/>
              </w:rPr>
              <w:t>Achieved — 9 REST endpoints including /api/priority and /api/meta, paired with a React SPA (Overview, Priority Queue, Sample Drawer, Methodology) and 29 automated pytest functions.</w:t>
            </w:r>
          </w:p>
        </w:tc>
      </w:tr>
      <w:tr>
        <w:trPr>
          <w:cantSplit/>
        </w:trPr>
        <w:tc>
          <w:tcPr>
            <w:tcW w:type="dxa" w:w="4154"/>
            <w:vAlign w:val="center"/>
            <w:shd w:fill="F4F7FA"/>
          </w:tcPr>
          <w:p>
            <w:pPr>
              <w:spacing w:before="60" w:after="60" w:line="252" w:lineRule="auto"/>
              <w:ind w:firstLine="0"/>
            </w:pPr>
            <w:r>
              <w:rPr>
                <w:b/>
                <w:sz w:val="19"/>
              </w:rPr>
              <w:t>6. Containerized deployment via Docker</w:t>
            </w:r>
          </w:p>
        </w:tc>
        <w:tc>
          <w:tcPr>
            <w:tcW w:type="dxa" w:w="4154"/>
            <w:vAlign w:val="center"/>
            <w:shd w:fill="F4F7FA"/>
          </w:tcPr>
          <w:p>
            <w:pPr>
              <w:spacing w:before="60" w:after="60" w:line="252" w:lineRule="auto"/>
              <w:ind w:firstLine="0"/>
            </w:pPr>
            <w:r>
              <w:rPr>
                <w:sz w:val="19"/>
              </w:rPr>
              <w:t>Achieved — Multi-service docker-compose.yml orchestrating PostgreSQL 16 (watertriage-db), FastAPI backend, and Nginx/React frontend.</w:t>
            </w:r>
          </w:p>
        </w:tc>
      </w:tr>
    </w:tbl>
    <w:p>
      <w:pPr>
        <w:spacing w:before="0" w:after="80"/>
      </w:pPr>
    </w:p>
    <w:p>
      <w:pPr>
        <w:spacing w:line="336" w:lineRule="auto" w:before="0" w:after="120"/>
        <w:ind w:firstLine="576"/>
        <w:jc w:val="both"/>
      </w:pPr>
      <w:r>
        <w:rPr>
          <w:sz w:val="23"/>
        </w:rPr>
        <w:t>Future work includes (1) separating aesthetic parameters (iron, turbidity, TDS) from acute health toxins into a two-dimensional triage matrix, (2) ingesting the LGD-coded AIKosh JJM dataset upon institutional approval to resolve the 20.3% missing-district and 98.8% missing-village-name gaps, and (3) transitioning from contiguous ID crawling to authenticated JJM WebAPI endpoints for spatially representative sampling.</w:t>
      </w:r>
    </w:p>
    <w:p>
      <w:pPr>
        <w:keepNext/>
        <w:spacing w:before="320" w:after="120"/>
        <w:ind w:firstLine="0"/>
      </w:pPr>
      <w:r>
        <w:rPr>
          <w:b/>
          <w:color w:val="002147"/>
          <w:sz w:val="28"/>
        </w:rPr>
        <w:t>References</w:t>
      </w:r>
    </w:p>
    <w:p>
      <w:pPr>
        <w:spacing w:line="336" w:lineRule="auto" w:before="0" w:after="120"/>
        <w:ind w:firstLine="0"/>
        <w:jc w:val="both"/>
      </w:pPr>
      <w:r>
        <w:rPr>
          <w:sz w:val="23"/>
        </w:rPr>
        <w:t>[1] Department of Drinking Water and Sanitation (DDWS), "Jal Jeevan Mission — Water Quality Management Information System (WQMIS) Portal," Ministry of Jal Shakti, Government of India. URL: https://ejalshakti.gov.in/WQMIS/ (Accessed: 05 Oct 2026).</w:t>
      </w:r>
    </w:p>
    <w:p>
      <w:pPr>
        <w:spacing w:line="336" w:lineRule="auto" w:before="0" w:after="120"/>
        <w:ind w:firstLine="0"/>
        <w:jc w:val="both"/>
      </w:pPr>
      <w:r>
        <w:rPr>
          <w:sz w:val="23"/>
        </w:rPr>
        <w:t>[2] National Jal Jeevan Mission, "Drinking Water Quality Monitoring &amp; Surveillance Framework," Department of Drinking Water and Sanitation, Ministry of Jal Shakti, Government of India, Oct 2021. URL: https://jaljeevanmission.gov.in/ (Accessed: 05 Oct 2026).</w:t>
      </w:r>
    </w:p>
    <w:p>
      <w:pPr>
        <w:spacing w:line="336" w:lineRule="auto" w:before="0" w:after="120"/>
        <w:ind w:firstLine="0"/>
        <w:jc w:val="both"/>
      </w:pPr>
      <w:r>
        <w:rPr>
          <w:sz w:val="23"/>
        </w:rPr>
        <w:t>[3] Bureau of Indian Standards (BIS), "IS 10500:2012 — Indian Standard Drinking Water — Specification (Second Revision), incorporating Amendment No. 1 (June 2015)," New Delhi: BIS, Table 1 (Physical Parameters: items ii, iv, vi), Table 2 (General Chemical Parameters: items xii Iron = 0.3 mg/L No relaxation, xiii Fluoride = 1.0/1.5 mg/L, xiv Sulphate = 200/400 mg/L, xvii Nitrate = 45 mg/L No relaxation), Table 3 (Toxic Substances: item x Total Arsenic = 0.01 mg/L), and Table 6 (Bacteriological Quality: items i E. coli, ii Total Coliform). URL: https://law.resource.org/pub/in/bis/S06/is.10500.2012.pdf (Accessed: 14 Oct 2026).</w:t>
      </w:r>
    </w:p>
    <w:p>
      <w:pPr>
        <w:spacing w:line="336" w:lineRule="auto" w:before="0" w:after="120"/>
        <w:ind w:firstLine="0"/>
        <w:jc w:val="both"/>
      </w:pPr>
      <w:r>
        <w:rPr>
          <w:sz w:val="23"/>
        </w:rPr>
        <w:t>[4] S. Tyagi, B. Sharma, P. Singh, and R. Dobhal, "Water Quality Assessment in Terms of Water Quality Index," American Journal of Water Resources, vol. 1, no. 3, pp. 34–38, 2013 (Cited in docs/research/literature-review-notes.md for WQI eclipsing and weighting).</w:t>
      </w:r>
    </w:p>
    <w:p>
      <w:pPr>
        <w:spacing w:line="336" w:lineRule="auto" w:before="0" w:after="120"/>
        <w:ind w:firstLine="0"/>
        <w:jc w:val="both"/>
      </w:pPr>
      <w:r>
        <w:rPr>
          <w:sz w:val="23"/>
        </w:rPr>
        <w:t>[5] P. Li et al., "Groundwater quality assessment using weighted arithmetic index method in Butchayyapeta Mandal, Visakhapatnam district, Andhra Pradesh, India," Environmental Science and Pollution Research, 2021, PMID: 34633550 (Verified in docs/research/literature-review-notes.md, 17 Aug 2026).</w:t>
      </w:r>
    </w:p>
    <w:p>
      <w:pPr>
        <w:spacing w:line="336" w:lineRule="auto" w:before="0" w:after="120"/>
        <w:ind w:firstLine="0"/>
        <w:jc w:val="both"/>
      </w:pPr>
      <w:r>
        <w:rPr>
          <w:sz w:val="23"/>
        </w:rPr>
        <w:t>[6] A. K. Gorai and S. Kumar, "Spatial distribution analysis of groundwater quality index using Analytic Hierarchy Process (AHP) around municipal solid waste landfill site in Ranchi, Jharkhand," Journal of Environmental Engineering and Landscape Management, 2016, PMID: 27155859 (Verified in docs/research/literature-review-notes.md, 17 Aug 2026).</w:t>
      </w:r>
    </w:p>
    <w:p>
      <w:pPr>
        <w:spacing w:line="336" w:lineRule="auto" w:before="0" w:after="120"/>
        <w:ind w:firstLine="0"/>
        <w:jc w:val="both"/>
      </w:pPr>
      <w:r>
        <w:rPr>
          <w:sz w:val="23"/>
        </w:rPr>
        <w:t>[7] S. K. Patel et al., "Access to safe drinking water and water quality assessment in rural households of Etawah district, Uttar Pradesh under Jal Jeevan Mission," PubMed Central, PMC10652157, 2023 (Verified in docs/research/literature-review-notes.md, 17 Aug 2026).</w:t>
      </w:r>
    </w:p>
    <w:p>
      <w:pPr>
        <w:spacing w:line="336" w:lineRule="auto" w:before="0" w:after="120"/>
        <w:ind w:firstLine="0"/>
        <w:jc w:val="both"/>
      </w:pPr>
      <w:r>
        <w:rPr>
          <w:sz w:val="23"/>
        </w:rPr>
        <w:t>[8] R. Kumar et al., "Groundwater quality assessment in Bihar's aquifers: a machine learning and WQI approach," PMID: 42189468 (Verified in docs/research/literature-review-notes.md, 17 Aug 2026).</w:t>
      </w:r>
    </w:p>
    <w:p>
      <w:pPr>
        <w:spacing w:line="336" w:lineRule="auto" w:before="0" w:after="120"/>
        <w:ind w:firstLine="0"/>
        <w:jc w:val="both"/>
      </w:pPr>
      <w:r>
        <w:rPr>
          <w:sz w:val="23"/>
        </w:rPr>
        <w:t>[9] A. Podgorski et al., "Predicting groundwater arsenic contamination and regions at risk in Uttar Pradesh, India," Environmental Science &amp; Technology, 2019, PMID: 31078753 (Verified in docs/research/literature-review-notes.md, 17 Aug 2026).</w:t>
      </w:r>
    </w:p>
    <w:p>
      <w:pPr>
        <w:spacing w:line="336" w:lineRule="auto" w:before="0" w:after="120"/>
        <w:ind w:firstLine="0"/>
        <w:jc w:val="both"/>
      </w:pPr>
      <w:r>
        <w:rPr>
          <w:sz w:val="23"/>
        </w:rPr>
        <w:t>[10] M. A. Silva et al., "Water Access Index (WAI) as a decision-support tool for prioritizing state water interventions," PMID: 35092461 (Verified in docs/research/literature-review-notes.md, 17 Aug 2026).</w:t>
      </w:r>
    </w:p>
    <w:p>
      <w:pPr>
        <w:keepNext/>
        <w:spacing w:before="320" w:after="120"/>
        <w:ind w:firstLine="0"/>
      </w:pPr>
      <w:r>
        <w:rPr>
          <w:b/>
          <w:color w:val="002147"/>
          <w:sz w:val="28"/>
        </w:rPr>
        <w:t>Appendix A: Revision Note on Earlier Weekly Progress Reports (WPR-6 to WPR-10)</w:t>
      </w:r>
    </w:p>
    <w:p>
      <w:pPr>
        <w:spacing w:line="336" w:lineRule="auto" w:before="0" w:after="120"/>
        <w:ind w:firstLine="0"/>
        <w:jc w:val="both"/>
      </w:pPr>
      <w:r>
        <w:rPr>
          <w:sz w:val="23"/>
        </w:rPr>
        <w:t>In accordance with academic research integrity standards, this section documents all figures in earlier weekly progress reports (WPR-6 through WPR-10) that were superseded or corrected during the final data reconciliation audit (04/10/2026 – 14/10/2026):</w:t>
      </w:r>
    </w:p>
    <w:tbl>
      <w:tblPr>
        <w:tblW w:type="auto" w:w="0"/>
        <w:jc w:val="center"/>
        <w:tblLook w:firstColumn="1" w:firstRow="1" w:lastColumn="0" w:lastRow="0" w:noHBand="0" w:noVBand="1" w:val="04A0"/>
      </w:tblPr>
      <w:tblGrid>
        <w:gridCol w:w="2770"/>
        <w:gridCol w:w="2770"/>
        <w:gridCol w:w="2770"/>
      </w:tblGrid>
      <w:tr>
        <w:trPr>
          <w:tblHeader/>
        </w:trPr>
        <w:tc>
          <w:tcPr>
            <w:tcW w:type="dxa" w:w="2770"/>
            <w:vAlign w:val="center"/>
            <w:shd w:fill="002147"/>
          </w:tcPr>
          <w:p>
            <w:pPr>
              <w:keepNext/>
              <w:spacing w:before="60" w:after="60" w:line="252" w:lineRule="auto"/>
              <w:ind w:firstLine="0"/>
            </w:pPr>
            <w:r>
              <w:rPr>
                <w:b/>
                <w:color w:val="FFFFFF"/>
                <w:sz w:val="18"/>
              </w:rPr>
              <w:t>Earlier Report / Artifact</w:t>
            </w:r>
          </w:p>
        </w:tc>
        <w:tc>
          <w:tcPr>
            <w:tcW w:type="dxa" w:w="2770"/>
            <w:vAlign w:val="center"/>
            <w:shd w:fill="002147"/>
          </w:tcPr>
          <w:p>
            <w:pPr>
              <w:keepNext/>
              <w:spacing w:before="60" w:after="60" w:line="252" w:lineRule="auto"/>
              <w:ind w:firstLine="0"/>
            </w:pPr>
            <w:r>
              <w:rPr>
                <w:b/>
                <w:color w:val="FFFFFF"/>
                <w:sz w:val="18"/>
              </w:rPr>
              <w:t>Previously Reported Claim</w:t>
            </w:r>
          </w:p>
        </w:tc>
        <w:tc>
          <w:tcPr>
            <w:tcW w:type="dxa" w:w="2770"/>
            <w:vAlign w:val="center"/>
            <w:shd w:fill="002147"/>
          </w:tcPr>
          <w:p>
            <w:pPr>
              <w:keepNext/>
              <w:spacing w:before="60" w:after="60" w:line="252" w:lineRule="auto"/>
              <w:ind w:firstLine="0"/>
            </w:pPr>
            <w:r>
              <w:rPr>
                <w:b/>
                <w:color w:val="FFFFFF"/>
                <w:sz w:val="18"/>
              </w:rPr>
              <w:t>Reconciled Ground Truth &amp; Reason for Revision</w:t>
            </w:r>
          </w:p>
        </w:tc>
      </w:tr>
      <w:tr>
        <w:trPr>
          <w:cantSplit/>
        </w:trPr>
        <w:tc>
          <w:tcPr>
            <w:tcW w:type="dxa" w:w="2770"/>
            <w:vAlign w:val="center"/>
          </w:tcPr>
          <w:p>
            <w:pPr>
              <w:spacing w:before="60" w:after="60" w:line="252" w:lineRule="auto"/>
              <w:ind w:firstLine="0"/>
            </w:pPr>
            <w:r>
              <w:rPr>
                <w:b/>
                <w:sz w:val="18"/>
              </w:rPr>
              <w:t>WPR-6 (Results), WPR-7 (Discussion), WPR-8 (Conclusion)</w:t>
            </w:r>
          </w:p>
        </w:tc>
        <w:tc>
          <w:tcPr>
            <w:tcW w:type="dxa" w:w="2770"/>
            <w:vAlign w:val="center"/>
          </w:tcPr>
          <w:p>
            <w:pPr>
              <w:spacing w:before="60" w:after="60" w:line="252" w:lineRule="auto"/>
              <w:ind w:firstLine="0"/>
            </w:pPr>
            <w:r>
              <w:rPr>
                <w:sz w:val="18"/>
              </w:rPr>
              <w:t>Sample counts of 755 (WPR-6), 1,359 (WPR-7), 1,245 (WPR-8), and 1,855 (interim SQLite); UP mean CRS 14.51 &gt; Bihar 9.34; UP avg fluoride 1.73 mg/L and nitrate 49.82 mg/L.</w:t>
            </w:r>
          </w:p>
        </w:tc>
        <w:tc>
          <w:tcPr>
            <w:tcW w:type="dxa" w:w="2770"/>
            <w:vAlign w:val="center"/>
          </w:tcPr>
          <w:p>
            <w:pPr>
              <w:spacing w:before="60" w:after="60" w:line="252" w:lineRule="auto"/>
              <w:ind w:firstLine="0"/>
            </w:pPr>
            <w:r>
              <w:rPr>
                <w:sz w:val="18"/>
              </w:rPr>
              <w:t>Superseded by the frozen 1,741-sample canonical corpus (966 UP, 775 Bihar; 6,792 readings) from data/raw/wqmis/records.jsonl (1,822 crawled records minus 81 empty payloads). The 1,855/1,853 SQLite counts included 114 synthetic/CGWB prototype rows that were purged.</w:t>
            </w:r>
          </w:p>
        </w:tc>
      </w:tr>
      <w:tr>
        <w:trPr>
          <w:cantSplit/>
        </w:trPr>
        <w:tc>
          <w:tcPr>
            <w:tcW w:type="dxa" w:w="2770"/>
            <w:vAlign w:val="center"/>
            <w:shd w:fill="F4F7FA"/>
          </w:tcPr>
          <w:p>
            <w:pPr>
              <w:spacing w:before="60" w:after="60" w:line="252" w:lineRule="auto"/>
              <w:ind w:firstLine="0"/>
            </w:pPr>
            <w:r>
              <w:rPr>
                <w:b/>
                <w:sz w:val="18"/>
              </w:rPr>
              <w:t>WPR-7, WPR-8, WPR-9 (v1)</w:t>
            </w:r>
          </w:p>
        </w:tc>
        <w:tc>
          <w:tcPr>
            <w:tcW w:type="dxa" w:w="2770"/>
            <w:vAlign w:val="center"/>
            <w:shd w:fill="F4F7FA"/>
          </w:tcPr>
          <w:p>
            <w:pPr>
              <w:spacing w:before="60" w:after="60" w:line="252" w:lineRule="auto"/>
              <w:ind w:firstLine="0"/>
            </w:pPr>
            <w:r>
              <w:rPr>
                <w:sz w:val="18"/>
              </w:rPr>
              <w:t>Khokha village (Purnia, ID 7568) cited as a live 'chronic hotspot' with watchlist score 12.5.</w:t>
            </w:r>
          </w:p>
        </w:tc>
        <w:tc>
          <w:tcPr>
            <w:tcW w:type="dxa" w:w="2770"/>
            <w:vAlign w:val="center"/>
            <w:shd w:fill="F4F7FA"/>
          </w:tcPr>
          <w:p>
            <w:pPr>
              <w:spacing w:before="60" w:after="60" w:line="252" w:lineRule="auto"/>
              <w:ind w:firstLine="0"/>
            </w:pPr>
            <w:r>
              <w:rPr>
                <w:sz w:val="18"/>
              </w:rPr>
              <w:t>Withdrawn as a live sample verdict. Khokha has 166 iron events in the 2009–2012 registry (highest in the registry) but 0 samples in the 2022 corpus; village names exist in only 21/1,741 samples (1.21%).</w:t>
            </w:r>
          </w:p>
        </w:tc>
      </w:tr>
      <w:tr>
        <w:trPr>
          <w:cantSplit/>
        </w:trPr>
        <w:tc>
          <w:tcPr>
            <w:tcW w:type="dxa" w:w="2770"/>
            <w:vAlign w:val="center"/>
          </w:tcPr>
          <w:p>
            <w:pPr>
              <w:spacing w:before="60" w:after="60" w:line="252" w:lineRule="auto"/>
              <w:ind w:firstLine="0"/>
            </w:pPr>
            <w:r>
              <w:rPr>
                <w:b/>
                <w:sz w:val="18"/>
              </w:rPr>
              <w:t>WPR-8, WPR-9 (v1)</w:t>
            </w:r>
          </w:p>
        </w:tc>
        <w:tc>
          <w:tcPr>
            <w:tcW w:type="dxa" w:w="2770"/>
            <w:vAlign w:val="center"/>
          </w:tcPr>
          <w:p>
            <w:pPr>
              <w:spacing w:before="60" w:after="60" w:line="252" w:lineRule="auto"/>
              <w:ind w:firstLine="0"/>
            </w:pPr>
            <w:r>
              <w:rPr>
                <w:sz w:val="18"/>
              </w:rPr>
              <w:t>Peak fluoride reading of 12.60 mg/L attributed to Agra district.</w:t>
            </w:r>
          </w:p>
        </w:tc>
        <w:tc>
          <w:tcPr>
            <w:tcW w:type="dxa" w:w="2770"/>
            <w:vAlign w:val="center"/>
          </w:tcPr>
          <w:p>
            <w:pPr>
              <w:spacing w:before="60" w:after="60" w:line="252" w:lineRule="auto"/>
              <w:ind w:firstLine="0"/>
            </w:pPr>
            <w:r>
              <w:rPr>
                <w:sz w:val="18"/>
              </w:rPr>
              <w:t>Corrected to 'Not available' district. Raw record U715825L405S1002693 in records.jsonl has state 'Uttar Pradesh' and district 'Not available' (one of 354 unassigned-district samples). Agra has 43 samples (mean CRS 60.13, max fluoride 1.58 mg/L).</w:t>
            </w:r>
          </w:p>
        </w:tc>
      </w:tr>
      <w:tr>
        <w:trPr>
          <w:cantSplit/>
        </w:trPr>
        <w:tc>
          <w:tcPr>
            <w:tcW w:type="dxa" w:w="2770"/>
            <w:vAlign w:val="center"/>
            <w:shd w:fill="F4F7FA"/>
          </w:tcPr>
          <w:p>
            <w:pPr>
              <w:spacing w:before="60" w:after="60" w:line="252" w:lineRule="auto"/>
              <w:ind w:firstLine="0"/>
            </w:pPr>
            <w:r>
              <w:rPr>
                <w:b/>
                <w:sz w:val="18"/>
              </w:rPr>
              <w:t>WPR-9 (v1) pre-repair</w:t>
            </w:r>
          </w:p>
        </w:tc>
        <w:tc>
          <w:tcPr>
            <w:tcW w:type="dxa" w:w="2770"/>
            <w:vAlign w:val="center"/>
            <w:shd w:fill="F4F7FA"/>
          </w:tcPr>
          <w:p>
            <w:pPr>
              <w:spacing w:before="60" w:after="60" w:line="252" w:lineRule="auto"/>
              <w:ind w:firstLine="0"/>
            </w:pPr>
            <w:r>
              <w:rPr>
                <w:sz w:val="18"/>
              </w:rPr>
              <w:t>467 sulphate readings mis-tagged as pH during initial ingestion, inflating Bihar pH exceedances.</w:t>
            </w:r>
          </w:p>
        </w:tc>
        <w:tc>
          <w:tcPr>
            <w:tcW w:type="dxa" w:w="2770"/>
            <w:vAlign w:val="center"/>
            <w:shd w:fill="F4F7FA"/>
          </w:tcPr>
          <w:p>
            <w:pPr>
              <w:spacing w:before="60" w:after="60" w:line="252" w:lineRule="auto"/>
              <w:ind w:firstLine="0"/>
            </w:pPr>
            <w:r>
              <w:rPr>
                <w:sz w:val="18"/>
              </w:rPr>
              <w:t>Fixed in backend/etl/load_wqmis.py (defect B1) and repair_readings.py. True pH exceedances outside 6.5–8.5 are 0/467 in Bihar and 2/902 (0.2%) in UP.</w:t>
            </w:r>
          </w:p>
        </w:tc>
      </w:tr>
      <w:tr>
        <w:trPr>
          <w:cantSplit/>
        </w:trPr>
        <w:tc>
          <w:tcPr>
            <w:tcW w:type="dxa" w:w="2770"/>
            <w:vAlign w:val="center"/>
          </w:tcPr>
          <w:p>
            <w:pPr>
              <w:spacing w:before="60" w:after="60" w:line="252" w:lineRule="auto"/>
              <w:ind w:firstLine="0"/>
            </w:pPr>
            <w:r>
              <w:rPr>
                <w:b/>
                <w:sz w:val="18"/>
              </w:rPr>
              <w:t>WPR-10 (Submitted 30/09) &amp; early WPR-11 draft</w:t>
            </w:r>
          </w:p>
        </w:tc>
        <w:tc>
          <w:tcPr>
            <w:tcW w:type="dxa" w:w="2770"/>
            <w:vAlign w:val="center"/>
          </w:tcPr>
          <w:p>
            <w:pPr>
              <w:spacing w:before="60" w:after="60" w:line="252" w:lineRule="auto"/>
              <w:ind w:firstLine="0"/>
            </w:pPr>
            <w:r>
              <w:rPr>
                <w:sz w:val="18"/>
              </w:rPr>
              <w:t>Cited a '47,243-sample production scalability dataset' across 199 districts (3,348 Critical, 8,353 High, 34,637 Low) and a Svelte 5 frontend.</w:t>
            </w:r>
          </w:p>
        </w:tc>
        <w:tc>
          <w:tcPr>
            <w:tcW w:type="dxa" w:w="2770"/>
            <w:vAlign w:val="center"/>
          </w:tcPr>
          <w:p>
            <w:pPr>
              <w:spacing w:before="60" w:after="60" w:line="252" w:lineRule="auto"/>
              <w:ind w:firstLine="0"/>
            </w:pPr>
            <w:r>
              <w:rPr>
                <w:sz w:val="18"/>
              </w:rPr>
              <w:t>Retracted and purged on 04/10/2026 (docs/evidence/RECONCILIATION.md). An audit found 45,502 bulk-inserted rows had no traceable source file in data/raw/wqmis/records.jsonl; the table was truncated and reloaded strictly from the 1,822 verifiable records in records.jsonl (1,741 valid samples). The Svelte prototype was replaced by the React dashboard (dashboard/src/App.jsx, commit adf5f0f).</w:t>
            </w:r>
          </w:p>
        </w:tc>
      </w:tr>
    </w:tbl>
    <w:p>
      <w:pPr>
        <w:spacing w:before="0" w:after="80"/>
      </w:pPr>
    </w:p>
    <w:p>
      <w:pPr>
        <w:keepNext/>
        <w:spacing w:before="320" w:after="120"/>
        <w:ind w:firstLine="0"/>
      </w:pPr>
      <w:r>
        <w:rPr>
          <w:b/>
          <w:color w:val="002147"/>
          <w:sz w:val="28"/>
        </w:rPr>
        <w:t>Appendix B: Verified Claims Ledger</w:t>
      </w:r>
    </w:p>
    <w:tbl>
      <w:tblPr>
        <w:tblW w:type="auto" w:w="0"/>
        <w:jc w:val="center"/>
        <w:tblLook w:firstColumn="1" w:firstRow="1" w:lastColumn="0" w:lastRow="0" w:noHBand="0" w:noVBand="1" w:val="04A0"/>
      </w:tblPr>
      <w:tblGrid>
        <w:gridCol w:w="2077"/>
        <w:gridCol w:w="2077"/>
        <w:gridCol w:w="2077"/>
        <w:gridCol w:w="2077"/>
      </w:tblGrid>
      <w:tr>
        <w:trPr>
          <w:tblHeader/>
        </w:trPr>
        <w:tc>
          <w:tcPr>
            <w:tcW w:type="dxa" w:w="2077"/>
            <w:vAlign w:val="center"/>
            <w:shd w:fill="002147"/>
          </w:tcPr>
          <w:p>
            <w:pPr>
              <w:keepNext/>
              <w:spacing w:before="60" w:after="60" w:line="252" w:lineRule="auto"/>
              <w:ind w:firstLine="0"/>
            </w:pPr>
            <w:r>
              <w:rPr>
                <w:b/>
                <w:color w:val="FFFFFF"/>
                <w:sz w:val="18"/>
              </w:rPr>
              <w:t>Claim / Metric in Report</w:t>
            </w:r>
          </w:p>
        </w:tc>
        <w:tc>
          <w:tcPr>
            <w:tcW w:type="dxa" w:w="2077"/>
            <w:vAlign w:val="center"/>
            <w:shd w:fill="002147"/>
          </w:tcPr>
          <w:p>
            <w:pPr>
              <w:keepNext/>
              <w:spacing w:before="60" w:after="60" w:line="252" w:lineRule="auto"/>
              <w:ind w:firstLine="0"/>
            </w:pPr>
            <w:r>
              <w:rPr>
                <w:b/>
                <w:color w:val="FFFFFF"/>
                <w:sz w:val="18"/>
              </w:rPr>
              <w:t>Verified Value</w:t>
            </w:r>
          </w:p>
        </w:tc>
        <w:tc>
          <w:tcPr>
            <w:tcW w:type="dxa" w:w="2077"/>
            <w:vAlign w:val="center"/>
            <w:shd w:fill="002147"/>
          </w:tcPr>
          <w:p>
            <w:pPr>
              <w:keepNext/>
              <w:spacing w:before="60" w:after="60" w:line="252" w:lineRule="auto"/>
              <w:ind w:firstLine="0"/>
            </w:pPr>
            <w:r>
              <w:rPr>
                <w:b/>
                <w:color w:val="FFFFFF"/>
                <w:sz w:val="18"/>
              </w:rPr>
              <w:t>Exact Source (Script, SQL Query, or File Line)</w:t>
            </w:r>
          </w:p>
        </w:tc>
        <w:tc>
          <w:tcPr>
            <w:tcW w:type="dxa" w:w="2077"/>
            <w:vAlign w:val="center"/>
            <w:shd w:fill="002147"/>
          </w:tcPr>
          <w:p>
            <w:pPr>
              <w:keepNext/>
              <w:spacing w:before="60" w:after="60" w:line="252" w:lineRule="auto"/>
              <w:ind w:firstLine="0"/>
            </w:pPr>
            <w:r>
              <w:rPr>
                <w:b/>
                <w:color w:val="FFFFFF"/>
                <w:sz w:val="18"/>
              </w:rPr>
              <w:t>Audit Status</w:t>
            </w:r>
          </w:p>
        </w:tc>
      </w:tr>
      <w:tr>
        <w:trPr>
          <w:cantSplit/>
        </w:trPr>
        <w:tc>
          <w:tcPr>
            <w:tcW w:type="dxa" w:w="2077"/>
            <w:vAlign w:val="center"/>
          </w:tcPr>
          <w:p>
            <w:pPr>
              <w:spacing w:before="60" w:after="60" w:line="252" w:lineRule="auto"/>
              <w:ind w:firstLine="0"/>
            </w:pPr>
            <w:r>
              <w:rPr>
                <w:b/>
                <w:sz w:val="18"/>
              </w:rPr>
              <w:t>Raw crawled WQMIS reports</w:t>
            </w:r>
          </w:p>
        </w:tc>
        <w:tc>
          <w:tcPr>
            <w:tcW w:type="dxa" w:w="2077"/>
            <w:vAlign w:val="center"/>
          </w:tcPr>
          <w:p>
            <w:pPr>
              <w:spacing w:before="60" w:after="60" w:line="252" w:lineRule="auto"/>
              <w:ind w:firstLine="0"/>
            </w:pPr>
            <w:r>
              <w:rPr>
                <w:sz w:val="18"/>
              </w:rPr>
              <w:t>1,822 lines (1,741 valid, 81 empty)</w:t>
            </w:r>
          </w:p>
        </w:tc>
        <w:tc>
          <w:tcPr>
            <w:tcW w:type="dxa" w:w="2077"/>
            <w:vAlign w:val="center"/>
          </w:tcPr>
          <w:p>
            <w:pPr>
              <w:spacing w:before="60" w:after="60" w:line="252" w:lineRule="auto"/>
              <w:ind w:firstLine="0"/>
            </w:pPr>
            <w:r>
              <w:rPr>
                <w:sz w:val="18"/>
              </w:rPr>
              <w:t>wc -l data/raw/wqmis/records.jsonl</w:t>
            </w:r>
          </w:p>
        </w:tc>
        <w:tc>
          <w:tcPr>
            <w:tcW w:type="dxa" w:w="2077"/>
            <w:vAlign w:val="center"/>
          </w:tcPr>
          <w:p>
            <w:pPr>
              <w:spacing w:before="60" w:after="60" w:line="252" w:lineRule="auto"/>
              <w:ind w:firstLine="0"/>
            </w:pPr>
            <w:r>
              <w:rPr>
                <w:sz w:val="18"/>
              </w:rPr>
              <w:t>VERIFIED</w:t>
            </w:r>
          </w:p>
        </w:tc>
      </w:tr>
      <w:tr>
        <w:trPr>
          <w:cantSplit/>
        </w:trPr>
        <w:tc>
          <w:tcPr>
            <w:tcW w:type="dxa" w:w="2077"/>
            <w:vAlign w:val="center"/>
            <w:shd w:fill="F4F7FA"/>
          </w:tcPr>
          <w:p>
            <w:pPr>
              <w:spacing w:before="60" w:after="60" w:line="252" w:lineRule="auto"/>
              <w:ind w:firstLine="0"/>
            </w:pPr>
            <w:r>
              <w:rPr>
                <w:b/>
                <w:sz w:val="18"/>
              </w:rPr>
              <w:t>Canonical scored samples</w:t>
            </w:r>
          </w:p>
        </w:tc>
        <w:tc>
          <w:tcPr>
            <w:tcW w:type="dxa" w:w="2077"/>
            <w:vAlign w:val="center"/>
            <w:shd w:fill="F4F7FA"/>
          </w:tcPr>
          <w:p>
            <w:pPr>
              <w:spacing w:before="60" w:after="60" w:line="252" w:lineRule="auto"/>
              <w:ind w:firstLine="0"/>
            </w:pPr>
            <w:r>
              <w:rPr>
                <w:sz w:val="18"/>
              </w:rPr>
              <w:t>1,741 (UP: 966, Bihar: 775)</w:t>
            </w:r>
          </w:p>
        </w:tc>
        <w:tc>
          <w:tcPr>
            <w:tcW w:type="dxa" w:w="2077"/>
            <w:vAlign w:val="center"/>
            <w:shd w:fill="F4F7FA"/>
          </w:tcPr>
          <w:p>
            <w:pPr>
              <w:spacing w:before="60" w:after="60" w:line="252" w:lineRule="auto"/>
              <w:ind w:firstLine="0"/>
            </w:pPr>
            <w:r>
              <w:rPr>
                <w:sz w:val="18"/>
              </w:rPr>
              <w:t>SELECT COUNT(*) FROM water_samples GROUP BY state;</w:t>
            </w:r>
          </w:p>
        </w:tc>
        <w:tc>
          <w:tcPr>
            <w:tcW w:type="dxa" w:w="2077"/>
            <w:vAlign w:val="center"/>
            <w:shd w:fill="F4F7FA"/>
          </w:tcPr>
          <w:p>
            <w:pPr>
              <w:spacing w:before="60" w:after="60" w:line="252" w:lineRule="auto"/>
              <w:ind w:firstLine="0"/>
            </w:pPr>
            <w:r>
              <w:rPr>
                <w:sz w:val="18"/>
              </w:rPr>
              <w:t>VERIFIED</w:t>
            </w:r>
          </w:p>
        </w:tc>
      </w:tr>
      <w:tr>
        <w:trPr>
          <w:cantSplit/>
        </w:trPr>
        <w:tc>
          <w:tcPr>
            <w:tcW w:type="dxa" w:w="2077"/>
            <w:vAlign w:val="center"/>
          </w:tcPr>
          <w:p>
            <w:pPr>
              <w:spacing w:before="60" w:after="60" w:line="252" w:lineRule="auto"/>
              <w:ind w:firstLine="0"/>
            </w:pPr>
            <w:r>
              <w:rPr>
                <w:b/>
                <w:sz w:val="18"/>
              </w:rPr>
              <w:t>Discrete parameter readings</w:t>
            </w:r>
          </w:p>
        </w:tc>
        <w:tc>
          <w:tcPr>
            <w:tcW w:type="dxa" w:w="2077"/>
            <w:vAlign w:val="center"/>
          </w:tcPr>
          <w:p>
            <w:pPr>
              <w:spacing w:before="60" w:after="60" w:line="252" w:lineRule="auto"/>
              <w:ind w:firstLine="0"/>
            </w:pPr>
            <w:r>
              <w:rPr>
                <w:sz w:val="18"/>
              </w:rPr>
              <w:t>6,792 (8 params: 6,318; SO4: 467; TC: 7)</w:t>
            </w:r>
          </w:p>
        </w:tc>
        <w:tc>
          <w:tcPr>
            <w:tcW w:type="dxa" w:w="2077"/>
            <w:vAlign w:val="center"/>
          </w:tcPr>
          <w:p>
            <w:pPr>
              <w:spacing w:before="60" w:after="60" w:line="252" w:lineRule="auto"/>
              <w:ind w:firstLine="0"/>
            </w:pPr>
            <w:r>
              <w:rPr>
                <w:sz w:val="18"/>
              </w:rPr>
              <w:t>SELECT COUNT(*) FROM readings; / records.jsonl</w:t>
            </w:r>
          </w:p>
        </w:tc>
        <w:tc>
          <w:tcPr>
            <w:tcW w:type="dxa" w:w="2077"/>
            <w:vAlign w:val="center"/>
          </w:tcPr>
          <w:p>
            <w:pPr>
              <w:spacing w:before="60" w:after="60" w:line="252" w:lineRule="auto"/>
              <w:ind w:firstLine="0"/>
            </w:pPr>
            <w:r>
              <w:rPr>
                <w:sz w:val="18"/>
              </w:rPr>
              <w:t>VERIFIED</w:t>
            </w:r>
          </w:p>
        </w:tc>
      </w:tr>
      <w:tr>
        <w:trPr>
          <w:cantSplit/>
        </w:trPr>
        <w:tc>
          <w:tcPr>
            <w:tcW w:type="dxa" w:w="2077"/>
            <w:vAlign w:val="center"/>
            <w:shd w:fill="F4F7FA"/>
          </w:tcPr>
          <w:p>
            <w:pPr>
              <w:spacing w:before="60" w:after="60" w:line="252" w:lineRule="auto"/>
              <w:ind w:firstLine="0"/>
            </w:pPr>
            <w:r>
              <w:rPr>
                <w:b/>
                <w:sz w:val="18"/>
              </w:rPr>
              <w:t>Historical registry (2009–2012)</w:t>
            </w:r>
          </w:p>
        </w:tc>
        <w:tc>
          <w:tcPr>
            <w:tcW w:type="dxa" w:w="2077"/>
            <w:vAlign w:val="center"/>
            <w:shd w:fill="F4F7FA"/>
          </w:tcPr>
          <w:p>
            <w:pPr>
              <w:spacing w:before="60" w:after="60" w:line="252" w:lineRule="auto"/>
              <w:ind w:firstLine="0"/>
            </w:pPr>
            <w:r>
              <w:rPr>
                <w:sz w:val="18"/>
              </w:rPr>
              <w:t>100,690 distinct events, 14,006 villages</w:t>
            </w:r>
          </w:p>
        </w:tc>
        <w:tc>
          <w:tcPr>
            <w:tcW w:type="dxa" w:w="2077"/>
            <w:vAlign w:val="center"/>
            <w:shd w:fill="F4F7FA"/>
          </w:tcPr>
          <w:p>
            <w:pPr>
              <w:spacing w:before="60" w:after="60" w:line="252" w:lineRule="auto"/>
              <w:ind w:firstLine="0"/>
            </w:pPr>
            <w:r>
              <w:rPr>
                <w:sz w:val="18"/>
              </w:rPr>
              <w:t>SELECT COUNT(*) FROM historical_contamination;</w:t>
            </w:r>
          </w:p>
        </w:tc>
        <w:tc>
          <w:tcPr>
            <w:tcW w:type="dxa" w:w="2077"/>
            <w:vAlign w:val="center"/>
            <w:shd w:fill="F4F7FA"/>
          </w:tcPr>
          <w:p>
            <w:pPr>
              <w:spacing w:before="60" w:after="60" w:line="252" w:lineRule="auto"/>
              <w:ind w:firstLine="0"/>
            </w:pPr>
            <w:r>
              <w:rPr>
                <w:sz w:val="18"/>
              </w:rPr>
              <w:t>VERIFIED</w:t>
            </w:r>
          </w:p>
        </w:tc>
      </w:tr>
      <w:tr>
        <w:trPr>
          <w:cantSplit/>
        </w:trPr>
        <w:tc>
          <w:tcPr>
            <w:tcW w:type="dxa" w:w="2077"/>
            <w:vAlign w:val="center"/>
          </w:tcPr>
          <w:p>
            <w:pPr>
              <w:spacing w:before="60" w:after="60" w:line="252" w:lineRule="auto"/>
              <w:ind w:firstLine="0"/>
            </w:pPr>
            <w:r>
              <w:rPr>
                <w:b/>
                <w:sz w:val="18"/>
              </w:rPr>
              <w:t>Model v1 Bands (Fe = 0.3 mg/L)</w:t>
            </w:r>
          </w:p>
        </w:tc>
        <w:tc>
          <w:tcPr>
            <w:tcW w:type="dxa" w:w="2077"/>
            <w:vAlign w:val="center"/>
          </w:tcPr>
          <w:p>
            <w:pPr>
              <w:spacing w:before="60" w:after="60" w:line="252" w:lineRule="auto"/>
              <w:ind w:firstLine="0"/>
            </w:pPr>
            <w:r>
              <w:rPr>
                <w:sz w:val="18"/>
              </w:rPr>
              <w:t>89 Crit, 392 High, 28 Med, 1,232 Low</w:t>
            </w:r>
          </w:p>
        </w:tc>
        <w:tc>
          <w:tcPr>
            <w:tcW w:type="dxa" w:w="2077"/>
            <w:vAlign w:val="center"/>
          </w:tcPr>
          <w:p>
            <w:pPr>
              <w:spacing w:before="60" w:after="60" w:line="252" w:lineRule="auto"/>
              <w:ind w:firstLine="0"/>
            </w:pPr>
            <w:r>
              <w:rPr>
                <w:sz w:val="18"/>
              </w:rPr>
              <w:t>SELECT band, COUNT(*) FROM risk_scores GROUP BY band;</w:t>
            </w:r>
          </w:p>
        </w:tc>
        <w:tc>
          <w:tcPr>
            <w:tcW w:type="dxa" w:w="2077"/>
            <w:vAlign w:val="center"/>
          </w:tcPr>
          <w:p>
            <w:pPr>
              <w:spacing w:before="60" w:after="60" w:line="252" w:lineRule="auto"/>
              <w:ind w:firstLine="0"/>
            </w:pPr>
            <w:r>
              <w:rPr>
                <w:sz w:val="18"/>
              </w:rPr>
              <w:t>VERIFIED</w:t>
            </w:r>
          </w:p>
        </w:tc>
      </w:tr>
      <w:tr>
        <w:trPr>
          <w:cantSplit/>
        </w:trPr>
        <w:tc>
          <w:tcPr>
            <w:tcW w:type="dxa" w:w="2077"/>
            <w:vAlign w:val="center"/>
            <w:shd w:fill="F4F7FA"/>
          </w:tcPr>
          <w:p>
            <w:pPr>
              <w:spacing w:before="60" w:after="60" w:line="252" w:lineRule="auto"/>
              <w:ind w:firstLine="0"/>
            </w:pPr>
            <w:r>
              <w:rPr>
                <w:b/>
                <w:sz w:val="18"/>
              </w:rPr>
              <w:t>Model v1 State Mean / Median CRS</w:t>
            </w:r>
          </w:p>
        </w:tc>
        <w:tc>
          <w:tcPr>
            <w:tcW w:type="dxa" w:w="2077"/>
            <w:vAlign w:val="center"/>
            <w:shd w:fill="F4F7FA"/>
          </w:tcPr>
          <w:p>
            <w:pPr>
              <w:spacing w:before="60" w:after="60" w:line="252" w:lineRule="auto"/>
              <w:ind w:firstLine="0"/>
            </w:pPr>
            <w:r>
              <w:rPr>
                <w:sz w:val="18"/>
              </w:rPr>
              <w:t>Bihar: 18.36 / 0.00 | UP: 12.68 / 4.08</w:t>
            </w:r>
          </w:p>
        </w:tc>
        <w:tc>
          <w:tcPr>
            <w:tcW w:type="dxa" w:w="2077"/>
            <w:vAlign w:val="center"/>
            <w:shd w:fill="F4F7FA"/>
          </w:tcPr>
          <w:p>
            <w:pPr>
              <w:spacing w:before="60" w:after="60" w:line="252" w:lineRule="auto"/>
              <w:ind w:firstLine="0"/>
            </w:pPr>
            <w:r>
              <w:rPr>
                <w:sz w:val="18"/>
              </w:rPr>
              <w:t>backend/app/api/meta.py / docs/api_meta.json</w:t>
            </w:r>
          </w:p>
        </w:tc>
        <w:tc>
          <w:tcPr>
            <w:tcW w:type="dxa" w:w="2077"/>
            <w:vAlign w:val="center"/>
            <w:shd w:fill="F4F7FA"/>
          </w:tcPr>
          <w:p>
            <w:pPr>
              <w:spacing w:before="60" w:after="60" w:line="252" w:lineRule="auto"/>
              <w:ind w:firstLine="0"/>
            </w:pPr>
            <w:r>
              <w:rPr>
                <w:sz w:val="18"/>
              </w:rPr>
              <w:t>VERIFIED</w:t>
            </w:r>
          </w:p>
        </w:tc>
      </w:tr>
      <w:tr>
        <w:trPr>
          <w:cantSplit/>
        </w:trPr>
        <w:tc>
          <w:tcPr>
            <w:tcW w:type="dxa" w:w="2077"/>
            <w:vAlign w:val="center"/>
          </w:tcPr>
          <w:p>
            <w:pPr>
              <w:spacing w:before="60" w:after="60" w:line="252" w:lineRule="auto"/>
              <w:ind w:firstLine="0"/>
            </w:pPr>
            <w:r>
              <w:rPr>
                <w:b/>
                <w:sz w:val="18"/>
              </w:rPr>
              <w:t>Sensitivity Bands (Fe = 1.0 mg/L)</w:t>
            </w:r>
          </w:p>
        </w:tc>
        <w:tc>
          <w:tcPr>
            <w:tcW w:type="dxa" w:w="2077"/>
            <w:vAlign w:val="center"/>
          </w:tcPr>
          <w:p>
            <w:pPr>
              <w:spacing w:before="60" w:after="60" w:line="252" w:lineRule="auto"/>
              <w:ind w:firstLine="0"/>
            </w:pPr>
            <w:r>
              <w:rPr>
                <w:sz w:val="18"/>
              </w:rPr>
              <w:t>5 Crit, 139 High, 30 Med, 1,567 Low</w:t>
            </w:r>
          </w:p>
        </w:tc>
        <w:tc>
          <w:tcPr>
            <w:tcW w:type="dxa" w:w="2077"/>
            <w:vAlign w:val="center"/>
          </w:tcPr>
          <w:p>
            <w:pPr>
              <w:spacing w:before="60" w:after="60" w:line="252" w:lineRule="auto"/>
              <w:ind w:firstLine="0"/>
            </w:pPr>
            <w:r>
              <w:rPr>
                <w:sz w:val="18"/>
              </w:rPr>
              <w:t>backend/app/api/meta.py (sensitivity.iron_1_0)</w:t>
            </w:r>
          </w:p>
        </w:tc>
        <w:tc>
          <w:tcPr>
            <w:tcW w:type="dxa" w:w="2077"/>
            <w:vAlign w:val="center"/>
          </w:tcPr>
          <w:p>
            <w:pPr>
              <w:spacing w:before="60" w:after="60" w:line="252" w:lineRule="auto"/>
              <w:ind w:firstLine="0"/>
            </w:pPr>
            <w:r>
              <w:rPr>
                <w:sz w:val="18"/>
              </w:rPr>
              <w:t>VERIFIED</w:t>
            </w:r>
          </w:p>
        </w:tc>
      </w:tr>
      <w:tr>
        <w:trPr>
          <w:cantSplit/>
        </w:trPr>
        <w:tc>
          <w:tcPr>
            <w:tcW w:type="dxa" w:w="2077"/>
            <w:vAlign w:val="center"/>
            <w:shd w:fill="F4F7FA"/>
          </w:tcPr>
          <w:p>
            <w:pPr>
              <w:spacing w:before="60" w:after="60" w:line="252" w:lineRule="auto"/>
              <w:ind w:firstLine="0"/>
            </w:pPr>
            <w:r>
              <w:rPr>
                <w:b/>
                <w:sz w:val="18"/>
              </w:rPr>
              <w:t>Model v2 Bands (TOTAL_BIS_WEIGHT=6.0)</w:t>
            </w:r>
          </w:p>
        </w:tc>
        <w:tc>
          <w:tcPr>
            <w:tcW w:type="dxa" w:w="2077"/>
            <w:vAlign w:val="center"/>
            <w:shd w:fill="F4F7FA"/>
          </w:tcPr>
          <w:p>
            <w:pPr>
              <w:spacing w:before="60" w:after="60" w:line="252" w:lineRule="auto"/>
              <w:ind w:firstLine="0"/>
            </w:pPr>
            <w:r>
              <w:rPr>
                <w:sz w:val="18"/>
              </w:rPr>
              <w:t>3 Crit, 54 High, 125 Med (7.2%), 1,559 Low</w:t>
            </w:r>
          </w:p>
        </w:tc>
        <w:tc>
          <w:tcPr>
            <w:tcW w:type="dxa" w:w="2077"/>
            <w:vAlign w:val="center"/>
            <w:shd w:fill="F4F7FA"/>
          </w:tcPr>
          <w:p>
            <w:pPr>
              <w:spacing w:before="60" w:after="60" w:line="252" w:lineRule="auto"/>
              <w:ind w:firstLine="0"/>
            </w:pPr>
            <w:r>
              <w:rPr>
                <w:sz w:val="18"/>
              </w:rPr>
              <w:t>backend/app/engine/scoring.py (commit 7331a9b)</w:t>
            </w:r>
          </w:p>
        </w:tc>
        <w:tc>
          <w:tcPr>
            <w:tcW w:type="dxa" w:w="2077"/>
            <w:vAlign w:val="center"/>
            <w:shd w:fill="F4F7FA"/>
          </w:tcPr>
          <w:p>
            <w:pPr>
              <w:spacing w:before="60" w:after="60" w:line="252" w:lineRule="auto"/>
              <w:ind w:firstLine="0"/>
            </w:pPr>
            <w:r>
              <w:rPr>
                <w:sz w:val="18"/>
              </w:rPr>
              <w:t>VERIFIED</w:t>
            </w:r>
          </w:p>
        </w:tc>
      </w:tr>
      <w:tr>
        <w:trPr>
          <w:cantSplit/>
        </w:trPr>
        <w:tc>
          <w:tcPr>
            <w:tcW w:type="dxa" w:w="2077"/>
            <w:vAlign w:val="center"/>
          </w:tcPr>
          <w:p>
            <w:pPr>
              <w:spacing w:before="60" w:after="60" w:line="252" w:lineRule="auto"/>
              <w:ind w:firstLine="0"/>
            </w:pPr>
            <w:r>
              <w:rPr>
                <w:b/>
                <w:sz w:val="18"/>
              </w:rPr>
              <w:t>Madhepura iron-only cohort</w:t>
            </w:r>
          </w:p>
        </w:tc>
        <w:tc>
          <w:tcPr>
            <w:tcW w:type="dxa" w:w="2077"/>
            <w:vAlign w:val="center"/>
          </w:tcPr>
          <w:p>
            <w:pPr>
              <w:spacing w:before="60" w:after="60" w:line="252" w:lineRule="auto"/>
              <w:ind w:firstLine="0"/>
            </w:pPr>
            <w:r>
              <w:rPr>
                <w:sz w:val="18"/>
              </w:rPr>
              <w:t>70 samples (0.318–0.478 mg/L, med 0.382)</w:t>
            </w:r>
          </w:p>
        </w:tc>
        <w:tc>
          <w:tcPr>
            <w:tcW w:type="dxa" w:w="2077"/>
            <w:vAlign w:val="center"/>
          </w:tcPr>
          <w:p>
            <w:pPr>
              <w:spacing w:before="60" w:after="60" w:line="252" w:lineRule="auto"/>
              <w:ind w:firstLine="0"/>
            </w:pPr>
            <w:r>
              <w:rPr>
                <w:sz w:val="18"/>
              </w:rPr>
              <w:t>records.jsonl (district='Madhepura', n_params=1)</w:t>
            </w:r>
          </w:p>
        </w:tc>
        <w:tc>
          <w:tcPr>
            <w:tcW w:type="dxa" w:w="2077"/>
            <w:vAlign w:val="center"/>
          </w:tcPr>
          <w:p>
            <w:pPr>
              <w:spacing w:before="60" w:after="60" w:line="252" w:lineRule="auto"/>
              <w:ind w:firstLine="0"/>
            </w:pPr>
            <w:r>
              <w:rPr>
                <w:sz w:val="18"/>
              </w:rPr>
              <w:t>VERIFIED</w:t>
            </w:r>
          </w:p>
        </w:tc>
      </w:tr>
      <w:tr>
        <w:trPr>
          <w:cantSplit/>
        </w:trPr>
        <w:tc>
          <w:tcPr>
            <w:tcW w:type="dxa" w:w="2077"/>
            <w:vAlign w:val="center"/>
            <w:shd w:fill="F4F7FA"/>
          </w:tcPr>
          <w:p>
            <w:pPr>
              <w:spacing w:before="60" w:after="60" w:line="252" w:lineRule="auto"/>
              <w:ind w:firstLine="0"/>
            </w:pPr>
            <w:r>
              <w:rPr>
                <w:b/>
                <w:sz w:val="18"/>
              </w:rPr>
              <w:t>Agra fluoride cluster</w:t>
            </w:r>
          </w:p>
        </w:tc>
        <w:tc>
          <w:tcPr>
            <w:tcW w:type="dxa" w:w="2077"/>
            <w:vAlign w:val="center"/>
            <w:shd w:fill="F4F7FA"/>
          </w:tcPr>
          <w:p>
            <w:pPr>
              <w:spacing w:before="60" w:after="60" w:line="252" w:lineRule="auto"/>
              <w:ind w:firstLine="0"/>
            </w:pPr>
            <w:r>
              <w:rPr>
                <w:sz w:val="18"/>
              </w:rPr>
              <w:t>43 samples (mean 60.13; 31 fluoride worst)</w:t>
            </w:r>
          </w:p>
        </w:tc>
        <w:tc>
          <w:tcPr>
            <w:tcW w:type="dxa" w:w="2077"/>
            <w:vAlign w:val="center"/>
            <w:shd w:fill="F4F7FA"/>
          </w:tcPr>
          <w:p>
            <w:pPr>
              <w:spacing w:before="60" w:after="60" w:line="252" w:lineRule="auto"/>
              <w:ind w:firstLine="0"/>
            </w:pPr>
            <w:r>
              <w:rPr>
                <w:sz w:val="18"/>
              </w:rPr>
              <w:t>records.jsonl (district='Agra')</w:t>
            </w:r>
          </w:p>
        </w:tc>
        <w:tc>
          <w:tcPr>
            <w:tcW w:type="dxa" w:w="2077"/>
            <w:vAlign w:val="center"/>
            <w:shd w:fill="F4F7FA"/>
          </w:tcPr>
          <w:p>
            <w:pPr>
              <w:spacing w:before="60" w:after="60" w:line="252" w:lineRule="auto"/>
              <w:ind w:firstLine="0"/>
            </w:pPr>
            <w:r>
              <w:rPr>
                <w:sz w:val="18"/>
              </w:rPr>
              <w:t>VERIFIED</w:t>
            </w:r>
          </w:p>
        </w:tc>
      </w:tr>
      <w:tr>
        <w:trPr>
          <w:cantSplit/>
        </w:trPr>
        <w:tc>
          <w:tcPr>
            <w:tcW w:type="dxa" w:w="2077"/>
            <w:vAlign w:val="center"/>
          </w:tcPr>
          <w:p>
            <w:pPr>
              <w:spacing w:before="60" w:after="60" w:line="252" w:lineRule="auto"/>
              <w:ind w:firstLine="0"/>
            </w:pPr>
            <w:r>
              <w:rPr>
                <w:b/>
                <w:sz w:val="18"/>
              </w:rPr>
              <w:t>Peak fluoride reading</w:t>
            </w:r>
          </w:p>
        </w:tc>
        <w:tc>
          <w:tcPr>
            <w:tcW w:type="dxa" w:w="2077"/>
            <w:vAlign w:val="center"/>
          </w:tcPr>
          <w:p>
            <w:pPr>
              <w:spacing w:before="60" w:after="60" w:line="252" w:lineRule="auto"/>
              <w:ind w:firstLine="0"/>
            </w:pPr>
            <w:r>
              <w:rPr>
                <w:sz w:val="18"/>
              </w:rPr>
              <w:t>12.60 mg/L (U715825L405S1002693)</w:t>
            </w:r>
          </w:p>
        </w:tc>
        <w:tc>
          <w:tcPr>
            <w:tcW w:type="dxa" w:w="2077"/>
            <w:vAlign w:val="center"/>
          </w:tcPr>
          <w:p>
            <w:pPr>
              <w:spacing w:before="60" w:after="60" w:line="252" w:lineRule="auto"/>
              <w:ind w:firstLine="0"/>
            </w:pPr>
            <w:r>
              <w:rPr>
                <w:sz w:val="18"/>
              </w:rPr>
              <w:t>records.jsonl (state='UP', district='Not available')</w:t>
            </w:r>
          </w:p>
        </w:tc>
        <w:tc>
          <w:tcPr>
            <w:tcW w:type="dxa" w:w="2077"/>
            <w:vAlign w:val="center"/>
          </w:tcPr>
          <w:p>
            <w:pPr>
              <w:spacing w:before="60" w:after="60" w:line="252" w:lineRule="auto"/>
              <w:ind w:firstLine="0"/>
            </w:pPr>
            <w:r>
              <w:rPr>
                <w:sz w:val="18"/>
              </w:rPr>
              <w:t>VERIFIED</w:t>
            </w:r>
          </w:p>
        </w:tc>
      </w:tr>
      <w:tr>
        <w:trPr>
          <w:cantSplit/>
        </w:trPr>
        <w:tc>
          <w:tcPr>
            <w:tcW w:type="dxa" w:w="2077"/>
            <w:vAlign w:val="center"/>
            <w:shd w:fill="F4F7FA"/>
          </w:tcPr>
          <w:p>
            <w:pPr>
              <w:spacing w:before="60" w:after="60" w:line="252" w:lineRule="auto"/>
              <w:ind w:firstLine="0"/>
            </w:pPr>
            <w:r>
              <w:rPr>
                <w:b/>
                <w:sz w:val="18"/>
              </w:rPr>
              <w:t>Unassigned district samples</w:t>
            </w:r>
          </w:p>
        </w:tc>
        <w:tc>
          <w:tcPr>
            <w:tcW w:type="dxa" w:w="2077"/>
            <w:vAlign w:val="center"/>
            <w:shd w:fill="F4F7FA"/>
          </w:tcPr>
          <w:p>
            <w:pPr>
              <w:spacing w:before="60" w:after="60" w:line="252" w:lineRule="auto"/>
              <w:ind w:firstLine="0"/>
            </w:pPr>
            <w:r>
              <w:rPr>
                <w:sz w:val="18"/>
              </w:rPr>
              <w:t>354 (20.3%: 339 UP, 15 Bihar)</w:t>
            </w:r>
          </w:p>
        </w:tc>
        <w:tc>
          <w:tcPr>
            <w:tcW w:type="dxa" w:w="2077"/>
            <w:vAlign w:val="center"/>
            <w:shd w:fill="F4F7FA"/>
          </w:tcPr>
          <w:p>
            <w:pPr>
              <w:spacing w:before="60" w:after="60" w:line="252" w:lineRule="auto"/>
              <w:ind w:firstLine="0"/>
            </w:pPr>
            <w:r>
              <w:rPr>
                <w:sz w:val="18"/>
              </w:rPr>
              <w:t>docs/api_meta.json (unassigned_district_samples)</w:t>
            </w:r>
          </w:p>
        </w:tc>
        <w:tc>
          <w:tcPr>
            <w:tcW w:type="dxa" w:w="2077"/>
            <w:vAlign w:val="center"/>
            <w:shd w:fill="F4F7FA"/>
          </w:tcPr>
          <w:p>
            <w:pPr>
              <w:spacing w:before="60" w:after="60" w:line="252" w:lineRule="auto"/>
              <w:ind w:firstLine="0"/>
            </w:pPr>
            <w:r>
              <w:rPr>
                <w:sz w:val="18"/>
              </w:rPr>
              <w:t>VERIFIED</w:t>
            </w:r>
          </w:p>
        </w:tc>
      </w:tr>
      <w:tr>
        <w:trPr>
          <w:cantSplit/>
        </w:trPr>
        <w:tc>
          <w:tcPr>
            <w:tcW w:type="dxa" w:w="2077"/>
            <w:vAlign w:val="center"/>
          </w:tcPr>
          <w:p>
            <w:pPr>
              <w:spacing w:before="60" w:after="60" w:line="252" w:lineRule="auto"/>
              <w:ind w:firstLine="0"/>
            </w:pPr>
            <w:r>
              <w:rPr>
                <w:b/>
                <w:sz w:val="18"/>
              </w:rPr>
              <w:t>Village name coverage</w:t>
            </w:r>
          </w:p>
        </w:tc>
        <w:tc>
          <w:tcPr>
            <w:tcW w:type="dxa" w:w="2077"/>
            <w:vAlign w:val="center"/>
          </w:tcPr>
          <w:p>
            <w:pPr>
              <w:spacing w:before="60" w:after="60" w:line="252" w:lineRule="auto"/>
              <w:ind w:firstLine="0"/>
            </w:pPr>
            <w:r>
              <w:rPr>
                <w:sz w:val="18"/>
              </w:rPr>
              <w:t>21 of 1,741 samples (1.21%)</w:t>
            </w:r>
          </w:p>
        </w:tc>
        <w:tc>
          <w:tcPr>
            <w:tcW w:type="dxa" w:w="2077"/>
            <w:vAlign w:val="center"/>
          </w:tcPr>
          <w:p>
            <w:pPr>
              <w:spacing w:before="60" w:after="60" w:line="252" w:lineRule="auto"/>
              <w:ind w:firstLine="0"/>
            </w:pPr>
            <w:r>
              <w:rPr>
                <w:sz w:val="18"/>
              </w:rPr>
              <w:t>docs/api_meta.json (village_name_coverage_pct)</w:t>
            </w:r>
          </w:p>
        </w:tc>
        <w:tc>
          <w:tcPr>
            <w:tcW w:type="dxa" w:w="2077"/>
            <w:vAlign w:val="center"/>
          </w:tcPr>
          <w:p>
            <w:pPr>
              <w:spacing w:before="60" w:after="60" w:line="252" w:lineRule="auto"/>
              <w:ind w:firstLine="0"/>
            </w:pPr>
            <w:r>
              <w:rPr>
                <w:sz w:val="18"/>
              </w:rPr>
              <w:t>VERIFIED</w:t>
            </w:r>
          </w:p>
        </w:tc>
      </w:tr>
      <w:tr>
        <w:trPr>
          <w:cantSplit/>
        </w:trPr>
        <w:tc>
          <w:tcPr>
            <w:tcW w:type="dxa" w:w="2077"/>
            <w:vAlign w:val="center"/>
            <w:shd w:fill="F4F7FA"/>
          </w:tcPr>
          <w:p>
            <w:pPr>
              <w:spacing w:before="60" w:after="60" w:line="252" w:lineRule="auto"/>
              <w:ind w:firstLine="0"/>
            </w:pPr>
            <w:r>
              <w:rPr>
                <w:b/>
                <w:sz w:val="18"/>
              </w:rPr>
              <w:t>Arsenic readings &amp; zeros</w:t>
            </w:r>
          </w:p>
        </w:tc>
        <w:tc>
          <w:tcPr>
            <w:tcW w:type="dxa" w:w="2077"/>
            <w:vAlign w:val="center"/>
            <w:shd w:fill="F4F7FA"/>
          </w:tcPr>
          <w:p>
            <w:pPr>
              <w:spacing w:before="60" w:after="60" w:line="252" w:lineRule="auto"/>
              <w:ind w:firstLine="0"/>
            </w:pPr>
            <w:r>
              <w:rPr>
                <w:sz w:val="18"/>
              </w:rPr>
              <w:t>259 tested (0 &gt;0.01, max 0.009, 150 zeros)</w:t>
            </w:r>
          </w:p>
        </w:tc>
        <w:tc>
          <w:tcPr>
            <w:tcW w:type="dxa" w:w="2077"/>
            <w:vAlign w:val="center"/>
            <w:shd w:fill="F4F7FA"/>
          </w:tcPr>
          <w:p>
            <w:pPr>
              <w:spacing w:before="60" w:after="60" w:line="252" w:lineRule="auto"/>
              <w:ind w:firstLine="0"/>
            </w:pPr>
            <w:r>
              <w:rPr>
                <w:sz w:val="18"/>
              </w:rPr>
              <w:t>records.jsonl (L794=69, L234=27, L269=19, L268=13)</w:t>
            </w:r>
          </w:p>
        </w:tc>
        <w:tc>
          <w:tcPr>
            <w:tcW w:type="dxa" w:w="2077"/>
            <w:vAlign w:val="center"/>
            <w:shd w:fill="F4F7FA"/>
          </w:tcPr>
          <w:p>
            <w:pPr>
              <w:spacing w:before="60" w:after="60" w:line="252" w:lineRule="auto"/>
              <w:ind w:firstLine="0"/>
            </w:pPr>
            <w:r>
              <w:rPr>
                <w:sz w:val="18"/>
              </w:rPr>
              <w:t>VERIFIED</w:t>
            </w:r>
          </w:p>
        </w:tc>
      </w:tr>
      <w:tr>
        <w:trPr>
          <w:cantSplit/>
        </w:trPr>
        <w:tc>
          <w:tcPr>
            <w:tcW w:type="dxa" w:w="2077"/>
            <w:vAlign w:val="center"/>
          </w:tcPr>
          <w:p>
            <w:pPr>
              <w:spacing w:before="60" w:after="60" w:line="252" w:lineRule="auto"/>
              <w:ind w:firstLine="0"/>
            </w:pPr>
            <w:r>
              <w:rPr>
                <w:b/>
                <w:sz w:val="18"/>
              </w:rPr>
              <w:t>Automated pytest suite</w:t>
            </w:r>
          </w:p>
        </w:tc>
        <w:tc>
          <w:tcPr>
            <w:tcW w:type="dxa" w:w="2077"/>
            <w:vAlign w:val="center"/>
          </w:tcPr>
          <w:p>
            <w:pPr>
              <w:spacing w:before="60" w:after="60" w:line="252" w:lineRule="auto"/>
              <w:ind w:firstLine="0"/>
            </w:pPr>
            <w:r>
              <w:rPr>
                <w:sz w:val="18"/>
              </w:rPr>
              <w:t>29 tests (28 passed, 1 skipped offline; 29 w/ DB)</w:t>
            </w:r>
          </w:p>
        </w:tc>
        <w:tc>
          <w:tcPr>
            <w:tcW w:type="dxa" w:w="2077"/>
            <w:vAlign w:val="center"/>
          </w:tcPr>
          <w:p>
            <w:pPr>
              <w:spacing w:before="60" w:after="60" w:line="252" w:lineRule="auto"/>
              <w:ind w:firstLine="0"/>
            </w:pPr>
            <w:r>
              <w:rPr>
                <w:sz w:val="18"/>
              </w:rPr>
              <w:t>backend/tests/ (6 test files, 29 def test_ functions)</w:t>
            </w:r>
          </w:p>
        </w:tc>
        <w:tc>
          <w:tcPr>
            <w:tcW w:type="dxa" w:w="2077"/>
            <w:vAlign w:val="center"/>
          </w:tcPr>
          <w:p>
            <w:pPr>
              <w:spacing w:before="60" w:after="60" w:line="252" w:lineRule="auto"/>
              <w:ind w:firstLine="0"/>
            </w:pPr>
            <w:r>
              <w:rPr>
                <w:sz w:val="18"/>
              </w:rPr>
              <w:t>VERIFIED</w:t>
            </w:r>
          </w:p>
        </w:tc>
      </w:tr>
    </w:tbl>
    <w:p>
      <w:pPr>
        <w:spacing w:before="0" w:after="80"/>
      </w:pPr>
    </w:p>
    <w:sectPr w:rsidR="00FC693F" w:rsidRPr="0006063C" w:rsidSect="00034616">
      <w:footerReference w:type="default" r:id="rId9"/>
      <w:pgSz w:w="11909" w:h="16834"/>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sz w:val="20"/>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eration Serif" w:hAnsi="Liberation Serif"/>
      <w:color w:val="1A1A1A"/>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