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83B84"/>
          <w:sz w:val="34"/>
        </w:rPr>
        <w:t>DATASHIELD</w:t>
      </w:r>
    </w:p>
    <w:p>
      <w:pPr>
        <w:spacing w:after="40"/>
        <w:jc w:val="center"/>
      </w:pPr>
      <w:r>
        <w:rPr>
          <w:b/>
          <w:color w:val="5B6577"/>
          <w:sz w:val="20"/>
        </w:rPr>
        <w:t>PRIVACY FLOW TRACKER</w:t>
      </w:r>
    </w:p>
    <w:p>
      <w:pPr>
        <w:spacing w:before="300" w:after="360"/>
        <w:pBdr>
          <w:bottom w:val="single" w:sz="18" w:space="1" w:color="C69A37"/>
        </w:pBdr>
      </w:pPr>
    </w:p>
    <w:p>
      <w:pPr>
        <w:spacing w:before="400"/>
        <w:jc w:val="center"/>
      </w:pPr>
      <w:r>
        <w:rPr>
          <w:b/>
          <w:color w:val="C69A37"/>
          <w:sz w:val="24"/>
        </w:rPr>
        <w:t>PROJECT REPORT</w:t>
      </w:r>
    </w:p>
    <w:p>
      <w:pPr>
        <w:pStyle w:val="Title"/>
        <w:spacing w:before="300" w:after="240"/>
        <w:jc w:val="center"/>
      </w:pPr>
      <w:r>
        <w:t>DataShield &amp;</w:t>
        <w:br/>
        <w:t>Privacy Flow Tracker</w:t>
      </w:r>
    </w:p>
    <w:p>
      <w:pPr>
        <w:jc w:val="center"/>
      </w:pPr>
      <w:r>
        <w:rPr>
          <w:color w:val="5B6577"/>
          <w:sz w:val="22"/>
        </w:rPr>
        <w:t>A browser-based privacy protection extension that detects sensitive data, warns before submission, and monitors outgoing data flows</w:t>
      </w:r>
    </w:p>
    <w:p>
      <w:pPr>
        <w:spacing w:before="840"/>
        <w:jc w:val="center"/>
      </w:pPr>
      <w:r>
        <w:rPr>
          <w:color w:val="5B6577"/>
          <w:sz w:val="20"/>
        </w:rPr>
        <w:t>Prepared by</w:t>
      </w:r>
    </w:p>
    <w:p>
      <w:pPr>
        <w:jc w:val="center"/>
      </w:pPr>
      <w:r>
        <w:rPr>
          <w:b/>
          <w:color w:val="283B84"/>
          <w:sz w:val="30"/>
        </w:rPr>
        <w:t>Anubhav Kishor Patil</w:t>
      </w:r>
    </w:p>
    <w:p>
      <w:pPr>
        <w:jc w:val="center"/>
      </w:pPr>
      <w:r>
        <w:rPr>
          <w:color w:val="5B6577"/>
          <w:sz w:val="18"/>
        </w:rPr>
        <w:t>Project study based on the implemented Chrome extension and its documentation</w:t>
      </w:r>
    </w:p>
    <w:p>
      <w:pPr>
        <w:spacing w:before="800"/>
        <w:jc w:val="center"/>
      </w:pPr>
      <w:r>
        <w:rPr>
          <w:b/>
          <w:sz w:val="20"/>
        </w:rPr>
        <w:t>October 2026</w:t>
      </w:r>
    </w:p>
    <w:p>
      <w:r>
        <w:br w:type="page"/>
      </w:r>
    </w:p>
    <w:p>
      <w:pPr>
        <w:pStyle w:val="Heading1"/>
      </w:pPr>
      <w:r>
        <w:t>Acknowledgement</w:t>
      </w:r>
    </w:p>
    <w:p>
      <w:r>
        <w:rPr>
          <w:i w:val="0"/>
        </w:rPr>
        <w:t>I express my appreciation to the developers and maintainers of browser-extension technologies and open-source tools that support client-side privacy awareness. The project provides a practical example of how browser interfaces can help users recognize sensitive information and understand where it may be sent.</w:t>
      </w:r>
    </w:p>
    <w:p>
      <w:r>
        <w:rPr>
          <w:i w:val="0"/>
        </w:rPr>
        <w:t>I also acknowledge the documentation and test fixtures accompanying DataShield, which describe its detection patterns, form warnings, network-flow tracking, configuration controls and metadata export features.</w:t>
      </w:r>
    </w:p>
    <w:p>
      <w:pPr>
        <w:jc w:val="right"/>
      </w:pPr>
      <w:r>
        <w:rPr>
          <w:b/>
          <w:color w:val="283B84"/>
        </w:rPr>
        <w:t>Anubhav Kishor Patil</w:t>
      </w:r>
    </w:p>
    <w:p>
      <w:pPr>
        <w:pStyle w:val="Heading1"/>
      </w:pPr>
      <w:r>
        <w:t>Abstract</w:t>
      </w:r>
    </w:p>
    <w:p>
      <w:r>
        <w:rPr>
          <w:i w:val="0"/>
        </w:rPr>
        <w:t>Web pages routinely collect personal and confidential information such as email addresses, phone numbers, payment-card numbers, Social Security numbers, API keys and access tokens. Users may not always notice when that information is submitted to an unexpected or third-party destination. DataShield &amp; Privacy Flow Tracker is a Manifest V3 Chrome extension designed to make selected sensitive-data flows visible to the user at the point of entry and transmission.</w:t>
      </w:r>
    </w:p>
    <w:p>
      <w:r>
        <w:rPr>
          <w:i w:val="0"/>
        </w:rPr>
        <w:t>The extension scans form fields and editable content for configured patterns, highlights detected values in the page, and presents a confirmation dialog before selected form submissions. It instruments common page communication mechanisms—including fetch, XMLHttpRequest, navigator.sendBeacon and WebSocket sends—to identify payloads matching configured detectors. The extension classifies observed flows by source, destination, channel, severity and first-/third-party status. Configurable trusted and blocked domains, detector toggles, custom regular expressions, local history retention, JSON/CSV export and local log clearing provide user controls.</w:t>
      </w:r>
    </w:p>
    <w:p>
      <w:r>
        <w:rPr>
          <w:i w:val="0"/>
        </w:rPr>
        <w:t>The design aims to record flow metadata rather than raw form values or request bodies. The report describes the project purpose, functionality, structure, implementation approach, tests represented in the project, limitations and opportunities for further development. DataShield is a privacy-awareness layer and does not replace secure application design, browser security controls or a dedicated data-loss-prevention system.</w:t>
      </w:r>
    </w:p>
    <w:p>
      <w:r>
        <w:br w:type="page"/>
      </w:r>
    </w:p>
    <w:p>
      <w:pPr>
        <w:pStyle w:val="Heading1"/>
      </w:pPr>
      <w:r>
        <w:t>Table of Contents</w:t>
      </w:r>
    </w:p>
    <w:p>
      <w:pPr>
        <w:spacing w:after="40"/>
        <w:ind w:left="0"/>
      </w:pPr>
      <w:r>
        <w:rPr>
          <w:b/>
          <w:sz w:val="18"/>
        </w:rPr>
        <w:t>1. Introduction</w:t>
      </w:r>
    </w:p>
    <w:p>
      <w:pPr>
        <w:spacing w:after="40"/>
        <w:ind w:left="173"/>
      </w:pPr>
      <w:r>
        <w:rPr>
          <w:b w:val="0"/>
          <w:sz w:val="18"/>
        </w:rPr>
        <w:t>1.1 Background</w:t>
      </w:r>
    </w:p>
    <w:p>
      <w:pPr>
        <w:spacing w:after="40"/>
        <w:ind w:left="173"/>
      </w:pPr>
      <w:r>
        <w:rPr>
          <w:b w:val="0"/>
          <w:sz w:val="18"/>
        </w:rPr>
        <w:t>1.2 Problem Statement</w:t>
      </w:r>
    </w:p>
    <w:p>
      <w:pPr>
        <w:spacing w:after="40"/>
        <w:ind w:left="173"/>
      </w:pPr>
      <w:r>
        <w:rPr>
          <w:b w:val="0"/>
          <w:sz w:val="18"/>
        </w:rPr>
        <w:t>1.3 Objectives</w:t>
      </w:r>
    </w:p>
    <w:p>
      <w:pPr>
        <w:spacing w:after="40"/>
        <w:ind w:left="173"/>
      </w:pPr>
      <w:r>
        <w:rPr>
          <w:b w:val="0"/>
          <w:sz w:val="18"/>
        </w:rPr>
        <w:t>1.4 Scope</w:t>
      </w:r>
    </w:p>
    <w:p>
      <w:pPr>
        <w:spacing w:after="40"/>
        <w:ind w:left="0"/>
      </w:pPr>
      <w:r>
        <w:rPr>
          <w:b/>
          <w:sz w:val="18"/>
        </w:rPr>
        <w:t>2. System Overview</w:t>
      </w:r>
    </w:p>
    <w:p>
      <w:pPr>
        <w:spacing w:after="40"/>
        <w:ind w:left="173"/>
      </w:pPr>
      <w:r>
        <w:rPr>
          <w:b w:val="0"/>
          <w:sz w:val="18"/>
        </w:rPr>
        <w:t>2.1 Main Components</w:t>
      </w:r>
    </w:p>
    <w:p>
      <w:pPr>
        <w:spacing w:after="40"/>
        <w:ind w:left="173"/>
      </w:pPr>
      <w:r>
        <w:rPr>
          <w:b w:val="0"/>
          <w:sz w:val="18"/>
        </w:rPr>
        <w:t>2.2 Detection and Submission Workflow</w:t>
      </w:r>
    </w:p>
    <w:p>
      <w:pPr>
        <w:spacing w:after="40"/>
        <w:ind w:left="173"/>
      </w:pPr>
      <w:r>
        <w:rPr>
          <w:b w:val="0"/>
          <w:sz w:val="18"/>
        </w:rPr>
        <w:t>2.3 Data-Flow Record</w:t>
      </w:r>
    </w:p>
    <w:p>
      <w:pPr>
        <w:spacing w:after="40"/>
        <w:ind w:left="0"/>
      </w:pPr>
      <w:r>
        <w:rPr>
          <w:b/>
          <w:sz w:val="18"/>
        </w:rPr>
        <w:t>3. Features</w:t>
      </w:r>
    </w:p>
    <w:p>
      <w:pPr>
        <w:spacing w:after="40"/>
        <w:ind w:left="173"/>
      </w:pPr>
      <w:r>
        <w:rPr>
          <w:b w:val="0"/>
          <w:sz w:val="18"/>
        </w:rPr>
        <w:t>3.1 Sensitive Data Detection</w:t>
      </w:r>
    </w:p>
    <w:p>
      <w:pPr>
        <w:spacing w:after="40"/>
        <w:ind w:left="173"/>
      </w:pPr>
      <w:r>
        <w:rPr>
          <w:b w:val="0"/>
          <w:sz w:val="18"/>
        </w:rPr>
        <w:t>3.2 Form Warnings and Submission Confirmation</w:t>
      </w:r>
    </w:p>
    <w:p>
      <w:pPr>
        <w:spacing w:after="40"/>
        <w:ind w:left="173"/>
      </w:pPr>
      <w:r>
        <w:rPr>
          <w:b w:val="0"/>
          <w:sz w:val="18"/>
        </w:rPr>
        <w:t>3.3 Network Flow Monitoring</w:t>
      </w:r>
    </w:p>
    <w:p>
      <w:pPr>
        <w:spacing w:after="40"/>
        <w:ind w:left="173"/>
      </w:pPr>
      <w:r>
        <w:rPr>
          <w:b w:val="0"/>
          <w:sz w:val="18"/>
        </w:rPr>
        <w:t>3.4 Trusted and Blocked Domains</w:t>
      </w:r>
    </w:p>
    <w:p>
      <w:pPr>
        <w:spacing w:after="40"/>
        <w:ind w:left="173"/>
      </w:pPr>
      <w:r>
        <w:rPr>
          <w:b w:val="0"/>
          <w:sz w:val="18"/>
        </w:rPr>
        <w:t>3.5 Dashboard and Exports</w:t>
      </w:r>
    </w:p>
    <w:p>
      <w:pPr>
        <w:spacing w:after="40"/>
        <w:ind w:left="173"/>
      </w:pPr>
      <w:r>
        <w:rPr>
          <w:b w:val="0"/>
          <w:sz w:val="18"/>
        </w:rPr>
        <w:t>3.6 Privacy-Preserving Logs</w:t>
      </w:r>
    </w:p>
    <w:p>
      <w:pPr>
        <w:spacing w:after="40"/>
        <w:ind w:left="0"/>
      </w:pPr>
      <w:r>
        <w:rPr>
          <w:b/>
          <w:sz w:val="18"/>
        </w:rPr>
        <w:t>4. Design and Implementation</w:t>
      </w:r>
    </w:p>
    <w:p>
      <w:pPr>
        <w:spacing w:after="40"/>
        <w:ind w:left="173"/>
      </w:pPr>
      <w:r>
        <w:rPr>
          <w:b w:val="0"/>
          <w:sz w:val="18"/>
        </w:rPr>
        <w:t>4.1 Technology Stack</w:t>
      </w:r>
    </w:p>
    <w:p>
      <w:pPr>
        <w:spacing w:after="40"/>
        <w:ind w:left="173"/>
      </w:pPr>
      <w:r>
        <w:rPr>
          <w:b w:val="0"/>
          <w:sz w:val="18"/>
        </w:rPr>
        <w:t>4.2 Extension Architecture</w:t>
      </w:r>
    </w:p>
    <w:p>
      <w:pPr>
        <w:spacing w:after="40"/>
        <w:ind w:left="173"/>
      </w:pPr>
      <w:r>
        <w:rPr>
          <w:b w:val="0"/>
          <w:sz w:val="18"/>
        </w:rPr>
        <w:t>4.3 Configuration and Storage</w:t>
      </w:r>
    </w:p>
    <w:p>
      <w:pPr>
        <w:spacing w:after="40"/>
        <w:ind w:left="173"/>
      </w:pPr>
      <w:r>
        <w:rPr>
          <w:b w:val="0"/>
          <w:sz w:val="18"/>
        </w:rPr>
        <w:t>4.4 Detection and Flow Processing</w:t>
      </w:r>
    </w:p>
    <w:p>
      <w:pPr>
        <w:spacing w:after="40"/>
        <w:ind w:left="173"/>
      </w:pPr>
      <w:r>
        <w:rPr>
          <w:b w:val="0"/>
          <w:sz w:val="18"/>
        </w:rPr>
        <w:t>4.5 Security and Privacy Considerations</w:t>
      </w:r>
    </w:p>
    <w:p>
      <w:pPr>
        <w:spacing w:after="40"/>
        <w:ind w:left="0"/>
      </w:pPr>
      <w:r>
        <w:rPr>
          <w:b/>
          <w:sz w:val="18"/>
        </w:rPr>
        <w:t>5. User Interface</w:t>
      </w:r>
    </w:p>
    <w:p>
      <w:pPr>
        <w:spacing w:after="40"/>
        <w:ind w:left="0"/>
      </w:pPr>
      <w:r>
        <w:rPr>
          <w:b/>
          <w:sz w:val="18"/>
        </w:rPr>
        <w:t>6. Testing and Validation</w:t>
      </w:r>
    </w:p>
    <w:p>
      <w:pPr>
        <w:spacing w:after="40"/>
        <w:ind w:left="0"/>
      </w:pPr>
      <w:r>
        <w:rPr>
          <w:b/>
          <w:sz w:val="18"/>
        </w:rPr>
        <w:t>7. Limitations and Future Scope</w:t>
      </w:r>
    </w:p>
    <w:p>
      <w:pPr>
        <w:spacing w:after="40"/>
        <w:ind w:left="0"/>
      </w:pPr>
      <w:r>
        <w:rPr>
          <w:b/>
          <w:sz w:val="18"/>
        </w:rPr>
        <w:t>8. Conclusion</w:t>
      </w:r>
    </w:p>
    <w:p>
      <w:pPr>
        <w:spacing w:after="40"/>
        <w:ind w:left="0"/>
      </w:pPr>
      <w:r>
        <w:rPr>
          <w:b/>
          <w:sz w:val="18"/>
        </w:rPr>
        <w:t>Appendix A: Installation and Use</w:t>
      </w:r>
    </w:p>
    <w:p>
      <w:pPr>
        <w:spacing w:after="40"/>
        <w:ind w:left="0"/>
      </w:pPr>
      <w:r>
        <w:rPr>
          <w:b/>
          <w:sz w:val="18"/>
        </w:rPr>
        <w:t>Appendix B: Principal Components</w:t>
      </w:r>
    </w:p>
    <w:p>
      <w:r>
        <w:br w:type="page"/>
      </w:r>
    </w:p>
    <w:p>
      <w:pPr>
        <w:pStyle w:val="Heading1"/>
      </w:pPr>
      <w:r>
        <w:t>1. Introduction</w:t>
      </w:r>
    </w:p>
    <w:p>
      <w:pPr>
        <w:pStyle w:val="Heading2"/>
      </w:pPr>
      <w:r>
        <w:t>1.1 Background</w:t>
      </w:r>
    </w:p>
    <w:p>
      <w:r>
        <w:rPr>
          <w:i w:val="0"/>
        </w:rPr>
        <w:t>Browsers are the main interface through which users enter personal and business information into websites. Sensitive values can be included in ordinary forms, API requests, analytics events or messages sent over a WebSocket connection. A user may understand what they typed without knowing which destination receives it or whether it is a first-party or third-party endpoint.</w:t>
      </w:r>
    </w:p>
    <w:p>
      <w:r>
        <w:rPr>
          <w:i w:val="0"/>
        </w:rPr>
        <w:t>DataShield adds a user-facing layer of awareness inside Chrome. It checks selected input and outgoing payload content against local detection patterns, warns about certain submissions, and keeps a limited history of detected flow metadata in browser-local storage. It is intended to help users and testers inspect potentially sensitive data movement while using a website.</w:t>
      </w:r>
    </w:p>
    <w:p>
      <w:pPr>
        <w:pStyle w:val="Heading2"/>
      </w:pPr>
      <w:r>
        <w:t>1.2 Problem Statement</w:t>
      </w:r>
    </w:p>
    <w:p>
      <w:pPr>
        <w:pStyle w:val="ListBullet"/>
        <w:spacing w:after="40"/>
      </w:pPr>
      <w:r>
        <w:t>Users may enter sensitive values without receiving a clear in-page warning that identifies the data category.</w:t>
      </w:r>
    </w:p>
    <w:p>
      <w:pPr>
        <w:pStyle w:val="ListBullet"/>
        <w:spacing w:after="40"/>
      </w:pPr>
      <w:r>
        <w:t>A form may send sensitive information to a domain the user did not expect.</w:t>
      </w:r>
    </w:p>
    <w:p>
      <w:pPr>
        <w:pStyle w:val="ListBullet"/>
        <w:spacing w:after="40"/>
      </w:pPr>
      <w:r>
        <w:t>Network payloads may leave through JavaScript APIs such as fetch, XHR, sendBeacon or WebSocket, not only through traditional HTML form submissions.</w:t>
      </w:r>
    </w:p>
    <w:p>
      <w:pPr>
        <w:pStyle w:val="ListBullet"/>
        <w:spacing w:after="40"/>
      </w:pPr>
      <w:r>
        <w:t>Developers and testers need a lightweight way to review source-to-destination metadata without retaining raw values in routine logs.</w:t>
      </w:r>
    </w:p>
    <w:p>
      <w:pPr>
        <w:pStyle w:val="ListBullet"/>
        <w:spacing w:after="40"/>
      </w:pPr>
      <w:r>
        <w:t>Generic privacy tools may not provide simple local controls for trusted domains, blocked domains, custom detectors, retention and exports.</w:t>
      </w:r>
    </w:p>
    <w:p>
      <w:pPr>
        <w:pStyle w:val="Heading2"/>
      </w:pPr>
      <w:r>
        <w:t>1.3 Objectives</w:t>
      </w:r>
    </w:p>
    <w:p>
      <w:pPr>
        <w:pStyle w:val="ListBullet"/>
        <w:spacing w:after="40"/>
      </w:pPr>
      <w:r>
        <w:t>Detect configurable categories of sensitive data in text entered into supported page fields.</w:t>
      </w:r>
    </w:p>
    <w:p>
      <w:pPr>
        <w:pStyle w:val="ListBullet"/>
        <w:spacing w:after="40"/>
      </w:pPr>
      <w:r>
        <w:t>Warn users before submitting forms containing detected values, showing the destination domain.</w:t>
      </w:r>
    </w:p>
    <w:p>
      <w:pPr>
        <w:pStyle w:val="ListBullet"/>
        <w:spacing w:after="40"/>
      </w:pPr>
      <w:r>
        <w:t>Observe common outgoing browser requests and messages and identify payloads containing detected patterns.</w:t>
      </w:r>
    </w:p>
    <w:p>
      <w:pPr>
        <w:pStyle w:val="ListBullet"/>
        <w:spacing w:after="40"/>
      </w:pPr>
      <w:r>
        <w:t>Classify detected flows by data category, communication channel, destination, first-/third-party relationship and severity.</w:t>
      </w:r>
    </w:p>
    <w:p>
      <w:pPr>
        <w:pStyle w:val="ListBullet"/>
        <w:spacing w:after="40"/>
      </w:pPr>
      <w:r>
        <w:t>Allow users to configure domain exceptions, blocked destinations, detection categories and custom regular expressions.</w:t>
      </w:r>
    </w:p>
    <w:p>
      <w:pPr>
        <w:pStyle w:val="ListBullet"/>
        <w:spacing w:after="40"/>
      </w:pPr>
      <w:r>
        <w:t>Keep a short, bounded local history and offer JSON and CSV exports of flow metadata.</w:t>
      </w:r>
    </w:p>
    <w:p>
      <w:pPr>
        <w:pStyle w:val="ListBullet"/>
        <w:spacing w:after="40"/>
      </w:pPr>
      <w:r>
        <w:t>Provide practical privacy awareness without claiming to prove that a site is malicious or that every possible data flow is observed.</w:t>
      </w:r>
    </w:p>
    <w:p>
      <w:pPr>
        <w:pStyle w:val="Heading2"/>
      </w:pPr>
      <w:r>
        <w:t>1.4 Scope</w:t>
      </w:r>
    </w:p>
    <w:p>
      <w:r>
        <w:rPr>
          <w:i w:val="0"/>
        </w:rPr>
        <w:t>The project is a Google Chrome extension using Manifest V3. It is designed for client-side observation in pages where its content scripts run. Documented detectors include Luhn-valid payment-card numbers, email addresses, phone numbers, US Social Security numbers, API-key/bearer/access-token-like strings and user-supplied regular expressions. Outgoing flow monitoring is implemented for fetch, XMLHttpRequest, navigator.sendBeacon and WebSocket send operations. The implementation records metadata rather than raw form values or network request bodies in its ordinary flow history.</w:t>
      </w:r>
    </w:p>
    <w:p>
      <w:pPr>
        <w:pStyle w:val="Heading1"/>
      </w:pPr>
      <w:r>
        <w:t>2. System Overview</w:t>
      </w:r>
    </w:p>
    <w:p>
      <w:pPr>
        <w:pStyle w:val="Heading2"/>
      </w:pPr>
      <w:r>
        <w:t>2.1 Main Components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283B84"/>
            <w:vAlign w:val="center"/>
            <w:tcMar>
              <w:top w:w="85" w:type="dxa"/>
              <w:start w:w="95" w:type="dxa"/>
              <w:bottom w:w="85" w:type="dxa"/>
              <w:end w:w="95" w:type="dxa"/>
            </w:tcMar>
          </w:tcPr>
          <w:p>
            <w:pPr>
              <w:spacing w:after="0" w:line="240" w:lineRule="auto"/>
            </w:pPr>
            <w:r/>
            <w:r>
              <w:rPr>
                <w:rFonts w:ascii="Aptos" w:hAnsi="Aptos"/>
                <w:b/>
                <w:color w:val="FFFFFF"/>
                <w:sz w:val="17"/>
              </w:rPr>
              <w:t>Component</w:t>
            </w:r>
          </w:p>
        </w:tc>
        <w:tc>
          <w:tcPr>
            <w:tcW w:type="dxa" w:w="7128"/>
            <w:shd w:fill="283B84"/>
            <w:vAlign w:val="center"/>
            <w:tcMar>
              <w:top w:w="85" w:type="dxa"/>
              <w:start w:w="95" w:type="dxa"/>
              <w:bottom w:w="85" w:type="dxa"/>
              <w:end w:w="95" w:type="dxa"/>
            </w:tcMar>
          </w:tcPr>
          <w:p>
            <w:pPr>
              <w:spacing w:after="0" w:line="240" w:lineRule="auto"/>
            </w:pPr>
            <w:r/>
            <w:r>
              <w:rPr>
                <w:rFonts w:ascii="Aptos" w:hAnsi="Aptos"/>
                <w:b/>
                <w:color w:val="FFFFFF"/>
                <w:sz w:val="17"/>
              </w:rPr>
              <w:t>Role in the project</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Popup dashboard</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Provides the enable/disable switch, detector configuration, trusted/blocked domains, custom patterns, retention selector, recent-flow cards, export controls and clear-history action.</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Content script</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Runs on matching pages, checks input events, adds inline highlights and submission confirmation UI, and relays flow observations.</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Page hook</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Instruments page-level network APIs and checks their outgoing payloads against detection patterns.</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Background service worker</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Initializes defaults, receives flow events, applies domain and retention rules, and stores bounded metadata in Chrome local storage.</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Detector logic</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Uses regular expressions and a Luhn checksum to identify candidate sensitive categories.</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Test fixture and unit test</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Provide manual interaction scenarios and Node-based assertions for selected detector cases.</w:t>
            </w:r>
          </w:p>
        </w:tc>
      </w:tr>
    </w:tbl>
    <w:p>
      <w:pPr>
        <w:spacing w:after="0"/>
      </w:pPr>
    </w:p>
    <w:p>
      <w:pPr>
        <w:pStyle w:val="Heading2"/>
      </w:pPr>
      <w:r>
        <w:t>2.2 Detection and Submission Workflow</w:t>
      </w:r>
    </w:p>
    <w:p>
      <w:pPr>
        <w:pStyle w:val="ListNumber"/>
        <w:spacing w:after="60"/>
      </w:pPr>
      <w:r>
        <w:t>The extension loads its content script on pages covered by the manifest and injects the page-level hook.</w:t>
      </w:r>
    </w:p>
    <w:p>
      <w:pPr>
        <w:pStyle w:val="ListNumber"/>
        <w:spacing w:after="60"/>
      </w:pPr>
      <w:r>
        <w:t>The content script reads the current enable state and saved settings from chrome.storage.local.</w:t>
      </w:r>
    </w:p>
    <w:p>
      <w:pPr>
        <w:pStyle w:val="ListNumber"/>
        <w:spacing w:after="60"/>
      </w:pPr>
      <w:r>
        <w:t>When a user types into an input, textarea or editable element, the configured detectors inspect its current text and an in-page badge appears if a category is detected.</w:t>
      </w:r>
    </w:p>
    <w:p>
      <w:pPr>
        <w:pStyle w:val="ListNumber"/>
        <w:spacing w:after="60"/>
      </w:pPr>
      <w:r>
        <w:t>When a form is submitted, DataShield checks its input and textarea values, resolves the form action destination, and checks trusted/blocked-domain configuration.</w:t>
      </w:r>
    </w:p>
    <w:p>
      <w:pPr>
        <w:pStyle w:val="ListNumber"/>
        <w:spacing w:after="60"/>
      </w:pPr>
      <w:r>
        <w:t>For supported outgoing APIs, the page hook inspects the serialized payload and relays a metadata event when a configured category is present and the destination is not exempted.</w:t>
      </w:r>
    </w:p>
    <w:p>
      <w:pPr>
        <w:pStyle w:val="ListNumber"/>
        <w:spacing w:after="60"/>
      </w:pPr>
      <w:r>
        <w:t>The background worker stores a bounded set of flow records, pruning records outside the selected retention period and keeping at most 50 recent items.</w:t>
      </w:r>
    </w:p>
    <w:p>
      <w:pPr>
        <w:pStyle w:val="ListNumber"/>
        <w:spacing w:after="60"/>
      </w:pPr>
      <w:r>
        <w:t>The popup renders source-to-destination cards and lets the user export or clear locally stored history.</w:t>
      </w:r>
    </w:p>
    <w:p>
      <w:pPr>
        <w:pStyle w:val="Heading2"/>
      </w:pPr>
      <w:r>
        <w:t>2.3 Data-Flow Record</w:t>
      </w:r>
    </w:p>
    <w:p>
      <w:r>
        <w:rPr>
          <w:i w:val="0"/>
        </w:rPr>
        <w:t>A recorded flow can include a timestamp, source page and domain, destination domain or URL, transport method, channel, detected data categories, severity, whether the destination is third party, and whether the flow was marked blocked. The popup summarizes the record as a path from the source page through a transport channel to the destination. Raw values are not intended to be included in these flow records.</w:t>
      </w:r>
    </w:p>
    <w:p>
      <w:pPr>
        <w:pStyle w:val="Heading1"/>
      </w:pPr>
      <w:r>
        <w:t>3. Features</w:t>
      </w:r>
    </w:p>
    <w:p>
      <w:pPr>
        <w:pStyle w:val="Heading2"/>
      </w:pPr>
      <w:r>
        <w:t>3.1 Sensitive Data Detection</w:t>
      </w:r>
    </w:p>
    <w:p>
      <w:r>
        <w:rPr>
          <w:i w:val="0"/>
        </w:rPr>
        <w:t>The extension includes detection logic for several common patterns. Payment-card candidates are checked with the Luhn algorithm before being treated as valid card numbers. Other detectors use regular expressions for email, phone, US SSN and key/token-like strings. Users can add custom regular expressions for organisation-specific identifiers, provided those patterns are reviewed and syntactically valid.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283B84"/>
            <w:vAlign w:val="center"/>
            <w:tcMar>
              <w:top w:w="85" w:type="dxa"/>
              <w:start w:w="95" w:type="dxa"/>
              <w:bottom w:w="85" w:type="dxa"/>
              <w:end w:w="95" w:type="dxa"/>
            </w:tcMar>
          </w:tcPr>
          <w:p>
            <w:pPr>
              <w:spacing w:after="0" w:line="240" w:lineRule="auto"/>
            </w:pPr>
            <w:r/>
            <w:r>
              <w:rPr>
                <w:rFonts w:ascii="Aptos" w:hAnsi="Aptos"/>
                <w:b/>
                <w:color w:val="FFFFFF"/>
                <w:sz w:val="17"/>
              </w:rPr>
              <w:t>Detector</w:t>
            </w:r>
          </w:p>
        </w:tc>
        <w:tc>
          <w:tcPr>
            <w:tcW w:type="dxa" w:w="7128"/>
            <w:shd w:fill="283B84"/>
            <w:vAlign w:val="center"/>
            <w:tcMar>
              <w:top w:w="85" w:type="dxa"/>
              <w:start w:w="95" w:type="dxa"/>
              <w:bottom w:w="85" w:type="dxa"/>
              <w:end w:w="95" w:type="dxa"/>
            </w:tcMar>
          </w:tcPr>
          <w:p>
            <w:pPr>
              <w:spacing w:after="0" w:line="240" w:lineRule="auto"/>
            </w:pPr>
            <w:r/>
            <w:r>
              <w:rPr>
                <w:rFonts w:ascii="Aptos" w:hAnsi="Aptos"/>
                <w:b/>
                <w:color w:val="FFFFFF"/>
                <w:sz w:val="17"/>
              </w:rPr>
              <w:t>Detection approach / purpose</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Payment card</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Finds 13–19 digit candidates and validates them using a Luhn checksum.</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Email address</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Recognizes common address-like text patterns.</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Phone number</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Recognizes common phone-number formatting patterns.</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US SSN</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Recognizes the 3-2-4 digit pattern separated by hyphens.</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API key / token / secret</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Looks for labels such as api_key, access_token, secret_key or bearer followed by a token-like value.</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Custom pattern</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Tests user-defined regular expressions configured one per line.</w:t>
            </w:r>
          </w:p>
        </w:tc>
      </w:tr>
    </w:tbl>
    <w:p>
      <w:pPr>
        <w:spacing w:after="0"/>
      </w:pPr>
    </w:p>
    <w:p>
      <w:r>
        <w:rPr>
          <w:i w:val="0"/>
        </w:rPr>
        <w:t>Pattern matching is heuristic: it can miss non-standard formats and can flag text that resembles a sensitive value but is not one. A detected pattern indicates a possible category, not confirmation that the value is genuine or valid beyond checks implemented for that category.</w:t>
      </w:r>
    </w:p>
    <w:p>
      <w:pPr>
        <w:pStyle w:val="Heading2"/>
      </w:pPr>
      <w:r>
        <w:t>3.2 Form Warnings and Submission Confirmation</w:t>
      </w:r>
    </w:p>
    <w:p>
      <w:r>
        <w:rPr>
          <w:i w:val="0"/>
        </w:rPr>
        <w:t>When supported input fields contain matching text, DataShield adds a visual highlight and warning badge near the field. During form submission it checks the form’s input and textarea fields, resolves the actual action destination (or the current page when no action is specified), and can interrupt submission to display a confirmation dialog. The dialog identifies detected categories and the destination host. A user may cancel or explicitly proceed when the destination is not configured as blocked; blocked destinations are presented with a blocked warning.</w:t>
      </w:r>
    </w:p>
    <w:p>
      <w:pPr>
        <w:pStyle w:val="Heading2"/>
      </w:pPr>
      <w:r>
        <w:t>3.3 Network Flow Monitoring</w:t>
      </w:r>
    </w:p>
    <w:p>
      <w:r>
        <w:rPr>
          <w:i w:val="0"/>
        </w:rPr>
        <w:t>The injected page hook wraps several common communication APIs:</w:t>
      </w:r>
    </w:p>
    <w:p>
      <w:pPr>
        <w:pStyle w:val="ListBullet"/>
        <w:spacing w:after="40"/>
      </w:pPr>
      <w:r>
        <w:t>fetch — inspects the provided request body for a supported call.</w:t>
      </w:r>
    </w:p>
    <w:p>
      <w:pPr>
        <w:pStyle w:val="ListBullet"/>
        <w:spacing w:after="40"/>
      </w:pPr>
      <w:r>
        <w:t>XMLHttpRequest — records the method and URL when opened, then inspects the body passed to send.</w:t>
      </w:r>
    </w:p>
    <w:p>
      <w:pPr>
        <w:pStyle w:val="ListBullet"/>
        <w:spacing w:after="40"/>
      </w:pPr>
      <w:r>
        <w:t>navigator.sendBeacon — inspects data passed to the beacon API.</w:t>
      </w:r>
    </w:p>
    <w:p>
      <w:pPr>
        <w:pStyle w:val="ListBullet"/>
        <w:spacing w:after="40"/>
      </w:pPr>
      <w:r>
        <w:t>WebSocket — inspects data passed to the socket’s send method.</w:t>
      </w:r>
    </w:p>
    <w:p>
      <w:r>
        <w:rPr>
          <w:i w:val="0"/>
        </w:rPr>
        <w:t>When a payload matches a detector, a metadata event is passed to the extension content script and then to the background service worker. The event records the destination, channel and detected categories. For a configured blocked domain, the hook attempts to stop the corresponding supported send operation. This is not a universal network firewall: mechanisms outside these hooks may not be visible or blocked.</w:t>
      </w:r>
    </w:p>
    <w:p>
      <w:pPr>
        <w:pStyle w:val="Heading2"/>
      </w:pPr>
      <w:r>
        <w:t>3.4 Trusted and Blocked Domains</w:t>
      </w:r>
    </w:p>
    <w:p>
      <w:r>
        <w:rPr>
          <w:i w:val="0"/>
        </w:rPr>
        <w:t>The popup allows domains to be entered as comma- or line-separated values. Trusted-domain matches can be excluded from flow logging, except when a destination is also blocked. Blocked-domain configuration affects supported form submissions and monitored page-level sends. Domain matching includes the exact hostname and its subdomains. Users should enter trusted domains carefully because an overly broad entry can suppress useful visibility.</w:t>
      </w:r>
    </w:p>
    <w:p>
      <w:pPr>
        <w:pStyle w:val="Heading2"/>
      </w:pPr>
      <w:r>
        <w:t>3.5 Dashboard and Exports</w:t>
      </w:r>
    </w:p>
    <w:p>
      <w:r>
        <w:rPr>
          <w:i w:val="0"/>
        </w:rPr>
        <w:t>The popup presents recent flows as compact cards with detected categories, severity and time, plus a diagram from source domain to transport and destination. It provides a protection toggle, independent detector switches, custom pattern settings, retention choices of 1, 7, 30 or 90 days, and actions to export JSON, export CSV or clear locally stored history. The background storage logic retains a maximum of 50 recent flow entries.</w:t>
      </w:r>
    </w:p>
    <w:p>
      <w:pPr>
        <w:pStyle w:val="Heading2"/>
      </w:pPr>
      <w:r>
        <w:t>3.6 Privacy-Preserving Logs</w:t>
      </w:r>
    </w:p>
    <w:p>
      <w:r>
        <w:rPr>
          <w:i w:val="0"/>
        </w:rPr>
        <w:t>The project documentation states that raw form values and request bodies are not stored in the flow log. Instead, the saved records focus on domain-level and event metadata. This reduces the risk of the extension itself becoming a repository of sensitive values. However, source page URLs, tab titles, destination URLs and inferred categories can still reveal context about browsing activity; exported metadata should therefore be handled with care.</w:t>
      </w:r>
    </w:p>
    <w:p>
      <w:pPr>
        <w:pStyle w:val="Heading1"/>
      </w:pPr>
      <w:r>
        <w:t>4. Design and Implementation</w:t>
      </w:r>
    </w:p>
    <w:p>
      <w:pPr>
        <w:pStyle w:val="Heading2"/>
      </w:pPr>
      <w:r>
        <w:t>4.1 Technology Stack</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283B84"/>
            <w:vAlign w:val="center"/>
            <w:tcMar>
              <w:top w:w="85" w:type="dxa"/>
              <w:start w:w="95" w:type="dxa"/>
              <w:bottom w:w="85" w:type="dxa"/>
              <w:end w:w="95" w:type="dxa"/>
            </w:tcMar>
          </w:tcPr>
          <w:p>
            <w:pPr>
              <w:spacing w:after="0" w:line="240" w:lineRule="auto"/>
            </w:pPr>
            <w:r/>
            <w:r>
              <w:rPr>
                <w:rFonts w:ascii="Aptos" w:hAnsi="Aptos"/>
                <w:b/>
                <w:color w:val="FFFFFF"/>
                <w:sz w:val="17"/>
              </w:rPr>
              <w:t>Layer</w:t>
            </w:r>
          </w:p>
        </w:tc>
        <w:tc>
          <w:tcPr>
            <w:tcW w:type="dxa" w:w="7128"/>
            <w:shd w:fill="283B84"/>
            <w:vAlign w:val="center"/>
            <w:tcMar>
              <w:top w:w="85" w:type="dxa"/>
              <w:start w:w="95" w:type="dxa"/>
              <w:bottom w:w="85" w:type="dxa"/>
              <w:end w:w="95" w:type="dxa"/>
            </w:tcMar>
          </w:tcPr>
          <w:p>
            <w:pPr>
              <w:spacing w:after="0" w:line="240" w:lineRule="auto"/>
            </w:pPr>
            <w:r/>
            <w:r>
              <w:rPr>
                <w:rFonts w:ascii="Aptos" w:hAnsi="Aptos"/>
                <w:b/>
                <w:color w:val="FFFFFF"/>
                <w:sz w:val="17"/>
              </w:rPr>
              <w:t>Technology / implementation</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Extension model</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Chrome Extension Manifest V3.</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Core language</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JavaScript for the background worker, content script, page hook and popup logic.</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Interface</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HTML and CSS, including an extension popup and injected page warnings.</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Persistence</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chrome.storage.local for extension settings and recent flow metadata.</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Runtime APIs</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Chrome runtime messaging, storage change events, content scripts and web-accessible resource injection.</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Testing</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Node.js built-in assert module through the npm test script; browser-based manual fixture for interaction checks.</w:t>
            </w:r>
          </w:p>
        </w:tc>
      </w:tr>
    </w:tbl>
    <w:p>
      <w:pPr>
        <w:spacing w:after="0"/>
      </w:pPr>
    </w:p>
    <w:p>
      <w:pPr>
        <w:pStyle w:val="Heading2"/>
      </w:pPr>
      <w:r>
        <w:t>4.2 Extension Architecture</w:t>
      </w:r>
    </w:p>
    <w:p>
      <w:r>
        <w:rPr>
          <w:i w:val="0"/>
        </w:rPr>
        <w:t>The extension separates page observation from settings and persistence. The content script reads configuration and presents warnings in the page DOM. The injected page hook can access the page’s JavaScript environment and wraps common network APIs, then uses window messaging to relay detected-flow metadata. The content script forwards these messages through chrome.runtime to the background service worker. The background worker applies storage and retention rules, and the popup reads local state to display controls and event summaries.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664"/>
            <w:shd w:fill="283B84"/>
            <w:vAlign w:val="center"/>
            <w:tcMar>
              <w:top w:w="85" w:type="dxa"/>
              <w:start w:w="95" w:type="dxa"/>
              <w:bottom w:w="85" w:type="dxa"/>
              <w:end w:w="95" w:type="dxa"/>
            </w:tcMar>
          </w:tcPr>
          <w:p>
            <w:pPr>
              <w:spacing w:after="0" w:line="240" w:lineRule="auto"/>
            </w:pPr>
            <w:r/>
            <w:r>
              <w:rPr>
                <w:rFonts w:ascii="Aptos" w:hAnsi="Aptos"/>
                <w:b/>
                <w:color w:val="FFFFFF"/>
                <w:sz w:val="17"/>
              </w:rPr>
              <w:t>Stage</w:t>
            </w:r>
          </w:p>
        </w:tc>
        <w:tc>
          <w:tcPr>
            <w:tcW w:type="dxa" w:w="6696"/>
            <w:shd w:fill="283B84"/>
            <w:vAlign w:val="center"/>
            <w:tcMar>
              <w:top w:w="85" w:type="dxa"/>
              <w:start w:w="95" w:type="dxa"/>
              <w:bottom w:w="85" w:type="dxa"/>
              <w:end w:w="95" w:type="dxa"/>
            </w:tcMar>
          </w:tcPr>
          <w:p>
            <w:pPr>
              <w:spacing w:after="0" w:line="240" w:lineRule="auto"/>
            </w:pPr>
            <w:r/>
            <w:r>
              <w:rPr>
                <w:rFonts w:ascii="Aptos" w:hAnsi="Aptos"/>
                <w:b/>
                <w:color w:val="FFFFFF"/>
                <w:sz w:val="17"/>
              </w:rPr>
              <w:t>Data / control movement</w:t>
            </w:r>
          </w:p>
        </w:tc>
      </w:tr>
      <w:tr>
        <w:tc>
          <w:tcPr>
            <w:tcW w:type="dxa" w:w="2664"/>
            <w:vAlign w:val="center"/>
            <w:tcMar>
              <w:top w:w="85" w:type="dxa"/>
              <w:start w:w="95" w:type="dxa"/>
              <w:bottom w:w="85" w:type="dxa"/>
              <w:end w:w="95" w:type="dxa"/>
            </w:tcMar>
          </w:tcPr>
          <w:p>
            <w:pPr>
              <w:spacing w:after="0" w:line="240" w:lineRule="auto"/>
            </w:pPr>
            <w:r/>
            <w:r>
              <w:rPr>
                <w:rFonts w:ascii="Aptos" w:hAnsi="Aptos"/>
                <w:b w:val="0"/>
                <w:sz w:val="16"/>
              </w:rPr>
              <w:t>User and website page</w:t>
            </w:r>
          </w:p>
        </w:tc>
        <w:tc>
          <w:tcPr>
            <w:tcW w:type="dxa" w:w="6696"/>
            <w:vAlign w:val="center"/>
            <w:tcMar>
              <w:top w:w="85" w:type="dxa"/>
              <w:start w:w="95" w:type="dxa"/>
              <w:bottom w:w="85" w:type="dxa"/>
              <w:end w:w="95" w:type="dxa"/>
            </w:tcMar>
          </w:tcPr>
          <w:p>
            <w:pPr>
              <w:spacing w:after="0" w:line="240" w:lineRule="auto"/>
            </w:pPr>
            <w:r/>
            <w:r>
              <w:rPr>
                <w:rFonts w:ascii="Aptos" w:hAnsi="Aptos"/>
                <w:b w:val="0"/>
                <w:sz w:val="16"/>
              </w:rPr>
              <w:t>User types or page code initiates a supported outgoing request.</w:t>
            </w:r>
          </w:p>
        </w:tc>
      </w:tr>
      <w:tr>
        <w:tc>
          <w:tcPr>
            <w:tcW w:type="dxa" w:w="2664"/>
            <w:shd w:fill="F4F6FA"/>
            <w:vAlign w:val="center"/>
            <w:tcMar>
              <w:top w:w="85" w:type="dxa"/>
              <w:start w:w="95" w:type="dxa"/>
              <w:bottom w:w="85" w:type="dxa"/>
              <w:end w:w="95" w:type="dxa"/>
            </w:tcMar>
          </w:tcPr>
          <w:p>
            <w:pPr>
              <w:spacing w:after="0" w:line="240" w:lineRule="auto"/>
            </w:pPr>
            <w:r/>
            <w:r>
              <w:rPr>
                <w:rFonts w:ascii="Aptos" w:hAnsi="Aptos"/>
                <w:b w:val="0"/>
                <w:sz w:val="16"/>
              </w:rPr>
              <w:t>Content script + page hook</w:t>
            </w:r>
          </w:p>
        </w:tc>
        <w:tc>
          <w:tcPr>
            <w:tcW w:type="dxa" w:w="6696"/>
            <w:shd w:fill="F4F6FA"/>
            <w:vAlign w:val="center"/>
            <w:tcMar>
              <w:top w:w="85" w:type="dxa"/>
              <w:start w:w="95" w:type="dxa"/>
              <w:bottom w:w="85" w:type="dxa"/>
              <w:end w:w="95" w:type="dxa"/>
            </w:tcMar>
          </w:tcPr>
          <w:p>
            <w:pPr>
              <w:spacing w:after="0" w:line="240" w:lineRule="auto"/>
            </w:pPr>
            <w:r/>
            <w:r>
              <w:rPr>
                <w:rFonts w:ascii="Aptos" w:hAnsi="Aptos"/>
                <w:b w:val="0"/>
                <w:sz w:val="16"/>
              </w:rPr>
              <w:t>Inspect text/payload patterns; display warnings; emit metadata for matching flows.</w:t>
            </w:r>
          </w:p>
        </w:tc>
      </w:tr>
      <w:tr>
        <w:tc>
          <w:tcPr>
            <w:tcW w:type="dxa" w:w="2664"/>
            <w:vAlign w:val="center"/>
            <w:tcMar>
              <w:top w:w="85" w:type="dxa"/>
              <w:start w:w="95" w:type="dxa"/>
              <w:bottom w:w="85" w:type="dxa"/>
              <w:end w:w="95" w:type="dxa"/>
            </w:tcMar>
          </w:tcPr>
          <w:p>
            <w:pPr>
              <w:spacing w:after="0" w:line="240" w:lineRule="auto"/>
            </w:pPr>
            <w:r/>
            <w:r>
              <w:rPr>
                <w:rFonts w:ascii="Aptos" w:hAnsi="Aptos"/>
                <w:b w:val="0"/>
                <w:sz w:val="16"/>
              </w:rPr>
              <w:t>Background service worker</w:t>
            </w:r>
          </w:p>
        </w:tc>
        <w:tc>
          <w:tcPr>
            <w:tcW w:type="dxa" w:w="6696"/>
            <w:vAlign w:val="center"/>
            <w:tcMar>
              <w:top w:w="85" w:type="dxa"/>
              <w:start w:w="95" w:type="dxa"/>
              <w:bottom w:w="85" w:type="dxa"/>
              <w:end w:w="95" w:type="dxa"/>
            </w:tcMar>
          </w:tcPr>
          <w:p>
            <w:pPr>
              <w:spacing w:after="0" w:line="240" w:lineRule="auto"/>
            </w:pPr>
            <w:r/>
            <w:r>
              <w:rPr>
                <w:rFonts w:ascii="Aptos" w:hAnsi="Aptos"/>
                <w:b w:val="0"/>
                <w:sz w:val="16"/>
              </w:rPr>
              <w:t>Apply trusted/blocked domain rules and retention; save bounded flow records locally.</w:t>
            </w:r>
          </w:p>
        </w:tc>
      </w:tr>
      <w:tr>
        <w:tc>
          <w:tcPr>
            <w:tcW w:type="dxa" w:w="2664"/>
            <w:shd w:fill="F4F6FA"/>
            <w:vAlign w:val="center"/>
            <w:tcMar>
              <w:top w:w="85" w:type="dxa"/>
              <w:start w:w="95" w:type="dxa"/>
              <w:bottom w:w="85" w:type="dxa"/>
              <w:end w:w="95" w:type="dxa"/>
            </w:tcMar>
          </w:tcPr>
          <w:p>
            <w:pPr>
              <w:spacing w:after="0" w:line="240" w:lineRule="auto"/>
            </w:pPr>
            <w:r/>
            <w:r>
              <w:rPr>
                <w:rFonts w:ascii="Aptos" w:hAnsi="Aptos"/>
                <w:b w:val="0"/>
                <w:sz w:val="16"/>
              </w:rPr>
              <w:t>Popup dashboard</w:t>
            </w:r>
          </w:p>
        </w:tc>
        <w:tc>
          <w:tcPr>
            <w:tcW w:type="dxa" w:w="6696"/>
            <w:shd w:fill="F4F6FA"/>
            <w:vAlign w:val="center"/>
            <w:tcMar>
              <w:top w:w="85" w:type="dxa"/>
              <w:start w:w="95" w:type="dxa"/>
              <w:bottom w:w="85" w:type="dxa"/>
              <w:end w:w="95" w:type="dxa"/>
            </w:tcMar>
          </w:tcPr>
          <w:p>
            <w:pPr>
              <w:spacing w:after="0" w:line="240" w:lineRule="auto"/>
            </w:pPr>
            <w:r/>
            <w:r>
              <w:rPr>
                <w:rFonts w:ascii="Aptos" w:hAnsi="Aptos"/>
                <w:b w:val="0"/>
                <w:sz w:val="16"/>
              </w:rPr>
              <w:t>Display recent flow cards; manage settings; export JSON/CSV; clear history.</w:t>
            </w:r>
          </w:p>
        </w:tc>
      </w:tr>
    </w:tbl>
    <w:p>
      <w:pPr>
        <w:spacing w:after="0"/>
      </w:pPr>
    </w:p>
    <w:p>
      <w:pPr>
        <w:pStyle w:val="Heading2"/>
      </w:pPr>
      <w:r>
        <w:t>4.3 Configuration and Storage</w:t>
      </w:r>
    </w:p>
    <w:p>
      <w:r>
        <w:rPr>
          <w:i w:val="0"/>
        </w:rPr>
        <w:t>Default settings enable DataShield and configure detectors for credit cards, email, SSN, API keys and phone numbers. The default retention period is 30 days. Users can save allowlisted domains, blocked domains, custom regular expressions and individual detector switches. On receipt of an event, the background worker compares the destination with the domain settings, creates a record with source and destination context, prunes expired records and limits the retained history to 50 entries.</w:t>
      </w:r>
    </w:p>
    <w:p>
      <w:pPr>
        <w:pStyle w:val="Heading2"/>
      </w:pPr>
      <w:r>
        <w:t>4.4 Detection and Flow Processing</w:t>
      </w:r>
    </w:p>
    <w:p>
      <w:r>
        <w:rPr>
          <w:i w:val="0"/>
        </w:rPr>
        <w:t>The detector pipeline first extracts candidate strings using category-specific patterns. For payment-card candidates, a Luhn checksum filters out many non-card digit sequences. For other categories, the project uses format-oriented expressions. The network hook converts supported request bodies into a string representation where possible, scans the representation, classifies severity as critical for selected high-risk categories (card, SSN and API key/secret) and moderate for other detected categories, and labels the destination as third-party when its hostname differs from the current page hostname.</w:t>
      </w:r>
    </w:p>
    <w:p>
      <w:pPr>
        <w:pStyle w:val="Heading2"/>
      </w:pPr>
      <w:r>
        <w:t>4.5 Security and Privacy Considerations</w:t>
      </w:r>
    </w:p>
    <w:p>
      <w:pPr>
        <w:pStyle w:val="ListBullet"/>
        <w:spacing w:after="40"/>
      </w:pPr>
      <w:r>
        <w:t>The design emphasizes metadata-only history and avoids intentionally persisting raw field values or request bodies.</w:t>
      </w:r>
    </w:p>
    <w:p>
      <w:pPr>
        <w:pStyle w:val="ListBullet"/>
        <w:spacing w:after="40"/>
      </w:pPr>
      <w:r>
        <w:t>Flow data are kept in browser-local extension storage and can be cleared through the popup.</w:t>
      </w:r>
    </w:p>
    <w:p>
      <w:pPr>
        <w:pStyle w:val="ListBullet"/>
        <w:spacing w:after="40"/>
      </w:pPr>
      <w:r>
        <w:t>Custom regular expressions are validated before saving, but complex patterns should be reviewed to avoid overly broad matching or performance problems.</w:t>
      </w:r>
    </w:p>
    <w:p>
      <w:pPr>
        <w:pStyle w:val="ListBullet"/>
        <w:spacing w:after="40"/>
      </w:pPr>
      <w:r>
        <w:t>Trusted-domain rules can suppress flow records, so they should be configured conservatively.</w:t>
      </w:r>
    </w:p>
    <w:p>
      <w:pPr>
        <w:pStyle w:val="ListBullet"/>
        <w:spacing w:after="40"/>
      </w:pPr>
      <w:r>
        <w:t>The extension uses broad host permissions and runs content scripts on all URLs as declared in the manifest; users should understand these permissions before loading it.</w:t>
      </w:r>
    </w:p>
    <w:p>
      <w:pPr>
        <w:pStyle w:val="ListBullet"/>
        <w:spacing w:after="40"/>
      </w:pPr>
      <w:r>
        <w:t>The project provides warnings and limited blocking for instrumented mechanisms, not complete traffic interception or a guarantee against data leakage.</w:t>
      </w:r>
    </w:p>
    <w:p>
      <w:pPr>
        <w:pStyle w:val="Heading1"/>
      </w:pPr>
      <w:r>
        <w:t>5. User Interface</w:t>
      </w:r>
    </w:p>
    <w:p>
      <w:r>
        <w:rPr>
          <w:i w:val="0"/>
        </w:rPr>
        <w:t>The principal interface is the DataShield popup. It contains the protection toggle, trusted and blocked domain text areas, custom pattern editor, retention selector and switches for the built-in detectors. Below the controls, “Recent data travel” presents event cards. Each card labels the detected categories and severity, displays a timestamp, and visualizes the source domain, transport mechanism and destination. Footer actions support JSON export, CSV export and clearing history.</w:t>
      </w:r>
    </w:p>
    <w:p>
      <w:r>
        <w:rPr>
          <w:i w:val="0"/>
        </w:rPr>
        <w:t>When matching content is entered on a page, DataShield highlights the field and attaches a compact warning badge. During a guarded form submission, an overlay identifies the categories and target host and gives the user a cancel/proceed choice, unless the target is configured as blocked. The project includes a manual HTML test fixture with a sample form and a fetch request for interactive checks.</w:t>
      </w:r>
    </w:p>
    <w:p>
      <w:pPr>
        <w:pStyle w:val="Heading1"/>
      </w:pPr>
      <w:r>
        <w:t>6. Testing and Validation</w:t>
      </w:r>
    </w:p>
    <w:p>
      <w:r>
        <w:rPr>
          <w:i w:val="0"/>
        </w:rPr>
        <w:t>The project includes a Node.js test file that uses the built-in assert module to exercise selected detector logic. It checks a Luhn-valid card number, rejects a similarly formatted invalid number, detects a sample email and SSN, and recognizes a token-like API-key string. The README also describes an interactive manual test fixture that can be opened in Chrome after the extension is loaded.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283B84"/>
            <w:vAlign w:val="center"/>
            <w:tcMar>
              <w:top w:w="85" w:type="dxa"/>
              <w:start w:w="95" w:type="dxa"/>
              <w:bottom w:w="85" w:type="dxa"/>
              <w:end w:w="95" w:type="dxa"/>
            </w:tcMar>
          </w:tcPr>
          <w:p>
            <w:pPr>
              <w:spacing w:after="0" w:line="240" w:lineRule="auto"/>
            </w:pPr>
            <w:r/>
            <w:r>
              <w:rPr>
                <w:rFonts w:ascii="Aptos" w:hAnsi="Aptos"/>
                <w:b/>
                <w:color w:val="FFFFFF"/>
                <w:sz w:val="17"/>
              </w:rPr>
              <w:t>Area</w:t>
            </w:r>
          </w:p>
        </w:tc>
        <w:tc>
          <w:tcPr>
            <w:tcW w:type="dxa" w:w="7128"/>
            <w:shd w:fill="283B84"/>
            <w:vAlign w:val="center"/>
            <w:tcMar>
              <w:top w:w="85" w:type="dxa"/>
              <w:start w:w="95" w:type="dxa"/>
              <w:bottom w:w="85" w:type="dxa"/>
              <w:end w:w="95" w:type="dxa"/>
            </w:tcMar>
          </w:tcPr>
          <w:p>
            <w:pPr>
              <w:spacing w:after="0" w:line="240" w:lineRule="auto"/>
            </w:pPr>
            <w:r/>
            <w:r>
              <w:rPr>
                <w:rFonts w:ascii="Aptos" w:hAnsi="Aptos"/>
                <w:b/>
                <w:color w:val="FFFFFF"/>
                <w:sz w:val="17"/>
              </w:rPr>
              <w:t>Checks represented in the project</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Card validation</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Valid sample passes the Luhn check; a sample with a changed final digit fails.</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Pattern detection</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Sample text is classified for email and US SSN patterns.</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Token-like string</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A labelled API-key sample is identified.</w:t>
            </w:r>
          </w:p>
        </w:tc>
      </w:tr>
      <w:tr>
        <w:tc>
          <w:tcPr>
            <w:tcW w:type="dxa" w:w="2232"/>
            <w:shd w:fill="F4F6FA"/>
            <w:vAlign w:val="center"/>
            <w:tcMar>
              <w:top w:w="85" w:type="dxa"/>
              <w:start w:w="95" w:type="dxa"/>
              <w:bottom w:w="85" w:type="dxa"/>
              <w:end w:w="95" w:type="dxa"/>
            </w:tcMar>
          </w:tcPr>
          <w:p>
            <w:pPr>
              <w:spacing w:after="0" w:line="240" w:lineRule="auto"/>
            </w:pPr>
            <w:r/>
            <w:r>
              <w:rPr>
                <w:rFonts w:ascii="Aptos" w:hAnsi="Aptos"/>
                <w:b w:val="0"/>
                <w:sz w:val="16"/>
              </w:rPr>
              <w:t>Manual browser flow</w:t>
            </w:r>
          </w:p>
        </w:tc>
        <w:tc>
          <w:tcPr>
            <w:tcW w:type="dxa" w:w="7128"/>
            <w:shd w:fill="F4F6FA"/>
            <w:vAlign w:val="center"/>
            <w:tcMar>
              <w:top w:w="85" w:type="dxa"/>
              <w:start w:w="95" w:type="dxa"/>
              <w:bottom w:w="85" w:type="dxa"/>
              <w:end w:w="95" w:type="dxa"/>
            </w:tcMar>
          </w:tcPr>
          <w:p>
            <w:pPr>
              <w:spacing w:after="0" w:line="240" w:lineRule="auto"/>
            </w:pPr>
            <w:r/>
            <w:r>
              <w:rPr>
                <w:rFonts w:ascii="Aptos" w:hAnsi="Aptos"/>
                <w:b w:val="0"/>
                <w:sz w:val="16"/>
              </w:rPr>
              <w:t>Fixture provides a sample form and a button that issues a fetch request.</w:t>
            </w:r>
          </w:p>
        </w:tc>
      </w:tr>
      <w:tr>
        <w:tc>
          <w:tcPr>
            <w:tcW w:type="dxa" w:w="2232"/>
            <w:vAlign w:val="center"/>
            <w:tcMar>
              <w:top w:w="85" w:type="dxa"/>
              <w:start w:w="95" w:type="dxa"/>
              <w:bottom w:w="85" w:type="dxa"/>
              <w:end w:w="95" w:type="dxa"/>
            </w:tcMar>
          </w:tcPr>
          <w:p>
            <w:pPr>
              <w:spacing w:after="0" w:line="240" w:lineRule="auto"/>
            </w:pPr>
            <w:r/>
            <w:r>
              <w:rPr>
                <w:rFonts w:ascii="Aptos" w:hAnsi="Aptos"/>
                <w:b w:val="0"/>
                <w:sz w:val="16"/>
              </w:rPr>
              <w:t>Configuration and popup</w:t>
            </w:r>
          </w:p>
        </w:tc>
        <w:tc>
          <w:tcPr>
            <w:tcW w:type="dxa" w:w="7128"/>
            <w:vAlign w:val="center"/>
            <w:tcMar>
              <w:top w:w="85" w:type="dxa"/>
              <w:start w:w="95" w:type="dxa"/>
              <w:bottom w:w="85" w:type="dxa"/>
              <w:end w:w="95" w:type="dxa"/>
            </w:tcMar>
          </w:tcPr>
          <w:p>
            <w:pPr>
              <w:spacing w:after="0" w:line="240" w:lineRule="auto"/>
            </w:pPr>
            <w:r/>
            <w:r>
              <w:rPr>
                <w:rFonts w:ascii="Aptos" w:hAnsi="Aptos"/>
                <w:b w:val="0"/>
                <w:sz w:val="16"/>
              </w:rPr>
              <w:t>Should be verified in the browser for toggles, settings, flow display, retention, export and clear-history behaviour.</w:t>
            </w:r>
          </w:p>
        </w:tc>
      </w:tr>
    </w:tbl>
    <w:p>
      <w:pPr>
        <w:spacing w:after="0"/>
      </w:pPr>
    </w:p>
    <w:p>
      <w:r>
        <w:rPr>
          <w:i w:val="0"/>
        </w:rPr>
        <w:t>The available automated test file is a focused detector test, not a comprehensive browser integration suite. The report therefore does not claim that every API hook, blocking path, configuration edge case or browser compatibility scenario has been exhaustively validated.</w:t>
      </w:r>
    </w:p>
    <w:p>
      <w:pPr>
        <w:pStyle w:val="Heading1"/>
      </w:pPr>
      <w:r>
        <w:t>7. Limitations and Future Scope</w:t>
      </w:r>
    </w:p>
    <w:p>
      <w:pPr>
        <w:pStyle w:val="Heading2"/>
      </w:pPr>
      <w:r>
        <w:t>7.1 Current Limitations</w:t>
      </w:r>
    </w:p>
    <w:p>
      <w:pPr>
        <w:pStyle w:val="ListBullet"/>
        <w:spacing w:after="40"/>
      </w:pPr>
      <w:r>
        <w:t>Detection depends on regular expressions and known formats. Encoded, split, obfuscated, encrypted or unusual values may not be detected.</w:t>
      </w:r>
    </w:p>
    <w:p>
      <w:pPr>
        <w:pStyle w:val="ListBullet"/>
        <w:spacing w:after="40"/>
      </w:pPr>
      <w:r>
        <w:t>Network observation is limited to instrumented JavaScript APIs and bodies that can be converted to text. It does not inspect all browser traffic or guarantee coverage of native browser requests, workers, alternate channels or every streaming pattern.</w:t>
      </w:r>
    </w:p>
    <w:p>
      <w:pPr>
        <w:pStyle w:val="ListBullet"/>
        <w:spacing w:after="40"/>
      </w:pPr>
      <w:r>
        <w:t>Form-level submission checks scan input and textarea fields; other controls, custom application state and values assembled after the event may be outside the checked representation.</w:t>
      </w:r>
    </w:p>
    <w:p>
      <w:pPr>
        <w:pStyle w:val="ListBullet"/>
        <w:spacing w:after="40"/>
      </w:pPr>
      <w:r>
        <w:t>Client-side blocking can be bypassed by website code, alternate APIs or changes to the extension environment and should not be treated as a security boundary.</w:t>
      </w:r>
    </w:p>
    <w:p>
      <w:pPr>
        <w:pStyle w:val="ListBullet"/>
        <w:spacing w:after="40"/>
      </w:pPr>
      <w:r>
        <w:t>First-/third-party classification is based on hostname comparison and does not determine whether a destination is trustworthy.</w:t>
      </w:r>
    </w:p>
    <w:p>
      <w:pPr>
        <w:pStyle w:val="ListBullet"/>
        <w:spacing w:after="40"/>
      </w:pPr>
      <w:r>
        <w:t>Local metadata may still expose visited URLs, destination domains, tab titles or usage patterns, even though raw values are not intended to be stored.</w:t>
      </w:r>
    </w:p>
    <w:p>
      <w:pPr>
        <w:pStyle w:val="Heading2"/>
      </w:pPr>
      <w:r>
        <w:t>7.2 Future Scope</w:t>
      </w:r>
    </w:p>
    <w:p>
      <w:pPr>
        <w:pStyle w:val="ListBullet"/>
        <w:spacing w:after="40"/>
      </w:pPr>
      <w:r>
        <w:t>Add comprehensive automated browser tests for form handling, all monitored APIs, allowlist/blocklist precedence, retention and exports.</w:t>
      </w:r>
    </w:p>
    <w:p>
      <w:pPr>
        <w:pStyle w:val="ListBullet"/>
        <w:spacing w:after="40"/>
      </w:pPr>
      <w:r>
        <w:t>Improve payload inspection for additional body types, streaming patterns and structured content while preserving metadata-only logging.</w:t>
      </w:r>
    </w:p>
    <w:p>
      <w:pPr>
        <w:pStyle w:val="ListBullet"/>
        <w:spacing w:after="40"/>
      </w:pPr>
      <w:r>
        <w:t>Provide clearer destination policy previews, allowlist diagnostics and explanations of why a flow was logged or suppressed.</w:t>
      </w:r>
    </w:p>
    <w:p>
      <w:pPr>
        <w:pStyle w:val="ListBullet"/>
        <w:spacing w:after="40"/>
      </w:pPr>
      <w:r>
        <w:t>Add configurable retention limits and a more detailed privacy view showing exactly which metadata fields are retained.</w:t>
      </w:r>
    </w:p>
    <w:p>
      <w:pPr>
        <w:pStyle w:val="ListBullet"/>
        <w:spacing w:after="40"/>
      </w:pPr>
      <w:r>
        <w:t>Improve accessible warnings, keyboard navigation, localization and extension-popup usability.</w:t>
      </w:r>
    </w:p>
    <w:p>
      <w:pPr>
        <w:pStyle w:val="ListBullet"/>
        <w:spacing w:after="40"/>
      </w:pPr>
      <w:r>
        <w:t>Offer optional policy profiles for personal use, development testing and enterprise privacy review, with explicit user consent and careful permission minimization.</w:t>
      </w:r>
    </w:p>
    <w:p>
      <w:pPr>
        <w:pStyle w:val="Heading1"/>
      </w:pPr>
      <w:r>
        <w:t>8. Conclusion</w:t>
      </w:r>
    </w:p>
    <w:p>
      <w:r>
        <w:rPr>
          <w:i w:val="0"/>
        </w:rPr>
        <w:t>DataShield &amp; Privacy Flow Tracker is a Chrome extension that provides a practical layer of visibility around selected sensitive data entered into web pages and transmitted through common JavaScript communication APIs. It combines pattern-based detection, Luhn validation for payment-card candidates, in-page warnings, form submission confirmation, destination rules, local flow metadata and JSON/CSV export in a compact browser interface.</w:t>
      </w:r>
    </w:p>
    <w:p>
      <w:r>
        <w:rPr>
          <w:i w:val="0"/>
        </w:rPr>
        <w:t>Its main contribution is helping users and testers notice possible sensitive-data movement while keeping routine logs focused on metadata rather than raw content. The implementation remains a client-side awareness tool: detector coverage is finite, instrumentation can be bypassed, and browser-local records may still be sensitive. Broader integration tests, more explicit policy feedback and continued privacy-by-design review would improve its reliability and usability.</w:t>
      </w:r>
    </w:p>
    <w:p>
      <w:pPr>
        <w:pStyle w:val="Heading1"/>
      </w:pPr>
      <w:r>
        <w:t>Appendix A: Installation and Use</w:t>
      </w:r>
    </w:p>
    <w:p>
      <w:pPr>
        <w:pStyle w:val="ListNumber"/>
        <w:spacing w:after="60"/>
      </w:pPr>
      <w:r>
        <w:t>Download or clone the project folder to the local computer.</w:t>
      </w:r>
    </w:p>
    <w:p>
      <w:pPr>
        <w:pStyle w:val="ListNumber"/>
        <w:spacing w:after="60"/>
      </w:pPr>
      <w:r>
        <w:t>Open Google Chrome and navigate to chrome://extensions.</w:t>
      </w:r>
    </w:p>
    <w:p>
      <w:pPr>
        <w:pStyle w:val="ListNumber"/>
        <w:spacing w:after="60"/>
      </w:pPr>
      <w:r>
        <w:t>Enable Developer mode.</w:t>
      </w:r>
    </w:p>
    <w:p>
      <w:pPr>
        <w:pStyle w:val="ListNumber"/>
        <w:spacing w:after="60"/>
      </w:pPr>
      <w:r>
        <w:t>Choose Load unpacked and select the project folder containing manifest.json.</w:t>
      </w:r>
    </w:p>
    <w:p>
      <w:pPr>
        <w:pStyle w:val="ListNumber"/>
        <w:spacing w:after="60"/>
      </w:pPr>
      <w:r>
        <w:t>Pin the DataShield icon and open its popup.</w:t>
      </w:r>
    </w:p>
    <w:p>
      <w:pPr>
        <w:pStyle w:val="ListNumber"/>
        <w:spacing w:after="60"/>
      </w:pPr>
      <w:r>
        <w:t>Review detector switches, retention period, trusted domains, blocked domains and custom regular expressions; save the intended controls.</w:t>
      </w:r>
    </w:p>
    <w:p>
      <w:pPr>
        <w:pStyle w:val="ListNumber"/>
        <w:spacing w:after="60"/>
      </w:pPr>
      <w:r>
        <w:t>Open a test page and enter sample text in a form field. Confirm that matching test data displays the expected warning.</w:t>
      </w:r>
    </w:p>
    <w:p>
      <w:pPr>
        <w:pStyle w:val="ListNumber"/>
        <w:spacing w:after="60"/>
      </w:pPr>
      <w:r>
        <w:t>Use the manual fixture at tests/manual-test.html to try a sample form and fetch request.</w:t>
      </w:r>
    </w:p>
    <w:p>
      <w:pPr>
        <w:pStyle w:val="ListNumber"/>
        <w:spacing w:after="60"/>
      </w:pPr>
      <w:r>
        <w:t>Open the popup to inspect recent flow cards, export JSON/CSV metadata, or clear local history.</w:t>
      </w:r>
    </w:p>
    <w:p>
      <w:r>
        <w:rPr>
          <w:i/>
        </w:rPr>
        <w:t>Testing note: use synthetic values rather than real passwords, payment details or personal identifiers when evaluating the extension. Load only the extension code you trust and review its permissions before enabling it on sensitive browsing sessions.</w:t>
      </w:r>
    </w:p>
    <w:p>
      <w:pPr>
        <w:pStyle w:val="Heading1"/>
      </w:pPr>
      <w:r>
        <w:t>Appendix B: Principal Components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92"/>
            <w:shd w:fill="283B84"/>
            <w:vAlign w:val="center"/>
            <w:tcMar>
              <w:top w:w="85" w:type="dxa"/>
              <w:start w:w="95" w:type="dxa"/>
              <w:bottom w:w="85" w:type="dxa"/>
              <w:end w:w="95" w:type="dxa"/>
            </w:tcMar>
          </w:tcPr>
          <w:p>
            <w:pPr>
              <w:spacing w:after="0" w:line="240" w:lineRule="auto"/>
            </w:pPr>
            <w:r/>
            <w:r>
              <w:rPr>
                <w:rFonts w:ascii="Aptos" w:hAnsi="Aptos"/>
                <w:b/>
                <w:color w:val="FFFFFF"/>
                <w:sz w:val="17"/>
              </w:rPr>
              <w:t>File / component</w:t>
            </w:r>
          </w:p>
        </w:tc>
        <w:tc>
          <w:tcPr>
            <w:tcW w:type="dxa" w:w="6768"/>
            <w:shd w:fill="283B84"/>
            <w:vAlign w:val="center"/>
            <w:tcMar>
              <w:top w:w="85" w:type="dxa"/>
              <w:start w:w="95" w:type="dxa"/>
              <w:bottom w:w="85" w:type="dxa"/>
              <w:end w:w="95" w:type="dxa"/>
            </w:tcMar>
          </w:tcPr>
          <w:p>
            <w:pPr>
              <w:spacing w:after="0" w:line="240" w:lineRule="auto"/>
            </w:pPr>
            <w:r/>
            <w:r>
              <w:rPr>
                <w:rFonts w:ascii="Aptos" w:hAnsi="Aptos"/>
                <w:b/>
                <w:color w:val="FFFFFF"/>
                <w:sz w:val="17"/>
              </w:rPr>
              <w:t>Purpose</w:t>
            </w:r>
          </w:p>
        </w:tc>
      </w:tr>
      <w:tr>
        <w:tc>
          <w:tcPr>
            <w:tcW w:type="dxa" w:w="2592"/>
            <w:vAlign w:val="center"/>
            <w:tcMar>
              <w:top w:w="85" w:type="dxa"/>
              <w:start w:w="95" w:type="dxa"/>
              <w:bottom w:w="85" w:type="dxa"/>
              <w:end w:w="95" w:type="dxa"/>
            </w:tcMar>
          </w:tcPr>
          <w:p>
            <w:pPr>
              <w:spacing w:after="0" w:line="240" w:lineRule="auto"/>
            </w:pPr>
            <w:r/>
            <w:r>
              <w:rPr>
                <w:rFonts w:ascii="Aptos" w:hAnsi="Aptos"/>
                <w:b w:val="0"/>
                <w:sz w:val="16"/>
              </w:rPr>
              <w:t>manifest.json</w:t>
            </w:r>
          </w:p>
        </w:tc>
        <w:tc>
          <w:tcPr>
            <w:tcW w:type="dxa" w:w="6768"/>
            <w:vAlign w:val="center"/>
            <w:tcMar>
              <w:top w:w="85" w:type="dxa"/>
              <w:start w:w="95" w:type="dxa"/>
              <w:bottom w:w="85" w:type="dxa"/>
              <w:end w:w="95" w:type="dxa"/>
            </w:tcMar>
          </w:tcPr>
          <w:p>
            <w:pPr>
              <w:spacing w:after="0" w:line="240" w:lineRule="auto"/>
            </w:pPr>
            <w:r/>
            <w:r>
              <w:rPr>
                <w:rFonts w:ascii="Aptos" w:hAnsi="Aptos"/>
                <w:b w:val="0"/>
                <w:sz w:val="16"/>
              </w:rPr>
              <w:t>Declares Manifest V3, storage and activeTab permissions, broad host permissions, popup, service worker and content-script injection.</w:t>
            </w:r>
          </w:p>
        </w:tc>
      </w:tr>
      <w:tr>
        <w:tc>
          <w:tcPr>
            <w:tcW w:type="dxa" w:w="2592"/>
            <w:shd w:fill="F4F6FA"/>
            <w:vAlign w:val="center"/>
            <w:tcMar>
              <w:top w:w="85" w:type="dxa"/>
              <w:start w:w="95" w:type="dxa"/>
              <w:bottom w:w="85" w:type="dxa"/>
              <w:end w:w="95" w:type="dxa"/>
            </w:tcMar>
          </w:tcPr>
          <w:p>
            <w:pPr>
              <w:spacing w:after="0" w:line="240" w:lineRule="auto"/>
            </w:pPr>
            <w:r/>
            <w:r>
              <w:rPr>
                <w:rFonts w:ascii="Aptos" w:hAnsi="Aptos"/>
                <w:b w:val="0"/>
                <w:sz w:val="16"/>
              </w:rPr>
              <w:t>popup.html / popup.js</w:t>
            </w:r>
          </w:p>
        </w:tc>
        <w:tc>
          <w:tcPr>
            <w:tcW w:type="dxa" w:w="6768"/>
            <w:shd w:fill="F4F6FA"/>
            <w:vAlign w:val="center"/>
            <w:tcMar>
              <w:top w:w="85" w:type="dxa"/>
              <w:start w:w="95" w:type="dxa"/>
              <w:bottom w:w="85" w:type="dxa"/>
              <w:end w:w="95" w:type="dxa"/>
            </w:tcMar>
          </w:tcPr>
          <w:p>
            <w:pPr>
              <w:spacing w:after="0" w:line="240" w:lineRule="auto"/>
            </w:pPr>
            <w:r/>
            <w:r>
              <w:rPr>
                <w:rFonts w:ascii="Aptos" w:hAnsi="Aptos"/>
                <w:b w:val="0"/>
                <w:sz w:val="16"/>
              </w:rPr>
              <w:t>Implements settings controls, local configuration, recent-flow cards, export and clear-history actions.</w:t>
            </w:r>
          </w:p>
        </w:tc>
      </w:tr>
      <w:tr>
        <w:tc>
          <w:tcPr>
            <w:tcW w:type="dxa" w:w="2592"/>
            <w:vAlign w:val="center"/>
            <w:tcMar>
              <w:top w:w="85" w:type="dxa"/>
              <w:start w:w="95" w:type="dxa"/>
              <w:bottom w:w="85" w:type="dxa"/>
              <w:end w:w="95" w:type="dxa"/>
            </w:tcMar>
          </w:tcPr>
          <w:p>
            <w:pPr>
              <w:spacing w:after="0" w:line="240" w:lineRule="auto"/>
            </w:pPr>
            <w:r/>
            <w:r>
              <w:rPr>
                <w:rFonts w:ascii="Aptos" w:hAnsi="Aptos"/>
                <w:b w:val="0"/>
                <w:sz w:val="16"/>
              </w:rPr>
              <w:t>content.js</w:t>
            </w:r>
          </w:p>
        </w:tc>
        <w:tc>
          <w:tcPr>
            <w:tcW w:type="dxa" w:w="6768"/>
            <w:vAlign w:val="center"/>
            <w:tcMar>
              <w:top w:w="85" w:type="dxa"/>
              <w:start w:w="95" w:type="dxa"/>
              <w:bottom w:w="85" w:type="dxa"/>
              <w:end w:w="95" w:type="dxa"/>
            </w:tcMar>
          </w:tcPr>
          <w:p>
            <w:pPr>
              <w:spacing w:after="0" w:line="240" w:lineRule="auto"/>
            </w:pPr>
            <w:r/>
            <w:r>
              <w:rPr>
                <w:rFonts w:ascii="Aptos" w:hAnsi="Aptos"/>
                <w:b w:val="0"/>
                <w:sz w:val="16"/>
              </w:rPr>
              <w:t>Detects sensitive text in supported editable fields, presents form warnings, evaluates submission destinations and relays page-hook events.</w:t>
            </w:r>
          </w:p>
        </w:tc>
      </w:tr>
      <w:tr>
        <w:tc>
          <w:tcPr>
            <w:tcW w:type="dxa" w:w="2592"/>
            <w:shd w:fill="F4F6FA"/>
            <w:vAlign w:val="center"/>
            <w:tcMar>
              <w:top w:w="85" w:type="dxa"/>
              <w:start w:w="95" w:type="dxa"/>
              <w:bottom w:w="85" w:type="dxa"/>
              <w:end w:w="95" w:type="dxa"/>
            </w:tcMar>
          </w:tcPr>
          <w:p>
            <w:pPr>
              <w:spacing w:after="0" w:line="240" w:lineRule="auto"/>
            </w:pPr>
            <w:r/>
            <w:r>
              <w:rPr>
                <w:rFonts w:ascii="Aptos" w:hAnsi="Aptos"/>
                <w:b w:val="0"/>
                <w:sz w:val="16"/>
              </w:rPr>
              <w:t>page_hook.js</w:t>
            </w:r>
          </w:p>
        </w:tc>
        <w:tc>
          <w:tcPr>
            <w:tcW w:type="dxa" w:w="6768"/>
            <w:shd w:fill="F4F6FA"/>
            <w:vAlign w:val="center"/>
            <w:tcMar>
              <w:top w:w="85" w:type="dxa"/>
              <w:start w:w="95" w:type="dxa"/>
              <w:bottom w:w="85" w:type="dxa"/>
              <w:end w:w="95" w:type="dxa"/>
            </w:tcMar>
          </w:tcPr>
          <w:p>
            <w:pPr>
              <w:spacing w:after="0" w:line="240" w:lineRule="auto"/>
            </w:pPr>
            <w:r/>
            <w:r>
              <w:rPr>
                <w:rFonts w:ascii="Aptos" w:hAnsi="Aptos"/>
                <w:b w:val="0"/>
                <w:sz w:val="16"/>
              </w:rPr>
              <w:t>Wraps fetch, XMLHttpRequest, sendBeacon and WebSocket send operations to scan supported outgoing bodies.</w:t>
            </w:r>
          </w:p>
        </w:tc>
      </w:tr>
      <w:tr>
        <w:tc>
          <w:tcPr>
            <w:tcW w:type="dxa" w:w="2592"/>
            <w:vAlign w:val="center"/>
            <w:tcMar>
              <w:top w:w="85" w:type="dxa"/>
              <w:start w:w="95" w:type="dxa"/>
              <w:bottom w:w="85" w:type="dxa"/>
              <w:end w:w="95" w:type="dxa"/>
            </w:tcMar>
          </w:tcPr>
          <w:p>
            <w:pPr>
              <w:spacing w:after="0" w:line="240" w:lineRule="auto"/>
            </w:pPr>
            <w:r/>
            <w:r>
              <w:rPr>
                <w:rFonts w:ascii="Aptos" w:hAnsi="Aptos"/>
                <w:b w:val="0"/>
                <w:sz w:val="16"/>
              </w:rPr>
              <w:t>background.js</w:t>
            </w:r>
          </w:p>
        </w:tc>
        <w:tc>
          <w:tcPr>
            <w:tcW w:type="dxa" w:w="6768"/>
            <w:vAlign w:val="center"/>
            <w:tcMar>
              <w:top w:w="85" w:type="dxa"/>
              <w:start w:w="95" w:type="dxa"/>
              <w:bottom w:w="85" w:type="dxa"/>
              <w:end w:w="95" w:type="dxa"/>
            </w:tcMar>
          </w:tcPr>
          <w:p>
            <w:pPr>
              <w:spacing w:after="0" w:line="240" w:lineRule="auto"/>
            </w:pPr>
            <w:r/>
            <w:r>
              <w:rPr>
                <w:rFonts w:ascii="Aptos" w:hAnsi="Aptos"/>
                <w:b w:val="0"/>
                <w:sz w:val="16"/>
              </w:rPr>
              <w:t>Initializes defaults, receives flow events, applies domain and retention rules and stores recent metadata.</w:t>
            </w:r>
          </w:p>
        </w:tc>
      </w:tr>
      <w:tr>
        <w:tc>
          <w:tcPr>
            <w:tcW w:type="dxa" w:w="2592"/>
            <w:shd w:fill="F4F6FA"/>
            <w:vAlign w:val="center"/>
            <w:tcMar>
              <w:top w:w="85" w:type="dxa"/>
              <w:start w:w="95" w:type="dxa"/>
              <w:bottom w:w="85" w:type="dxa"/>
              <w:end w:w="95" w:type="dxa"/>
            </w:tcMar>
          </w:tcPr>
          <w:p>
            <w:pPr>
              <w:spacing w:after="0" w:line="240" w:lineRule="auto"/>
            </w:pPr>
            <w:r/>
            <w:r>
              <w:rPr>
                <w:rFonts w:ascii="Aptos" w:hAnsi="Aptos"/>
                <w:b w:val="0"/>
                <w:sz w:val="16"/>
              </w:rPr>
              <w:t>styles.css</w:t>
            </w:r>
          </w:p>
        </w:tc>
        <w:tc>
          <w:tcPr>
            <w:tcW w:type="dxa" w:w="6768"/>
            <w:shd w:fill="F4F6FA"/>
            <w:vAlign w:val="center"/>
            <w:tcMar>
              <w:top w:w="85" w:type="dxa"/>
              <w:start w:w="95" w:type="dxa"/>
              <w:bottom w:w="85" w:type="dxa"/>
              <w:end w:w="95" w:type="dxa"/>
            </w:tcMar>
          </w:tcPr>
          <w:p>
            <w:pPr>
              <w:spacing w:after="0" w:line="240" w:lineRule="auto"/>
            </w:pPr>
            <w:r/>
            <w:r>
              <w:rPr>
                <w:rFonts w:ascii="Aptos" w:hAnsi="Aptos"/>
                <w:b w:val="0"/>
                <w:sz w:val="16"/>
              </w:rPr>
              <w:t>Styles popup cards, warning badges and form submission modal.</w:t>
            </w:r>
          </w:p>
        </w:tc>
      </w:tr>
      <w:tr>
        <w:tc>
          <w:tcPr>
            <w:tcW w:type="dxa" w:w="2592"/>
            <w:vAlign w:val="center"/>
            <w:tcMar>
              <w:top w:w="85" w:type="dxa"/>
              <w:start w:w="95" w:type="dxa"/>
              <w:bottom w:w="85" w:type="dxa"/>
              <w:end w:w="95" w:type="dxa"/>
            </w:tcMar>
          </w:tcPr>
          <w:p>
            <w:pPr>
              <w:spacing w:after="0" w:line="240" w:lineRule="auto"/>
            </w:pPr>
            <w:r/>
            <w:r>
              <w:rPr>
                <w:rFonts w:ascii="Aptos" w:hAnsi="Aptos"/>
                <w:b w:val="0"/>
                <w:sz w:val="16"/>
              </w:rPr>
              <w:t>tests/detection.test.js</w:t>
            </w:r>
          </w:p>
        </w:tc>
        <w:tc>
          <w:tcPr>
            <w:tcW w:type="dxa" w:w="6768"/>
            <w:vAlign w:val="center"/>
            <w:tcMar>
              <w:top w:w="85" w:type="dxa"/>
              <w:start w:w="95" w:type="dxa"/>
              <w:bottom w:w="85" w:type="dxa"/>
              <w:end w:w="95" w:type="dxa"/>
            </w:tcMar>
          </w:tcPr>
          <w:p>
            <w:pPr>
              <w:spacing w:after="0" w:line="240" w:lineRule="auto"/>
            </w:pPr>
            <w:r/>
            <w:r>
              <w:rPr>
                <w:rFonts w:ascii="Aptos" w:hAnsi="Aptos"/>
                <w:b w:val="0"/>
                <w:sz w:val="16"/>
              </w:rPr>
              <w:t>Runs focused assertions for Luhn validation and selected sensitive-data patterns.</w:t>
            </w:r>
          </w:p>
        </w:tc>
      </w:tr>
      <w:tr>
        <w:tc>
          <w:tcPr>
            <w:tcW w:type="dxa" w:w="2592"/>
            <w:shd w:fill="F4F6FA"/>
            <w:vAlign w:val="center"/>
            <w:tcMar>
              <w:top w:w="85" w:type="dxa"/>
              <w:start w:w="95" w:type="dxa"/>
              <w:bottom w:w="85" w:type="dxa"/>
              <w:end w:w="95" w:type="dxa"/>
            </w:tcMar>
          </w:tcPr>
          <w:p>
            <w:pPr>
              <w:spacing w:after="0" w:line="240" w:lineRule="auto"/>
            </w:pPr>
            <w:r/>
            <w:r>
              <w:rPr>
                <w:rFonts w:ascii="Aptos" w:hAnsi="Aptos"/>
                <w:b w:val="0"/>
                <w:sz w:val="16"/>
              </w:rPr>
              <w:t>tests/manual-test.html</w:t>
            </w:r>
          </w:p>
        </w:tc>
        <w:tc>
          <w:tcPr>
            <w:tcW w:type="dxa" w:w="6768"/>
            <w:shd w:fill="F4F6FA"/>
            <w:vAlign w:val="center"/>
            <w:tcMar>
              <w:top w:w="85" w:type="dxa"/>
              <w:start w:w="95" w:type="dxa"/>
              <w:bottom w:w="85" w:type="dxa"/>
              <w:end w:w="95" w:type="dxa"/>
            </w:tcMar>
          </w:tcPr>
          <w:p>
            <w:pPr>
              <w:spacing w:after="0" w:line="240" w:lineRule="auto"/>
            </w:pPr>
            <w:r/>
            <w:r>
              <w:rPr>
                <w:rFonts w:ascii="Aptos" w:hAnsi="Aptos"/>
                <w:b w:val="0"/>
                <w:sz w:val="16"/>
              </w:rPr>
              <w:t>Provides a sample form and fetch action for manual browser checks.</w:t>
            </w:r>
          </w:p>
        </w:tc>
      </w:tr>
    </w:tbl>
    <w:p>
      <w:pPr>
        <w:spacing w:after="0"/>
      </w:pPr>
    </w:p>
    <w:sectPr w:rsidR="00FC693F" w:rsidRPr="0006063C" w:rsidSect="00034616">
      <w:headerReference w:type="default" r:id="rId9"/>
      <w:footerReference w:type="default" r:id="rId10"/>
      <w:pgSz w:w="12240" w:h="15840"/>
      <w:pgMar w:top="1037" w:right="1181"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7"/>
        <w:sz w:val="16"/>
      </w:rPr>
      <w:t xml:space="preserve">DataShield &amp; Privacy Flow Tracker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C69A37"/>
      </w:pBdr>
    </w:pPr>
    <w:r>
      <w:rPr>
        <w:rFonts w:ascii="Aptos" w:hAnsi="Aptos"/>
        <w:color w:val="5B6577"/>
        <w:sz w:val="16"/>
      </w:rPr>
      <w:t>DATASHIELD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32B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263C86"/>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63C86"/>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eastAsia="Aptos Display"/>
      <w:b/>
      <w:bCs/>
      <w:color w:val="263C8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2A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DataShield &amp; Privacy Flow Tracker — Project Report</dc:title>
  <dc:subject>Project report on a Chrome extension for sensitive data detection and privacy flow monitoring</dc:subject>
  <dc:creator>Anubhav Kishor Patil</dc:creator>
  <cp:keywords>DataShield, Chrome Extension, Privacy, Sensitive Data Detection, Manifest V3</cp:keywords>
  <dc:description>generated by python-docx</dc:description>
  <cp:lastModifiedBy/>
  <cp:revision>1</cp:revision>
  <dcterms:created xsi:type="dcterms:W3CDTF">2013-12-23T23:15:00Z</dcterms:created>
  <dcterms:modified xsi:type="dcterms:W3CDTF">2013-12-23T23:15:00Z</dcterms:modified>
  <cp:category/>
</cp:coreProperties>
</file>