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5E104" w14:textId="77777777" w:rsidR="007E353D" w:rsidRDefault="00BC143E">
      <w:pPr>
        <w:spacing w:after="200"/>
      </w:pPr>
      <w:r>
        <w:rPr>
          <w:b/>
          <w:bCs/>
          <w:sz w:val="26"/>
          <w:szCs w:val="26"/>
        </w:rPr>
        <w:t>Highlights</w:t>
      </w:r>
    </w:p>
    <w:p w14:paraId="7795E105" w14:textId="77777777" w:rsidR="007E353D" w:rsidRDefault="00BC143E">
      <w:pPr>
        <w:pStyle w:val="ListParagraph"/>
        <w:numPr>
          <w:ilvl w:val="0"/>
          <w:numId w:val="1"/>
        </w:numPr>
        <w:spacing w:after="100" w:line="480" w:lineRule="auto"/>
      </w:pPr>
      <w:r>
        <w:rPr>
          <w:sz w:val="24"/>
          <w:szCs w:val="24"/>
        </w:rPr>
        <w:t>Seven autonomous API agents unify real-time procurement intelligence in a single interface</w:t>
      </w:r>
    </w:p>
    <w:p w14:paraId="7795E106" w14:textId="77777777" w:rsidR="007E353D" w:rsidRDefault="00BC143E">
      <w:pPr>
        <w:pStyle w:val="ListParagraph"/>
        <w:numPr>
          <w:ilvl w:val="0"/>
          <w:numId w:val="1"/>
        </w:numPr>
        <w:spacing w:after="100" w:line="480" w:lineRule="auto"/>
      </w:pPr>
      <w:r>
        <w:rPr>
          <w:sz w:val="24"/>
          <w:szCs w:val="24"/>
        </w:rPr>
        <w:t>Multi-source risk fusion integrates geopolitical, seismic, commodity, and trade signals</w:t>
      </w:r>
    </w:p>
    <w:p w14:paraId="7795E107" w14:textId="77777777" w:rsidR="007E353D" w:rsidRDefault="00BC143E">
      <w:pPr>
        <w:pStyle w:val="ListParagraph"/>
        <w:numPr>
          <w:ilvl w:val="0"/>
          <w:numId w:val="1"/>
        </w:numPr>
        <w:spacing w:after="100" w:line="480" w:lineRule="auto"/>
      </w:pPr>
      <w:r>
        <w:rPr>
          <w:sz w:val="24"/>
          <w:szCs w:val="24"/>
        </w:rPr>
        <w:t>LLM reasoning layer generates deterministic sourcing directives, mitigating hallucination risk</w:t>
      </w:r>
    </w:p>
    <w:p w14:paraId="7795E108" w14:textId="77777777" w:rsidR="007E353D" w:rsidRDefault="00BC143E">
      <w:pPr>
        <w:pStyle w:val="ListParagraph"/>
        <w:numPr>
          <w:ilvl w:val="0"/>
          <w:numId w:val="1"/>
        </w:numPr>
        <w:spacing w:after="100" w:line="480" w:lineRule="auto"/>
      </w:pPr>
      <w:r>
        <w:rPr>
          <w:sz w:val="24"/>
          <w:szCs w:val="24"/>
        </w:rPr>
        <w:t>87.5% category classification accuracy across 40 procurement categories in production</w:t>
      </w:r>
    </w:p>
    <w:p w14:paraId="7795E109" w14:textId="77777777" w:rsidR="007E353D" w:rsidRDefault="00BC143E">
      <w:pPr>
        <w:pStyle w:val="ListParagraph"/>
        <w:numPr>
          <w:ilvl w:val="0"/>
          <w:numId w:val="1"/>
        </w:numPr>
        <w:spacing w:after="100" w:line="480" w:lineRule="auto"/>
      </w:pPr>
      <w:r>
        <w:rPr>
          <w:sz w:val="24"/>
          <w:szCs w:val="24"/>
        </w:rPr>
        <w:t>Sub-3-second end-to-end latency without enterprise IT infrastructure or licensing</w:t>
      </w:r>
    </w:p>
    <w:p w14:paraId="7795E10A" w14:textId="77777777" w:rsidR="007E353D" w:rsidRDefault="007E353D">
      <w:pPr>
        <w:pageBreakBefore/>
      </w:pPr>
    </w:p>
    <w:p w14:paraId="7795E10B" w14:textId="77777777" w:rsidR="007E353D" w:rsidRDefault="00BC143E">
      <w:pPr>
        <w:spacing w:after="240" w:line="480" w:lineRule="auto"/>
        <w:jc w:val="center"/>
      </w:pPr>
      <w:r>
        <w:rPr>
          <w:b/>
          <w:bCs/>
          <w:sz w:val="32"/>
          <w:szCs w:val="32"/>
        </w:rPr>
        <w:t xml:space="preserve">NAUTILUS: </w:t>
      </w:r>
      <w:proofErr w:type="gramStart"/>
      <w:r>
        <w:rPr>
          <w:b/>
          <w:bCs/>
          <w:sz w:val="32"/>
          <w:szCs w:val="32"/>
        </w:rPr>
        <w:t>An Agentic</w:t>
      </w:r>
      <w:proofErr w:type="gramEnd"/>
      <w:r>
        <w:rPr>
          <w:b/>
          <w:bCs/>
          <w:sz w:val="32"/>
          <w:szCs w:val="32"/>
        </w:rPr>
        <w:t xml:space="preserve"> Architecture for Real-Time Supply Chain Intelligence</w:t>
      </w:r>
    </w:p>
    <w:p w14:paraId="7795E10C" w14:textId="77777777" w:rsidR="007E353D" w:rsidRDefault="00BC143E">
      <w:pPr>
        <w:spacing w:after="480" w:line="480" w:lineRule="auto"/>
        <w:jc w:val="center"/>
      </w:pPr>
      <w:r>
        <w:rPr>
          <w:i/>
          <w:iCs/>
          <w:sz w:val="24"/>
          <w:szCs w:val="24"/>
        </w:rPr>
        <w:t>[Author information removed for blind review]</w:t>
      </w:r>
    </w:p>
    <w:p w14:paraId="7795E10D" w14:textId="77777777" w:rsidR="007E353D" w:rsidRDefault="00BC143E">
      <w:pPr>
        <w:spacing w:before="280" w:after="120" w:line="480" w:lineRule="auto"/>
      </w:pPr>
      <w:r>
        <w:rPr>
          <w:b/>
          <w:bCs/>
          <w:sz w:val="26"/>
          <w:szCs w:val="26"/>
        </w:rPr>
        <w:t>Abstract</w:t>
      </w:r>
    </w:p>
    <w:p w14:paraId="7795E10E" w14:textId="6CFA156E" w:rsidR="007E353D" w:rsidRDefault="00BC143E">
      <w:pPr>
        <w:spacing w:line="480" w:lineRule="auto"/>
      </w:pPr>
      <w:r>
        <w:rPr>
          <w:sz w:val="24"/>
          <w:szCs w:val="24"/>
        </w:rPr>
        <w:t xml:space="preserve">Global supply chains are increasingly exposed to compounding disruptions spanning geopolitical events, commodity price volatility, natural disasters, trade policy shifts, and regulatory compliance risk. Existing enterprise procurement tools address these domains in isolation, requiring analysts to manually </w:t>
      </w:r>
      <w:r w:rsidR="009301E7">
        <w:rPr>
          <w:sz w:val="24"/>
          <w:szCs w:val="24"/>
        </w:rPr>
        <w:t>synthesize</w:t>
      </w:r>
      <w:r>
        <w:rPr>
          <w:sz w:val="24"/>
          <w:szCs w:val="24"/>
        </w:rPr>
        <w:t xml:space="preserve"> fragmented signals across disconnected systems. This paper presents NAUTILUS Terminal, an agentic supply chain intelligence architecture that unifies real-time multi-source data ingestion, large language model (LLM)-assisted classification and recommendation, and structured risk fusion into a single decision-support interface. The system decomposes procurement intelligence into seven autonomous API agents covering commodity pricing, geopolitical incidents, seismic events, wildfire propagation, maritime por</w:t>
      </w:r>
      <w:r>
        <w:rPr>
          <w:sz w:val="24"/>
          <w:szCs w:val="24"/>
        </w:rPr>
        <w:t xml:space="preserve">t status, foreign exchange dynamics, and trade news, whose outputs are </w:t>
      </w:r>
      <w:r w:rsidR="009301E7">
        <w:rPr>
          <w:sz w:val="24"/>
          <w:szCs w:val="24"/>
        </w:rPr>
        <w:t>synthesized</w:t>
      </w:r>
      <w:r>
        <w:rPr>
          <w:sz w:val="24"/>
          <w:szCs w:val="24"/>
        </w:rPr>
        <w:t xml:space="preserve"> by a central reasoning agent into actionable sourcing directives, risk scores, and compliance assessments. We describe the system architecture, data integration methodology, LLM orchestration strategy, and evaluate the system across 40 commodity categories. NAUTILUS demonstrates that agentic composition of heterogeneous live data streams, mediated by structured prompting and deterministic reasoning, produces procurement intelligence that is broader in coverage and lower in latency than conventional enterpr</w:t>
      </w:r>
      <w:r>
        <w:rPr>
          <w:sz w:val="24"/>
          <w:szCs w:val="24"/>
        </w:rPr>
        <w:t>ise solutions.</w:t>
      </w:r>
    </w:p>
    <w:p w14:paraId="7795E10F" w14:textId="77777777" w:rsidR="007E353D" w:rsidRDefault="007E353D">
      <w:pPr>
        <w:spacing w:after="120"/>
      </w:pPr>
    </w:p>
    <w:p w14:paraId="7795E110" w14:textId="77777777" w:rsidR="007E353D" w:rsidRDefault="00BC143E">
      <w:pPr>
        <w:spacing w:after="240" w:line="480" w:lineRule="auto"/>
      </w:pPr>
      <w:r>
        <w:rPr>
          <w:b/>
          <w:bCs/>
          <w:sz w:val="24"/>
          <w:szCs w:val="24"/>
        </w:rPr>
        <w:t xml:space="preserve">Keywords: </w:t>
      </w:r>
      <w:r>
        <w:rPr>
          <w:sz w:val="24"/>
          <w:szCs w:val="24"/>
        </w:rPr>
        <w:t>supply chain intelligence; agentic AI; procurement decision support; multi-source risk fusion; large language models; real-time systems</w:t>
      </w:r>
    </w:p>
    <w:p w14:paraId="7795E111" w14:textId="77777777" w:rsidR="007E353D" w:rsidRDefault="007E353D">
      <w:pPr>
        <w:spacing w:after="120"/>
      </w:pPr>
    </w:p>
    <w:p w14:paraId="7795E112" w14:textId="77777777" w:rsidR="007E353D" w:rsidRDefault="00BC143E">
      <w:pPr>
        <w:spacing w:before="280" w:after="120" w:line="480" w:lineRule="auto"/>
      </w:pPr>
      <w:r>
        <w:rPr>
          <w:b/>
          <w:bCs/>
          <w:sz w:val="26"/>
          <w:szCs w:val="26"/>
        </w:rPr>
        <w:t>1. Introduction</w:t>
      </w:r>
    </w:p>
    <w:p w14:paraId="7795E113" w14:textId="77777777" w:rsidR="007E353D" w:rsidRDefault="00BC143E">
      <w:pPr>
        <w:spacing w:line="480" w:lineRule="auto"/>
      </w:pPr>
      <w:r>
        <w:rPr>
          <w:sz w:val="24"/>
          <w:szCs w:val="24"/>
        </w:rPr>
        <w:t xml:space="preserve">The fragility of global supply chains has become a defining operational challenge of the 2020s. The COVID-19 pandemic, the Red Sea shipping crisis, escalating trade tensions between major economic blocs, and the accelerating frequency of extreme weather events have collectively exposed the inadequacy of reactive, siloed procurement intelligence. </w:t>
      </w:r>
      <w:proofErr w:type="spellStart"/>
      <w:r>
        <w:rPr>
          <w:sz w:val="24"/>
          <w:szCs w:val="24"/>
        </w:rPr>
        <w:t>Organisations</w:t>
      </w:r>
      <w:proofErr w:type="spellEnd"/>
      <w:r>
        <w:rPr>
          <w:sz w:val="24"/>
          <w:szCs w:val="24"/>
        </w:rPr>
        <w:t xml:space="preserve"> that rely on quarterly analyst reports, static supplier databases, and manually curated risk dashboards are structurally disadvantaged relative to the pace at which supply disruptions now evolve.</w:t>
      </w:r>
    </w:p>
    <w:p w14:paraId="7795E114" w14:textId="77777777" w:rsidR="007E353D" w:rsidRDefault="007E353D">
      <w:pPr>
        <w:spacing w:after="120"/>
      </w:pPr>
    </w:p>
    <w:p w14:paraId="7795E115" w14:textId="2D835A41" w:rsidR="007E353D" w:rsidRDefault="00BC143E">
      <w:pPr>
        <w:spacing w:line="480" w:lineRule="auto"/>
      </w:pPr>
      <w:r>
        <w:rPr>
          <w:sz w:val="24"/>
          <w:szCs w:val="24"/>
        </w:rPr>
        <w:t xml:space="preserve">Contemporary enterprise procurement platforms, including SAP Ariba, Coupa, and Jaggaer, provide workflow automation and spend analytics but offer limited capability for real-time geopolitical or commodity risk assessment. </w:t>
      </w:r>
      <w:r w:rsidR="009301E7">
        <w:rPr>
          <w:sz w:val="24"/>
          <w:szCs w:val="24"/>
        </w:rPr>
        <w:t>Specialized</w:t>
      </w:r>
      <w:r>
        <w:rPr>
          <w:sz w:val="24"/>
          <w:szCs w:val="24"/>
        </w:rPr>
        <w:t xml:space="preserve"> risk platforms such as Resilinc and Everstream Analytics provide supplier-level risk monitoring but require extensive onboarding, carry enterprise licensing costs, and do not expose the underlying data signals that analysts need for ad-hoc sourcing decisions.</w:t>
      </w:r>
    </w:p>
    <w:p w14:paraId="7795E116" w14:textId="77777777" w:rsidR="007E353D" w:rsidRDefault="007E353D">
      <w:pPr>
        <w:spacing w:after="120"/>
      </w:pPr>
    </w:p>
    <w:p w14:paraId="7795E117" w14:textId="77777777" w:rsidR="007E353D" w:rsidRDefault="00BC143E">
      <w:pPr>
        <w:spacing w:line="480" w:lineRule="auto"/>
      </w:pPr>
      <w:r>
        <w:rPr>
          <w:sz w:val="24"/>
          <w:szCs w:val="24"/>
        </w:rPr>
        <w:t xml:space="preserve">The emergence of large language models (LLMs) capable of structured reasoning, and the proliferation of high-quality public and commercial APIs covering commodity markets, geopolitical events, and trade flows, creates an opportunity to construct a new class of procurement intelligence tool: one that is agentic in its data gathering, real-time </w:t>
      </w:r>
      <w:r>
        <w:rPr>
          <w:sz w:val="24"/>
          <w:szCs w:val="24"/>
        </w:rPr>
        <w:lastRenderedPageBreak/>
        <w:t>in its signal processing, and accessible to procurement teams without enterprise IT infrastructure.</w:t>
      </w:r>
    </w:p>
    <w:p w14:paraId="7795E118" w14:textId="77777777" w:rsidR="007E353D" w:rsidRDefault="007E353D">
      <w:pPr>
        <w:spacing w:after="120"/>
      </w:pPr>
    </w:p>
    <w:p w14:paraId="7795E119" w14:textId="77777777" w:rsidR="007E353D" w:rsidRDefault="00BC143E">
      <w:pPr>
        <w:spacing w:line="480" w:lineRule="auto"/>
      </w:pPr>
      <w:r>
        <w:rPr>
          <w:sz w:val="24"/>
          <w:szCs w:val="24"/>
        </w:rPr>
        <w:t>This paper makes the following contributions:</w:t>
      </w:r>
    </w:p>
    <w:p w14:paraId="7795E11A" w14:textId="1BEA9E99" w:rsidR="007E353D" w:rsidRDefault="00BC143E">
      <w:pPr>
        <w:pStyle w:val="ListParagraph"/>
        <w:numPr>
          <w:ilvl w:val="0"/>
          <w:numId w:val="1"/>
        </w:numPr>
        <w:spacing w:after="100" w:line="480" w:lineRule="auto"/>
      </w:pPr>
      <w:r>
        <w:rPr>
          <w:sz w:val="24"/>
          <w:szCs w:val="24"/>
        </w:rPr>
        <w:t xml:space="preserve">We define and implement an agentic supply chain intelligence architecture that decomposes procurement intelligence into </w:t>
      </w:r>
      <w:r w:rsidR="00EA69FF">
        <w:rPr>
          <w:sz w:val="24"/>
          <w:szCs w:val="24"/>
        </w:rPr>
        <w:t>specialized</w:t>
      </w:r>
      <w:r>
        <w:rPr>
          <w:sz w:val="24"/>
          <w:szCs w:val="24"/>
        </w:rPr>
        <w:t xml:space="preserve"> API agents coordinated by a central reasoning layer.</w:t>
      </w:r>
    </w:p>
    <w:p w14:paraId="7795E11B" w14:textId="77777777" w:rsidR="007E353D" w:rsidRDefault="00BC143E">
      <w:pPr>
        <w:pStyle w:val="ListParagraph"/>
        <w:numPr>
          <w:ilvl w:val="0"/>
          <w:numId w:val="1"/>
        </w:numPr>
        <w:spacing w:after="100" w:line="480" w:lineRule="auto"/>
      </w:pPr>
      <w:r>
        <w:rPr>
          <w:sz w:val="24"/>
          <w:szCs w:val="24"/>
        </w:rPr>
        <w:t>We describe a multi-source risk fusion methodology that combines geophysical, geopolitical, financial, and trade signals into a unified risk representation.</w:t>
      </w:r>
    </w:p>
    <w:p w14:paraId="7795E11C" w14:textId="48ED0C24" w:rsidR="007E353D" w:rsidRDefault="00BC143E">
      <w:pPr>
        <w:pStyle w:val="ListParagraph"/>
        <w:numPr>
          <w:ilvl w:val="0"/>
          <w:numId w:val="1"/>
        </w:numPr>
        <w:spacing w:after="100" w:line="480" w:lineRule="auto"/>
      </w:pPr>
      <w:r>
        <w:rPr>
          <w:sz w:val="24"/>
          <w:szCs w:val="24"/>
        </w:rPr>
        <w:t xml:space="preserve">We present NAUTILUS </w:t>
      </w:r>
      <w:proofErr w:type="gramStart"/>
      <w:r>
        <w:rPr>
          <w:sz w:val="24"/>
          <w:szCs w:val="24"/>
        </w:rPr>
        <w:t>Terminal,</w:t>
      </w:r>
      <w:proofErr w:type="gramEnd"/>
      <w:r>
        <w:rPr>
          <w:sz w:val="24"/>
          <w:szCs w:val="24"/>
        </w:rPr>
        <w:t xml:space="preserve"> a working implementation deployed at production </w:t>
      </w:r>
      <w:r w:rsidR="00EA69FF">
        <w:rPr>
          <w:sz w:val="24"/>
          <w:szCs w:val="24"/>
        </w:rPr>
        <w:t>scale and</w:t>
      </w:r>
      <w:r>
        <w:rPr>
          <w:sz w:val="24"/>
          <w:szCs w:val="24"/>
        </w:rPr>
        <w:t xml:space="preserve"> evaluate its performance across 40 procurement scenarios.</w:t>
      </w:r>
    </w:p>
    <w:p w14:paraId="7795E11D" w14:textId="77777777" w:rsidR="007E353D" w:rsidRDefault="00BC143E">
      <w:pPr>
        <w:pStyle w:val="ListParagraph"/>
        <w:numPr>
          <w:ilvl w:val="0"/>
          <w:numId w:val="1"/>
        </w:numPr>
        <w:spacing w:after="100" w:line="480" w:lineRule="auto"/>
      </w:pPr>
      <w:r>
        <w:rPr>
          <w:sz w:val="24"/>
          <w:szCs w:val="24"/>
        </w:rPr>
        <w:t>We discuss the design trade-offs involved in building real-time intelligence systems on heterogeneous public APIs, including reliability, latency, and data quality considerations.</w:t>
      </w:r>
    </w:p>
    <w:p w14:paraId="7795E11E" w14:textId="77777777" w:rsidR="007E353D" w:rsidRDefault="007E353D">
      <w:pPr>
        <w:spacing w:after="120"/>
      </w:pPr>
    </w:p>
    <w:p w14:paraId="7795E11F" w14:textId="77777777" w:rsidR="007E353D" w:rsidRDefault="00BC143E">
      <w:pPr>
        <w:spacing w:before="280" w:after="120" w:line="480" w:lineRule="auto"/>
      </w:pPr>
      <w:r>
        <w:rPr>
          <w:b/>
          <w:bCs/>
          <w:sz w:val="26"/>
          <w:szCs w:val="26"/>
        </w:rPr>
        <w:t>2. Related Work</w:t>
      </w:r>
    </w:p>
    <w:p w14:paraId="7795E120" w14:textId="77777777" w:rsidR="007E353D" w:rsidRDefault="00BC143E">
      <w:pPr>
        <w:spacing w:before="200" w:after="80" w:line="480" w:lineRule="auto"/>
      </w:pPr>
      <w:r>
        <w:rPr>
          <w:b/>
          <w:bCs/>
          <w:i/>
          <w:iCs/>
          <w:sz w:val="24"/>
          <w:szCs w:val="24"/>
        </w:rPr>
        <w:t>2.1 Supply Chain Risk Management Systems</w:t>
      </w:r>
    </w:p>
    <w:p w14:paraId="7795E121" w14:textId="0F9C87EA" w:rsidR="007E353D" w:rsidRDefault="00BC143E">
      <w:pPr>
        <w:spacing w:line="480" w:lineRule="auto"/>
      </w:pPr>
      <w:r>
        <w:rPr>
          <w:sz w:val="24"/>
          <w:szCs w:val="24"/>
        </w:rPr>
        <w:t xml:space="preserve">Supply chain risk management (SCRM) has been extensively studied in the operations research literature [1, 2, 3]. Traditional frameworks </w:t>
      </w:r>
      <w:r w:rsidR="00EA69FF">
        <w:rPr>
          <w:sz w:val="24"/>
          <w:szCs w:val="24"/>
        </w:rPr>
        <w:t>categor</w:t>
      </w:r>
      <w:r w:rsidR="00FA2804">
        <w:rPr>
          <w:sz w:val="24"/>
          <w:szCs w:val="24"/>
        </w:rPr>
        <w:t>ize</w:t>
      </w:r>
      <w:r>
        <w:rPr>
          <w:sz w:val="24"/>
          <w:szCs w:val="24"/>
        </w:rPr>
        <w:t xml:space="preserve"> risk across supply-side (supplier failure, capacity constraints), demand-side (forecast error, demand volatility), and environmental (natural disasters, geopolitical) dimensions. However, the translation of these frameworks into operational software has historically been limited by data availability and integration complexity.</w:t>
      </w:r>
    </w:p>
    <w:p w14:paraId="7795E122" w14:textId="77777777" w:rsidR="007E353D" w:rsidRDefault="007E353D">
      <w:pPr>
        <w:spacing w:after="120"/>
      </w:pPr>
    </w:p>
    <w:p w14:paraId="7795E123" w14:textId="77777777" w:rsidR="007E353D" w:rsidRDefault="00BC143E">
      <w:pPr>
        <w:spacing w:line="480" w:lineRule="auto"/>
      </w:pPr>
      <w:r>
        <w:rPr>
          <w:sz w:val="24"/>
          <w:szCs w:val="24"/>
        </w:rPr>
        <w:t xml:space="preserve">Recent work has explored data-driven approaches to supply chain risk. </w:t>
      </w:r>
      <w:proofErr w:type="spellStart"/>
      <w:r>
        <w:rPr>
          <w:sz w:val="24"/>
          <w:szCs w:val="24"/>
        </w:rPr>
        <w:t>Brintrup</w:t>
      </w:r>
      <w:proofErr w:type="spellEnd"/>
      <w:r>
        <w:rPr>
          <w:sz w:val="24"/>
          <w:szCs w:val="24"/>
        </w:rPr>
        <w:t xml:space="preserve"> et al. [4] demonstrated graph neural network approaches to supply chain mapping from corporate filing data. Ivanov and </w:t>
      </w:r>
      <w:proofErr w:type="spellStart"/>
      <w:r>
        <w:rPr>
          <w:sz w:val="24"/>
          <w:szCs w:val="24"/>
        </w:rPr>
        <w:t>Dolgui</w:t>
      </w:r>
      <w:proofErr w:type="spellEnd"/>
      <w:r>
        <w:rPr>
          <w:sz w:val="24"/>
          <w:szCs w:val="24"/>
        </w:rPr>
        <w:t xml:space="preserve"> [5] proposed ripple effect models for disruption propagation across supply network tiers. Neither approach addresses real-time signal integration or procurement decision support at the point of sourcing.</w:t>
      </w:r>
    </w:p>
    <w:p w14:paraId="7795E124" w14:textId="77777777" w:rsidR="007E353D" w:rsidRDefault="007E353D">
      <w:pPr>
        <w:spacing w:after="120"/>
      </w:pPr>
    </w:p>
    <w:p w14:paraId="7795E125" w14:textId="77777777" w:rsidR="007E353D" w:rsidRDefault="00BC143E">
      <w:pPr>
        <w:spacing w:before="200" w:after="80" w:line="480" w:lineRule="auto"/>
      </w:pPr>
      <w:r>
        <w:rPr>
          <w:b/>
          <w:bCs/>
          <w:i/>
          <w:iCs/>
          <w:sz w:val="24"/>
          <w:szCs w:val="24"/>
        </w:rPr>
        <w:t>2.2 Agentic AI Systems</w:t>
      </w:r>
    </w:p>
    <w:p w14:paraId="7795E126" w14:textId="77777777" w:rsidR="007E353D" w:rsidRDefault="00BC143E">
      <w:pPr>
        <w:spacing w:line="480" w:lineRule="auto"/>
      </w:pPr>
      <w:r>
        <w:rPr>
          <w:sz w:val="24"/>
          <w:szCs w:val="24"/>
        </w:rPr>
        <w:t xml:space="preserve">The concept of LLM-based agents, in which language models act as orchestrators of tool use and multi-step reasoning, has advanced rapidly since the introduction of </w:t>
      </w:r>
      <w:proofErr w:type="spellStart"/>
      <w:r>
        <w:rPr>
          <w:sz w:val="24"/>
          <w:szCs w:val="24"/>
        </w:rPr>
        <w:t>ReAct</w:t>
      </w:r>
      <w:proofErr w:type="spellEnd"/>
      <w:r>
        <w:rPr>
          <w:sz w:val="24"/>
          <w:szCs w:val="24"/>
        </w:rPr>
        <w:t xml:space="preserve"> [6] and </w:t>
      </w:r>
      <w:proofErr w:type="spellStart"/>
      <w:r>
        <w:rPr>
          <w:sz w:val="24"/>
          <w:szCs w:val="24"/>
        </w:rPr>
        <w:t>Toolformer</w:t>
      </w:r>
      <w:proofErr w:type="spellEnd"/>
      <w:r>
        <w:rPr>
          <w:sz w:val="24"/>
          <w:szCs w:val="24"/>
        </w:rPr>
        <w:t xml:space="preserve"> [7]. Multi-agent frameworks including </w:t>
      </w:r>
      <w:proofErr w:type="spellStart"/>
      <w:r>
        <w:rPr>
          <w:sz w:val="24"/>
          <w:szCs w:val="24"/>
        </w:rPr>
        <w:t>LangChain</w:t>
      </w:r>
      <w:proofErr w:type="spellEnd"/>
      <w:r>
        <w:rPr>
          <w:sz w:val="24"/>
          <w:szCs w:val="24"/>
        </w:rPr>
        <w:t xml:space="preserve"> and the Anthropic Agent SDK have demonstrated that compositional agent architectures can solve complex tasks requiring heterogeneous tool use.</w:t>
      </w:r>
    </w:p>
    <w:p w14:paraId="7795E127" w14:textId="77777777" w:rsidR="007E353D" w:rsidRDefault="007E353D">
      <w:pPr>
        <w:spacing w:after="120"/>
      </w:pPr>
    </w:p>
    <w:p w14:paraId="7795E128" w14:textId="77777777" w:rsidR="007E353D" w:rsidRDefault="00BC143E">
      <w:pPr>
        <w:spacing w:line="480" w:lineRule="auto"/>
      </w:pPr>
      <w:r>
        <w:rPr>
          <w:sz w:val="24"/>
          <w:szCs w:val="24"/>
        </w:rPr>
        <w:t xml:space="preserve">Applications of agentic AI to enterprise workflows have appeared in software engineering, customer support, and financial analysis. Supply chain applications remain nascent; </w:t>
      </w:r>
      <w:proofErr w:type="spellStart"/>
      <w:r>
        <w:rPr>
          <w:sz w:val="24"/>
          <w:szCs w:val="24"/>
        </w:rPr>
        <w:t>Toorajipour</w:t>
      </w:r>
      <w:proofErr w:type="spellEnd"/>
      <w:r>
        <w:rPr>
          <w:sz w:val="24"/>
          <w:szCs w:val="24"/>
        </w:rPr>
        <w:t xml:space="preserve"> et al. [8] surveyed AI applications in supply chain management and identified a gap in real-time, LLM-mediated decision support systems.</w:t>
      </w:r>
    </w:p>
    <w:p w14:paraId="7795E129" w14:textId="77777777" w:rsidR="007E353D" w:rsidRDefault="007E353D">
      <w:pPr>
        <w:spacing w:after="120"/>
      </w:pPr>
    </w:p>
    <w:p w14:paraId="7795E12A" w14:textId="77777777" w:rsidR="007E353D" w:rsidRDefault="00BC143E">
      <w:pPr>
        <w:spacing w:before="200" w:after="80" w:line="480" w:lineRule="auto"/>
      </w:pPr>
      <w:r>
        <w:rPr>
          <w:b/>
          <w:bCs/>
          <w:i/>
          <w:iCs/>
          <w:sz w:val="24"/>
          <w:szCs w:val="24"/>
        </w:rPr>
        <w:t>2.3 Procurement Intelligence Tools</w:t>
      </w:r>
    </w:p>
    <w:p w14:paraId="7795E12B" w14:textId="759C82E9" w:rsidR="007E353D" w:rsidRDefault="00BC143E">
      <w:pPr>
        <w:spacing w:line="480" w:lineRule="auto"/>
      </w:pPr>
      <w:r>
        <w:rPr>
          <w:sz w:val="24"/>
          <w:szCs w:val="24"/>
        </w:rPr>
        <w:t xml:space="preserve">Commercial procurement intelligence tools may be broadly </w:t>
      </w:r>
      <w:r w:rsidR="00FA2804">
        <w:rPr>
          <w:sz w:val="24"/>
          <w:szCs w:val="24"/>
        </w:rPr>
        <w:t>categorized</w:t>
      </w:r>
      <w:r>
        <w:rPr>
          <w:sz w:val="24"/>
          <w:szCs w:val="24"/>
        </w:rPr>
        <w:t xml:space="preserve"> as: spend analytics platforms (Coupa, Jaggaer), supplier risk monitors (Resilinc, Everstream), commodity price terminals (Bloomberg, Refinitiv), and trade compliance tools (Thomson Reuters ONESOURCE, Amber Road). These tools operate in isolation and require </w:t>
      </w:r>
      <w:r>
        <w:rPr>
          <w:sz w:val="24"/>
          <w:szCs w:val="24"/>
        </w:rPr>
        <w:lastRenderedPageBreak/>
        <w:t xml:space="preserve">significant </w:t>
      </w:r>
      <w:r w:rsidR="00FA2804">
        <w:rPr>
          <w:sz w:val="24"/>
          <w:szCs w:val="24"/>
        </w:rPr>
        <w:t>integration,</w:t>
      </w:r>
      <w:r>
        <w:rPr>
          <w:sz w:val="24"/>
          <w:szCs w:val="24"/>
        </w:rPr>
        <w:t xml:space="preserve"> effort and licensing cost. NAUTILUS addresses this fragmentation through architectural unification of the underlying data signals.</w:t>
      </w:r>
    </w:p>
    <w:p w14:paraId="7795E12C" w14:textId="77777777" w:rsidR="007E353D" w:rsidRDefault="007E353D">
      <w:pPr>
        <w:spacing w:after="120"/>
      </w:pPr>
    </w:p>
    <w:p w14:paraId="7795E12D" w14:textId="77777777" w:rsidR="007E353D" w:rsidRDefault="00BC143E">
      <w:pPr>
        <w:spacing w:before="280" w:after="120" w:line="480" w:lineRule="auto"/>
      </w:pPr>
      <w:r>
        <w:rPr>
          <w:b/>
          <w:bCs/>
          <w:sz w:val="26"/>
          <w:szCs w:val="26"/>
        </w:rPr>
        <w:t>3. System Architecture</w:t>
      </w:r>
    </w:p>
    <w:p w14:paraId="7795E12E" w14:textId="1F11037A" w:rsidR="007E353D" w:rsidRDefault="00BC143E">
      <w:pPr>
        <w:spacing w:line="480" w:lineRule="auto"/>
      </w:pPr>
      <w:r>
        <w:rPr>
          <w:sz w:val="24"/>
          <w:szCs w:val="24"/>
        </w:rPr>
        <w:t xml:space="preserve">NAUTILUS Terminal is built on a layered agentic architecture comprising four strata: (1) a data ingestion layer of </w:t>
      </w:r>
      <w:r w:rsidR="00FA2804">
        <w:rPr>
          <w:sz w:val="24"/>
          <w:szCs w:val="24"/>
        </w:rPr>
        <w:t>specialized</w:t>
      </w:r>
      <w:r>
        <w:rPr>
          <w:sz w:val="24"/>
          <w:szCs w:val="24"/>
        </w:rPr>
        <w:t xml:space="preserve"> API agents, (2) a risk fusion and synthesis layer, (3) an LLM reasoning layer, and (4) a presentation layer.</w:t>
      </w:r>
    </w:p>
    <w:p w14:paraId="7795E12F" w14:textId="77777777" w:rsidR="007E353D" w:rsidRDefault="007E353D">
      <w:pPr>
        <w:spacing w:after="120"/>
      </w:pPr>
    </w:p>
    <w:p w14:paraId="7795E130" w14:textId="77777777" w:rsidR="007E353D" w:rsidRDefault="00BC143E">
      <w:pPr>
        <w:spacing w:before="200" w:after="80" w:line="480" w:lineRule="auto"/>
      </w:pPr>
      <w:r>
        <w:rPr>
          <w:b/>
          <w:bCs/>
          <w:i/>
          <w:iCs/>
          <w:sz w:val="24"/>
          <w:szCs w:val="24"/>
        </w:rPr>
        <w:t>3.1 Data Ingestion Agents</w:t>
      </w:r>
    </w:p>
    <w:p w14:paraId="7795E131" w14:textId="423222E7" w:rsidR="007E353D" w:rsidRDefault="00BC143E">
      <w:pPr>
        <w:spacing w:line="480" w:lineRule="auto"/>
      </w:pPr>
      <w:r>
        <w:rPr>
          <w:sz w:val="24"/>
          <w:szCs w:val="24"/>
        </w:rPr>
        <w:t xml:space="preserve">Each data domain is handled by a dedicated Next.js API route acting as an autonomous agent. Agents are stateless, independently cacheable, and expose a </w:t>
      </w:r>
      <w:r w:rsidR="00FA2804">
        <w:rPr>
          <w:sz w:val="24"/>
          <w:szCs w:val="24"/>
        </w:rPr>
        <w:t>normalized</w:t>
      </w:r>
      <w:r>
        <w:rPr>
          <w:sz w:val="24"/>
          <w:szCs w:val="24"/>
        </w:rPr>
        <w:t xml:space="preserve"> JSON schema regardless of upstream API variation. Seven agents are currently deployed.</w:t>
      </w:r>
    </w:p>
    <w:p w14:paraId="7795E132" w14:textId="77777777" w:rsidR="007E353D" w:rsidRDefault="007E353D">
      <w:pPr>
        <w:spacing w:after="120"/>
      </w:pPr>
    </w:p>
    <w:p w14:paraId="7795E133" w14:textId="77777777" w:rsidR="007E353D" w:rsidRDefault="00BC143E">
      <w:pPr>
        <w:spacing w:line="480" w:lineRule="auto"/>
      </w:pPr>
      <w:r>
        <w:rPr>
          <w:sz w:val="24"/>
          <w:szCs w:val="24"/>
        </w:rPr>
        <w:t>Commodity Agent (/</w:t>
      </w:r>
      <w:proofErr w:type="spellStart"/>
      <w:r>
        <w:rPr>
          <w:sz w:val="24"/>
          <w:szCs w:val="24"/>
        </w:rPr>
        <w:t>api</w:t>
      </w:r>
      <w:proofErr w:type="spellEnd"/>
      <w:r>
        <w:rPr>
          <w:sz w:val="24"/>
          <w:szCs w:val="24"/>
        </w:rPr>
        <w:t xml:space="preserve">/commodities). Fetches live spot prices for ten commodities from Yahoo Finance, with automatic fallback to </w:t>
      </w:r>
      <w:proofErr w:type="spellStart"/>
      <w:r>
        <w:rPr>
          <w:sz w:val="24"/>
          <w:szCs w:val="24"/>
        </w:rPr>
        <w:t>Stooq</w:t>
      </w:r>
      <w:proofErr w:type="spellEnd"/>
      <w:r>
        <w:rPr>
          <w:sz w:val="24"/>
          <w:szCs w:val="24"/>
        </w:rPr>
        <w:t xml:space="preserve"> end-of-day data. Implements source quality classification (live, delayed, or reference) exposed as a quality field in the API response, enabling downstream consumers to weight data appropriately.</w:t>
      </w:r>
    </w:p>
    <w:p w14:paraId="7795E134" w14:textId="77777777" w:rsidR="007E353D" w:rsidRDefault="007E353D">
      <w:pPr>
        <w:spacing w:after="120"/>
      </w:pPr>
    </w:p>
    <w:p w14:paraId="7795E135" w14:textId="77DD4538" w:rsidR="007E353D" w:rsidRDefault="00BC143E">
      <w:pPr>
        <w:spacing w:line="480" w:lineRule="auto"/>
      </w:pPr>
      <w:r>
        <w:rPr>
          <w:sz w:val="24"/>
          <w:szCs w:val="24"/>
        </w:rPr>
        <w:t>Geopolitical Agent (/</w:t>
      </w:r>
      <w:proofErr w:type="spellStart"/>
      <w:r>
        <w:rPr>
          <w:sz w:val="24"/>
          <w:szCs w:val="24"/>
        </w:rPr>
        <w:t>api</w:t>
      </w:r>
      <w:proofErr w:type="spellEnd"/>
      <w:r>
        <w:rPr>
          <w:sz w:val="24"/>
          <w:szCs w:val="24"/>
        </w:rPr>
        <w:t xml:space="preserve">/incidents). Integrates the GDELT GEO 2.0 API, retrieving geo-tagged political violence, protests, and conflict events within a configurable time window. Events are </w:t>
      </w:r>
      <w:r w:rsidR="00FA2804">
        <w:rPr>
          <w:sz w:val="24"/>
          <w:szCs w:val="24"/>
        </w:rPr>
        <w:t>normalized</w:t>
      </w:r>
      <w:r>
        <w:rPr>
          <w:sz w:val="24"/>
          <w:szCs w:val="24"/>
        </w:rPr>
        <w:t xml:space="preserve"> to a four-level severity taxonomy (Critical, High, Medium, Low) based on event type and geographic supply-chain relevance.</w:t>
      </w:r>
    </w:p>
    <w:p w14:paraId="7795E136" w14:textId="77777777" w:rsidR="007E353D" w:rsidRDefault="007E353D">
      <w:pPr>
        <w:spacing w:after="120"/>
      </w:pPr>
    </w:p>
    <w:p w14:paraId="7795E137" w14:textId="4EFCFE6A" w:rsidR="007E353D" w:rsidRDefault="00BC143E">
      <w:pPr>
        <w:spacing w:line="480" w:lineRule="auto"/>
      </w:pPr>
      <w:r>
        <w:rPr>
          <w:sz w:val="24"/>
          <w:szCs w:val="24"/>
        </w:rPr>
        <w:lastRenderedPageBreak/>
        <w:t>Seismic Agent (/</w:t>
      </w:r>
      <w:r w:rsidR="00FA2804">
        <w:rPr>
          <w:sz w:val="24"/>
          <w:szCs w:val="24"/>
        </w:rPr>
        <w:t>Api</w:t>
      </w:r>
      <w:r>
        <w:rPr>
          <w:sz w:val="24"/>
          <w:szCs w:val="24"/>
        </w:rPr>
        <w:t xml:space="preserve">/earthquakes). </w:t>
      </w:r>
      <w:r w:rsidR="00FA2804">
        <w:rPr>
          <w:sz w:val="24"/>
          <w:szCs w:val="24"/>
        </w:rPr>
        <w:t>Queries on</w:t>
      </w:r>
      <w:r>
        <w:rPr>
          <w:sz w:val="24"/>
          <w:szCs w:val="24"/>
        </w:rPr>
        <w:t xml:space="preserve"> the USGS Earthquake Hazards API for seismic events above a configurable magnitude threshold. Severity mapping follows USGS ShakeMap intensity guidelines: M7.0 and above is Critical, M6.0 to 6.9 is High, M5.0 to 5.9 is Medium.</w:t>
      </w:r>
    </w:p>
    <w:p w14:paraId="7795E138" w14:textId="77777777" w:rsidR="007E353D" w:rsidRDefault="007E353D">
      <w:pPr>
        <w:spacing w:after="120"/>
      </w:pPr>
    </w:p>
    <w:p w14:paraId="7795E139" w14:textId="0950A2D7" w:rsidR="007E353D" w:rsidRDefault="00BC143E">
      <w:pPr>
        <w:spacing w:line="480" w:lineRule="auto"/>
      </w:pPr>
      <w:r>
        <w:rPr>
          <w:sz w:val="24"/>
          <w:szCs w:val="24"/>
        </w:rPr>
        <w:t>Wildfire Agent (/</w:t>
      </w:r>
      <w:r w:rsidR="00FA2804">
        <w:rPr>
          <w:sz w:val="24"/>
          <w:szCs w:val="24"/>
        </w:rPr>
        <w:t>Api</w:t>
      </w:r>
      <w:r>
        <w:rPr>
          <w:sz w:val="24"/>
          <w:szCs w:val="24"/>
        </w:rPr>
        <w:t xml:space="preserve">/wildfires). Integrates NASA FIRMS near-real-time fire detection data. Active fire perimeters within proximity </w:t>
      </w:r>
      <w:proofErr w:type="gramStart"/>
      <w:r>
        <w:rPr>
          <w:sz w:val="24"/>
          <w:szCs w:val="24"/>
        </w:rPr>
        <w:t>of</w:t>
      </w:r>
      <w:proofErr w:type="gramEnd"/>
      <w:r>
        <w:rPr>
          <w:sz w:val="24"/>
          <w:szCs w:val="24"/>
        </w:rPr>
        <w:t xml:space="preserve"> known industrial zones are flagged as supply chain risk events with geographic coordinates.</w:t>
      </w:r>
    </w:p>
    <w:p w14:paraId="7795E13A" w14:textId="77777777" w:rsidR="007E353D" w:rsidRDefault="007E353D">
      <w:pPr>
        <w:spacing w:after="120"/>
      </w:pPr>
    </w:p>
    <w:p w14:paraId="7795E13B" w14:textId="5BD25034" w:rsidR="007E353D" w:rsidRDefault="00BC143E">
      <w:pPr>
        <w:spacing w:line="480" w:lineRule="auto"/>
      </w:pPr>
      <w:r>
        <w:rPr>
          <w:sz w:val="24"/>
          <w:szCs w:val="24"/>
        </w:rPr>
        <w:t xml:space="preserve">Maritime </w:t>
      </w:r>
      <w:proofErr w:type="gramStart"/>
      <w:r>
        <w:rPr>
          <w:sz w:val="24"/>
          <w:szCs w:val="24"/>
        </w:rPr>
        <w:t>Agent (/</w:t>
      </w:r>
      <w:proofErr w:type="gramEnd"/>
      <w:r w:rsidR="00FA2804">
        <w:rPr>
          <w:sz w:val="24"/>
          <w:szCs w:val="24"/>
        </w:rPr>
        <w:t>Api</w:t>
      </w:r>
      <w:r>
        <w:rPr>
          <w:sz w:val="24"/>
          <w:szCs w:val="24"/>
        </w:rPr>
        <w:t>/ports). Monitors congestion and operational status across 26 major global container ports, with risk scoring derived from historical throughput data and real-time incident feeds.</w:t>
      </w:r>
    </w:p>
    <w:p w14:paraId="7795E13C" w14:textId="77777777" w:rsidR="007E353D" w:rsidRDefault="007E353D">
      <w:pPr>
        <w:spacing w:after="120"/>
      </w:pPr>
    </w:p>
    <w:p w14:paraId="7795E13D" w14:textId="122259BA" w:rsidR="007E353D" w:rsidRDefault="00BC143E">
      <w:pPr>
        <w:spacing w:line="480" w:lineRule="auto"/>
      </w:pPr>
      <w:r>
        <w:rPr>
          <w:sz w:val="24"/>
          <w:szCs w:val="24"/>
        </w:rPr>
        <w:t>FX Agent (/</w:t>
      </w:r>
      <w:r w:rsidR="00FA2804">
        <w:rPr>
          <w:sz w:val="24"/>
          <w:szCs w:val="24"/>
        </w:rPr>
        <w:t>Api</w:t>
      </w:r>
      <w:r>
        <w:rPr>
          <w:sz w:val="24"/>
          <w:szCs w:val="24"/>
        </w:rPr>
        <w:t>/</w:t>
      </w:r>
      <w:proofErr w:type="spellStart"/>
      <w:r>
        <w:rPr>
          <w:sz w:val="24"/>
          <w:szCs w:val="24"/>
        </w:rPr>
        <w:t>fx</w:t>
      </w:r>
      <w:proofErr w:type="spellEnd"/>
      <w:r>
        <w:rPr>
          <w:sz w:val="24"/>
          <w:szCs w:val="24"/>
        </w:rPr>
        <w:t xml:space="preserve">). Fetches live foreign exchange rates for 15 major procurement currency pairs, with </w:t>
      </w:r>
      <w:proofErr w:type="gramStart"/>
      <w:r>
        <w:rPr>
          <w:sz w:val="24"/>
          <w:szCs w:val="24"/>
        </w:rPr>
        <w:t>stale-data</w:t>
      </w:r>
      <w:proofErr w:type="gramEnd"/>
      <w:r>
        <w:rPr>
          <w:sz w:val="24"/>
          <w:szCs w:val="24"/>
        </w:rPr>
        <w:t xml:space="preserve"> detection and fallback to last-known rates. FX volatility is surfaced as a procurement cost risk factor within the compliance and cost panels.</w:t>
      </w:r>
    </w:p>
    <w:p w14:paraId="7795E13E" w14:textId="77777777" w:rsidR="007E353D" w:rsidRDefault="007E353D">
      <w:pPr>
        <w:spacing w:after="120"/>
      </w:pPr>
    </w:p>
    <w:p w14:paraId="7795E13F" w14:textId="77777777" w:rsidR="007E353D" w:rsidRDefault="00BC143E">
      <w:pPr>
        <w:spacing w:line="480" w:lineRule="auto"/>
      </w:pPr>
      <w:r>
        <w:rPr>
          <w:sz w:val="24"/>
          <w:szCs w:val="24"/>
        </w:rPr>
        <w:t>Intelligence Agent (/</w:t>
      </w:r>
      <w:proofErr w:type="spellStart"/>
      <w:r>
        <w:rPr>
          <w:sz w:val="24"/>
          <w:szCs w:val="24"/>
        </w:rPr>
        <w:t>api</w:t>
      </w:r>
      <w:proofErr w:type="spellEnd"/>
      <w:r>
        <w:rPr>
          <w:sz w:val="24"/>
          <w:szCs w:val="24"/>
        </w:rPr>
        <w:t xml:space="preserve">/intel). Aggregates supply chain-relevant news from </w:t>
      </w:r>
      <w:proofErr w:type="spellStart"/>
      <w:r>
        <w:rPr>
          <w:sz w:val="24"/>
          <w:szCs w:val="24"/>
        </w:rPr>
        <w:t>NewsAPI</w:t>
      </w:r>
      <w:proofErr w:type="spellEnd"/>
      <w:r>
        <w:rPr>
          <w:sz w:val="24"/>
          <w:szCs w:val="24"/>
        </w:rPr>
        <w:t>, filtered through keyword extraction derived from the active procurement query. Implements abort-controller-based request management to prevent stale responses contaminating current results.</w:t>
      </w:r>
    </w:p>
    <w:p w14:paraId="7795E140" w14:textId="77777777" w:rsidR="007E353D" w:rsidRDefault="007E353D">
      <w:pPr>
        <w:spacing w:after="120"/>
      </w:pPr>
    </w:p>
    <w:p w14:paraId="7795E141" w14:textId="77777777" w:rsidR="007E353D" w:rsidRDefault="00BC143E">
      <w:pPr>
        <w:spacing w:before="200" w:after="80" w:line="480" w:lineRule="auto"/>
      </w:pPr>
      <w:r>
        <w:rPr>
          <w:b/>
          <w:bCs/>
          <w:i/>
          <w:iCs/>
          <w:sz w:val="24"/>
          <w:szCs w:val="24"/>
        </w:rPr>
        <w:t>3.2 Risk Fusion and Synthesis Layer</w:t>
      </w:r>
    </w:p>
    <w:p w14:paraId="7795E142" w14:textId="77777777" w:rsidR="007E353D" w:rsidRDefault="00BC143E">
      <w:pPr>
        <w:spacing w:line="480" w:lineRule="auto"/>
      </w:pPr>
      <w:r>
        <w:rPr>
          <w:sz w:val="24"/>
          <w:szCs w:val="24"/>
        </w:rPr>
        <w:t xml:space="preserve">Raw agent outputs are merged in the client-side risk fusion layer, which implements a multi-dimensional risk taxonomy with five categories: geopolitical, commodity, logistics, </w:t>
      </w:r>
      <w:r>
        <w:rPr>
          <w:sz w:val="24"/>
          <w:szCs w:val="24"/>
        </w:rPr>
        <w:lastRenderedPageBreak/>
        <w:t>compliance, and environmental. Each risk entry carries a severity classification, a human-readable description, and a structured mitigation recommendation. Critical events from any agent propagate to the terminal's primary alert surface regardless of query context.</w:t>
      </w:r>
    </w:p>
    <w:p w14:paraId="7795E143" w14:textId="77777777" w:rsidR="007E353D" w:rsidRDefault="007E353D">
      <w:pPr>
        <w:spacing w:after="120"/>
      </w:pPr>
    </w:p>
    <w:p w14:paraId="7795E144" w14:textId="77777777" w:rsidR="007E353D" w:rsidRDefault="00BC143E">
      <w:pPr>
        <w:spacing w:before="200" w:after="80" w:line="480" w:lineRule="auto"/>
      </w:pPr>
      <w:r>
        <w:rPr>
          <w:b/>
          <w:bCs/>
          <w:i/>
          <w:iCs/>
          <w:sz w:val="24"/>
          <w:szCs w:val="24"/>
        </w:rPr>
        <w:t>3.3 LLM Reasoning Layer</w:t>
      </w:r>
    </w:p>
    <w:p w14:paraId="7795E145" w14:textId="77777777" w:rsidR="007E353D" w:rsidRDefault="00BC143E">
      <w:pPr>
        <w:spacing w:line="480" w:lineRule="auto"/>
      </w:pPr>
      <w:r>
        <w:rPr>
          <w:sz w:val="24"/>
          <w:szCs w:val="24"/>
        </w:rPr>
        <w:t>The central intelligence function is implemented in the /</w:t>
      </w:r>
      <w:proofErr w:type="spellStart"/>
      <w:r>
        <w:rPr>
          <w:sz w:val="24"/>
          <w:szCs w:val="24"/>
        </w:rPr>
        <w:t>api</w:t>
      </w:r>
      <w:proofErr w:type="spellEnd"/>
      <w:r>
        <w:rPr>
          <w:sz w:val="24"/>
          <w:szCs w:val="24"/>
        </w:rPr>
        <w:t>/analyze route, performing three distinct reasoning tasks.</w:t>
      </w:r>
    </w:p>
    <w:p w14:paraId="7795E146" w14:textId="77777777" w:rsidR="007E353D" w:rsidRDefault="007E353D">
      <w:pPr>
        <w:spacing w:after="120"/>
      </w:pPr>
    </w:p>
    <w:p w14:paraId="7795E147" w14:textId="77777777" w:rsidR="007E353D" w:rsidRDefault="00BC143E">
      <w:pPr>
        <w:spacing w:line="480" w:lineRule="auto"/>
      </w:pPr>
      <w:r>
        <w:rPr>
          <w:sz w:val="24"/>
          <w:szCs w:val="24"/>
        </w:rPr>
        <w:t>Category Classification. The system maintains a lexical signal map of 40 procurement categories, each defined by domain-specific keywords. Free-text procurement queries are classified using token overlap scoring, with confidence estimation to flag low-confidence matches for user review.</w:t>
      </w:r>
    </w:p>
    <w:p w14:paraId="7795E148" w14:textId="77777777" w:rsidR="007E353D" w:rsidRDefault="007E353D">
      <w:pPr>
        <w:spacing w:after="120"/>
      </w:pPr>
    </w:p>
    <w:p w14:paraId="7795E149" w14:textId="77777777" w:rsidR="007E353D" w:rsidRDefault="00BC143E">
      <w:pPr>
        <w:spacing w:line="480" w:lineRule="auto"/>
      </w:pPr>
      <w:r>
        <w:rPr>
          <w:sz w:val="24"/>
          <w:szCs w:val="24"/>
        </w:rPr>
        <w:t>Hub Recommendation. The sourcing hub knowledge base encodes 40 hub profiles containing geographic location, key partner companies, logistics parameters, customs and HTS classification data, ESG considerations, and risk descriptors. A weighted scoring function selects the optimal sourcing region. For each recommended hub, the system queries the UN Comtrade API to attach real trade flow data, providing empirical grounding for recommendations.</w:t>
      </w:r>
    </w:p>
    <w:p w14:paraId="7795E14A" w14:textId="77777777" w:rsidR="007E353D" w:rsidRDefault="007E353D">
      <w:pPr>
        <w:spacing w:after="120"/>
      </w:pPr>
    </w:p>
    <w:p w14:paraId="7795E14B" w14:textId="77777777" w:rsidR="007E353D" w:rsidRDefault="00BC143E">
      <w:pPr>
        <w:spacing w:line="480" w:lineRule="auto"/>
      </w:pPr>
      <w:r>
        <w:rPr>
          <w:sz w:val="24"/>
          <w:szCs w:val="24"/>
        </w:rPr>
        <w:t>Directive Generation. The system generates a structured sourcing directive comprising: the recommended sourcing region, primary partner recommendation, logistics route specification, tariff alert with HTS code and duty rate, and a natural-language strategic summary. This directive is produced deterministically from structured data, avoiding LLM hallucination risks.</w:t>
      </w:r>
    </w:p>
    <w:p w14:paraId="7795E14C" w14:textId="77777777" w:rsidR="007E353D" w:rsidRDefault="007E353D">
      <w:pPr>
        <w:spacing w:after="120"/>
      </w:pPr>
    </w:p>
    <w:p w14:paraId="7795E14D" w14:textId="77777777" w:rsidR="007E353D" w:rsidRDefault="00BC143E">
      <w:pPr>
        <w:spacing w:before="200" w:after="80" w:line="480" w:lineRule="auto"/>
      </w:pPr>
      <w:r>
        <w:rPr>
          <w:b/>
          <w:bCs/>
          <w:i/>
          <w:iCs/>
          <w:sz w:val="24"/>
          <w:szCs w:val="24"/>
        </w:rPr>
        <w:t>3.4 Supporting Analytical Modules</w:t>
      </w:r>
    </w:p>
    <w:p w14:paraId="7795E14E" w14:textId="77777777" w:rsidR="007E353D" w:rsidRDefault="00BC143E">
      <w:pPr>
        <w:spacing w:line="480" w:lineRule="auto"/>
      </w:pPr>
      <w:r>
        <w:rPr>
          <w:sz w:val="24"/>
          <w:szCs w:val="24"/>
        </w:rPr>
        <w:t>Beyond the core agentic pipeline, NAUTILUS exposes eleven analytical modules: HS Code Lookup, Total Landed Cost Calculator, Supplier Comparison, Incoterms 2020 Guide, Compliance Checklist, Sanctions Checker, Ocean Freight Spot Rates, FTA Eligibility Checker, Tariff Calculator (with Section 301 and Section 232 surcharge overlays), FX Impact Calculator, and a Dual-Use Goods Checker for export control classification.</w:t>
      </w:r>
    </w:p>
    <w:p w14:paraId="7795E14F" w14:textId="77777777" w:rsidR="007E353D" w:rsidRDefault="007E353D">
      <w:pPr>
        <w:spacing w:after="120"/>
      </w:pPr>
    </w:p>
    <w:p w14:paraId="7795E150" w14:textId="77777777" w:rsidR="007E353D" w:rsidRDefault="00BC143E">
      <w:pPr>
        <w:spacing w:before="280" w:after="120" w:line="480" w:lineRule="auto"/>
      </w:pPr>
      <w:r>
        <w:rPr>
          <w:b/>
          <w:bCs/>
          <w:sz w:val="26"/>
          <w:szCs w:val="26"/>
        </w:rPr>
        <w:t>4. Implementation</w:t>
      </w:r>
    </w:p>
    <w:p w14:paraId="7795E151" w14:textId="77777777" w:rsidR="007E353D" w:rsidRDefault="00BC143E">
      <w:pPr>
        <w:spacing w:before="200" w:after="80" w:line="480" w:lineRule="auto"/>
      </w:pPr>
      <w:r>
        <w:rPr>
          <w:b/>
          <w:bCs/>
          <w:i/>
          <w:iCs/>
          <w:sz w:val="24"/>
          <w:szCs w:val="24"/>
        </w:rPr>
        <w:t>4.1 Technology Stack</w:t>
      </w:r>
    </w:p>
    <w:p w14:paraId="7795E152" w14:textId="77777777" w:rsidR="007E353D" w:rsidRDefault="00BC143E">
      <w:pPr>
        <w:spacing w:line="480" w:lineRule="auto"/>
      </w:pPr>
      <w:r>
        <w:rPr>
          <w:sz w:val="24"/>
          <w:szCs w:val="24"/>
        </w:rPr>
        <w:t xml:space="preserve">NAUTILUS Terminal is implemented as a Next.js 14 application using the App Router architecture. The choice of a unified full-stack JavaScript framework collocates API agent logic with the presentation layer, eliminates cross-origin complexity, and enables edge deployment via </w:t>
      </w:r>
      <w:proofErr w:type="spellStart"/>
      <w:r>
        <w:rPr>
          <w:sz w:val="24"/>
          <w:szCs w:val="24"/>
        </w:rPr>
        <w:t>Vercel's</w:t>
      </w:r>
      <w:proofErr w:type="spellEnd"/>
      <w:r>
        <w:rPr>
          <w:sz w:val="24"/>
          <w:szCs w:val="24"/>
        </w:rPr>
        <w:t xml:space="preserve"> serverless infrastructure. Table 1 </w:t>
      </w:r>
      <w:proofErr w:type="spellStart"/>
      <w:r>
        <w:rPr>
          <w:sz w:val="24"/>
          <w:szCs w:val="24"/>
        </w:rPr>
        <w:t>summarises</w:t>
      </w:r>
      <w:proofErr w:type="spellEnd"/>
      <w:r>
        <w:rPr>
          <w:sz w:val="24"/>
          <w:szCs w:val="24"/>
        </w:rPr>
        <w:t xml:space="preserve"> the technology stack.</w:t>
      </w:r>
    </w:p>
    <w:p w14:paraId="7795E153" w14:textId="77777777" w:rsidR="007E353D" w:rsidRDefault="007E353D">
      <w:pPr>
        <w:spacing w:after="120"/>
      </w:pPr>
    </w:p>
    <w:p w14:paraId="7795E154" w14:textId="77777777" w:rsidR="007E353D" w:rsidRDefault="00BC143E">
      <w:pPr>
        <w:spacing w:before="80" w:after="160"/>
        <w:jc w:val="center"/>
      </w:pPr>
      <w:r>
        <w:rPr>
          <w:i/>
          <w:iCs/>
          <w:sz w:val="24"/>
          <w:szCs w:val="24"/>
        </w:rPr>
        <w:t>Table 1: NAUTILUS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5"/>
        <w:gridCol w:w="5715"/>
      </w:tblGrid>
      <w:tr w:rsidR="007E353D" w14:paraId="7795E157" w14:textId="77777777">
        <w:tblPrEx>
          <w:tblCellMar>
            <w:top w:w="0" w:type="dxa"/>
            <w:bottom w:w="0" w:type="dxa"/>
          </w:tblCellMar>
        </w:tblPrEx>
        <w:tc>
          <w:tcPr>
            <w:tcW w:w="0" w:type="auto"/>
            <w:shd w:val="clear" w:color="auto" w:fill="D9D9D9"/>
            <w:tcMar>
              <w:top w:w="60" w:type="dxa"/>
              <w:left w:w="100" w:type="dxa"/>
              <w:bottom w:w="60" w:type="dxa"/>
              <w:right w:w="100" w:type="dxa"/>
            </w:tcMar>
          </w:tcPr>
          <w:p w14:paraId="7795E155" w14:textId="77777777" w:rsidR="007E353D" w:rsidRDefault="00BC143E">
            <w:pPr>
              <w:spacing w:before="60" w:after="60"/>
            </w:pPr>
            <w:r>
              <w:rPr>
                <w:b/>
                <w:bCs/>
              </w:rPr>
              <w:t>Component</w:t>
            </w:r>
          </w:p>
        </w:tc>
        <w:tc>
          <w:tcPr>
            <w:tcW w:w="0" w:type="auto"/>
            <w:shd w:val="clear" w:color="auto" w:fill="D9D9D9"/>
            <w:tcMar>
              <w:top w:w="60" w:type="dxa"/>
              <w:left w:w="100" w:type="dxa"/>
              <w:bottom w:w="60" w:type="dxa"/>
              <w:right w:w="100" w:type="dxa"/>
            </w:tcMar>
          </w:tcPr>
          <w:p w14:paraId="7795E156" w14:textId="77777777" w:rsidR="007E353D" w:rsidRDefault="00BC143E">
            <w:pPr>
              <w:spacing w:before="60" w:after="60"/>
            </w:pPr>
            <w:r>
              <w:rPr>
                <w:b/>
                <w:bCs/>
              </w:rPr>
              <w:t>Technology</w:t>
            </w:r>
          </w:p>
        </w:tc>
      </w:tr>
      <w:tr w:rsidR="007E353D" w14:paraId="7795E15A" w14:textId="77777777">
        <w:tblPrEx>
          <w:tblCellMar>
            <w:top w:w="0" w:type="dxa"/>
            <w:bottom w:w="0" w:type="dxa"/>
          </w:tblCellMar>
        </w:tblPrEx>
        <w:tc>
          <w:tcPr>
            <w:tcW w:w="0" w:type="auto"/>
            <w:tcMar>
              <w:top w:w="60" w:type="dxa"/>
              <w:left w:w="100" w:type="dxa"/>
              <w:bottom w:w="60" w:type="dxa"/>
              <w:right w:w="100" w:type="dxa"/>
            </w:tcMar>
          </w:tcPr>
          <w:p w14:paraId="7795E158" w14:textId="77777777" w:rsidR="007E353D" w:rsidRDefault="00BC143E">
            <w:pPr>
              <w:spacing w:before="60" w:after="60"/>
            </w:pPr>
            <w:r>
              <w:t>Application Framework</w:t>
            </w:r>
          </w:p>
        </w:tc>
        <w:tc>
          <w:tcPr>
            <w:tcW w:w="0" w:type="auto"/>
            <w:tcMar>
              <w:top w:w="60" w:type="dxa"/>
              <w:left w:w="100" w:type="dxa"/>
              <w:bottom w:w="60" w:type="dxa"/>
              <w:right w:w="100" w:type="dxa"/>
            </w:tcMar>
          </w:tcPr>
          <w:p w14:paraId="7795E159" w14:textId="77777777" w:rsidR="007E353D" w:rsidRDefault="00BC143E">
            <w:pPr>
              <w:spacing w:before="60" w:after="60"/>
            </w:pPr>
            <w:r>
              <w:t>Next.js 14 (App Router)</w:t>
            </w:r>
          </w:p>
        </w:tc>
      </w:tr>
      <w:tr w:rsidR="007E353D" w14:paraId="7795E15D" w14:textId="77777777">
        <w:tblPrEx>
          <w:tblCellMar>
            <w:top w:w="0" w:type="dxa"/>
            <w:bottom w:w="0" w:type="dxa"/>
          </w:tblCellMar>
        </w:tblPrEx>
        <w:tc>
          <w:tcPr>
            <w:tcW w:w="0" w:type="auto"/>
            <w:tcMar>
              <w:top w:w="60" w:type="dxa"/>
              <w:left w:w="100" w:type="dxa"/>
              <w:bottom w:w="60" w:type="dxa"/>
              <w:right w:w="100" w:type="dxa"/>
            </w:tcMar>
          </w:tcPr>
          <w:p w14:paraId="7795E15B" w14:textId="77777777" w:rsidR="007E353D" w:rsidRDefault="00BC143E">
            <w:pPr>
              <w:spacing w:before="60" w:after="60"/>
            </w:pPr>
            <w:r>
              <w:t>Rendering</w:t>
            </w:r>
          </w:p>
        </w:tc>
        <w:tc>
          <w:tcPr>
            <w:tcW w:w="0" w:type="auto"/>
            <w:tcMar>
              <w:top w:w="60" w:type="dxa"/>
              <w:left w:w="100" w:type="dxa"/>
              <w:bottom w:w="60" w:type="dxa"/>
              <w:right w:w="100" w:type="dxa"/>
            </w:tcMar>
          </w:tcPr>
          <w:p w14:paraId="7795E15C" w14:textId="77777777" w:rsidR="007E353D" w:rsidRDefault="00BC143E">
            <w:pPr>
              <w:spacing w:before="60" w:after="60"/>
            </w:pPr>
            <w:r>
              <w:t>React 18 with client/server component split</w:t>
            </w:r>
          </w:p>
        </w:tc>
      </w:tr>
      <w:tr w:rsidR="007E353D" w14:paraId="7795E160" w14:textId="77777777">
        <w:tblPrEx>
          <w:tblCellMar>
            <w:top w:w="0" w:type="dxa"/>
            <w:bottom w:w="0" w:type="dxa"/>
          </w:tblCellMar>
        </w:tblPrEx>
        <w:tc>
          <w:tcPr>
            <w:tcW w:w="0" w:type="auto"/>
            <w:tcMar>
              <w:top w:w="60" w:type="dxa"/>
              <w:left w:w="100" w:type="dxa"/>
              <w:bottom w:w="60" w:type="dxa"/>
              <w:right w:w="100" w:type="dxa"/>
            </w:tcMar>
          </w:tcPr>
          <w:p w14:paraId="7795E15E" w14:textId="77777777" w:rsidR="007E353D" w:rsidRDefault="00BC143E">
            <w:pPr>
              <w:spacing w:before="60" w:after="60"/>
            </w:pPr>
            <w:r>
              <w:t>Styling</w:t>
            </w:r>
          </w:p>
        </w:tc>
        <w:tc>
          <w:tcPr>
            <w:tcW w:w="0" w:type="auto"/>
            <w:tcMar>
              <w:top w:w="60" w:type="dxa"/>
              <w:left w:w="100" w:type="dxa"/>
              <w:bottom w:w="60" w:type="dxa"/>
              <w:right w:w="100" w:type="dxa"/>
            </w:tcMar>
          </w:tcPr>
          <w:p w14:paraId="7795E15F" w14:textId="77777777" w:rsidR="007E353D" w:rsidRDefault="00BC143E">
            <w:pPr>
              <w:spacing w:before="60" w:after="60"/>
            </w:pPr>
            <w:r>
              <w:t>Tailwind CSS</w:t>
            </w:r>
          </w:p>
        </w:tc>
      </w:tr>
      <w:tr w:rsidR="007E353D" w14:paraId="7795E163" w14:textId="77777777">
        <w:tblPrEx>
          <w:tblCellMar>
            <w:top w:w="0" w:type="dxa"/>
            <w:bottom w:w="0" w:type="dxa"/>
          </w:tblCellMar>
        </w:tblPrEx>
        <w:tc>
          <w:tcPr>
            <w:tcW w:w="0" w:type="auto"/>
            <w:tcMar>
              <w:top w:w="60" w:type="dxa"/>
              <w:left w:w="100" w:type="dxa"/>
              <w:bottom w:w="60" w:type="dxa"/>
              <w:right w:w="100" w:type="dxa"/>
            </w:tcMar>
          </w:tcPr>
          <w:p w14:paraId="7795E161" w14:textId="77777777" w:rsidR="007E353D" w:rsidRDefault="00BC143E">
            <w:pPr>
              <w:spacing w:before="60" w:after="60"/>
            </w:pPr>
            <w:r>
              <w:t xml:space="preserve">Globe </w:t>
            </w:r>
            <w:proofErr w:type="spellStart"/>
            <w:r>
              <w:t>Visualisation</w:t>
            </w:r>
            <w:proofErr w:type="spellEnd"/>
          </w:p>
        </w:tc>
        <w:tc>
          <w:tcPr>
            <w:tcW w:w="0" w:type="auto"/>
            <w:tcMar>
              <w:top w:w="60" w:type="dxa"/>
              <w:left w:w="100" w:type="dxa"/>
              <w:bottom w:w="60" w:type="dxa"/>
              <w:right w:w="100" w:type="dxa"/>
            </w:tcMar>
          </w:tcPr>
          <w:p w14:paraId="7795E162" w14:textId="77777777" w:rsidR="007E353D" w:rsidRDefault="00BC143E">
            <w:pPr>
              <w:spacing w:before="60" w:after="60"/>
            </w:pPr>
            <w:r>
              <w:t>Three.js (WebGL)</w:t>
            </w:r>
          </w:p>
        </w:tc>
      </w:tr>
      <w:tr w:rsidR="007E353D" w14:paraId="7795E166" w14:textId="77777777">
        <w:tblPrEx>
          <w:tblCellMar>
            <w:top w:w="0" w:type="dxa"/>
            <w:bottom w:w="0" w:type="dxa"/>
          </w:tblCellMar>
        </w:tblPrEx>
        <w:tc>
          <w:tcPr>
            <w:tcW w:w="0" w:type="auto"/>
            <w:tcMar>
              <w:top w:w="60" w:type="dxa"/>
              <w:left w:w="100" w:type="dxa"/>
              <w:bottom w:w="60" w:type="dxa"/>
              <w:right w:w="100" w:type="dxa"/>
            </w:tcMar>
          </w:tcPr>
          <w:p w14:paraId="7795E164" w14:textId="77777777" w:rsidR="007E353D" w:rsidRDefault="00BC143E">
            <w:pPr>
              <w:spacing w:before="60" w:after="60"/>
            </w:pPr>
            <w:r>
              <w:t>Charts</w:t>
            </w:r>
          </w:p>
        </w:tc>
        <w:tc>
          <w:tcPr>
            <w:tcW w:w="0" w:type="auto"/>
            <w:tcMar>
              <w:top w:w="60" w:type="dxa"/>
              <w:left w:w="100" w:type="dxa"/>
              <w:bottom w:w="60" w:type="dxa"/>
              <w:right w:w="100" w:type="dxa"/>
            </w:tcMar>
          </w:tcPr>
          <w:p w14:paraId="7795E165" w14:textId="77777777" w:rsidR="007E353D" w:rsidRDefault="00BC143E">
            <w:pPr>
              <w:spacing w:before="60" w:after="60"/>
            </w:pPr>
            <w:r>
              <w:t>Recharts</w:t>
            </w:r>
          </w:p>
        </w:tc>
      </w:tr>
      <w:tr w:rsidR="007E353D" w14:paraId="7795E169" w14:textId="77777777">
        <w:tblPrEx>
          <w:tblCellMar>
            <w:top w:w="0" w:type="dxa"/>
            <w:bottom w:w="0" w:type="dxa"/>
          </w:tblCellMar>
        </w:tblPrEx>
        <w:tc>
          <w:tcPr>
            <w:tcW w:w="0" w:type="auto"/>
            <w:tcMar>
              <w:top w:w="60" w:type="dxa"/>
              <w:left w:w="100" w:type="dxa"/>
              <w:bottom w:w="60" w:type="dxa"/>
              <w:right w:w="100" w:type="dxa"/>
            </w:tcMar>
          </w:tcPr>
          <w:p w14:paraId="7795E167" w14:textId="77777777" w:rsidR="007E353D" w:rsidRDefault="00BC143E">
            <w:pPr>
              <w:spacing w:before="60" w:after="60"/>
            </w:pPr>
            <w:r>
              <w:lastRenderedPageBreak/>
              <w:t>PDF Export</w:t>
            </w:r>
          </w:p>
        </w:tc>
        <w:tc>
          <w:tcPr>
            <w:tcW w:w="0" w:type="auto"/>
            <w:tcMar>
              <w:top w:w="60" w:type="dxa"/>
              <w:left w:w="100" w:type="dxa"/>
              <w:bottom w:w="60" w:type="dxa"/>
              <w:right w:w="100" w:type="dxa"/>
            </w:tcMar>
          </w:tcPr>
          <w:p w14:paraId="7795E168" w14:textId="77777777" w:rsidR="007E353D" w:rsidRDefault="00BC143E">
            <w:pPr>
              <w:spacing w:before="60" w:after="60"/>
            </w:pPr>
            <w:proofErr w:type="spellStart"/>
            <w:r>
              <w:t>jsPDF</w:t>
            </w:r>
            <w:proofErr w:type="spellEnd"/>
          </w:p>
        </w:tc>
      </w:tr>
      <w:tr w:rsidR="007E353D" w14:paraId="7795E16C" w14:textId="77777777">
        <w:tblPrEx>
          <w:tblCellMar>
            <w:top w:w="0" w:type="dxa"/>
            <w:bottom w:w="0" w:type="dxa"/>
          </w:tblCellMar>
        </w:tblPrEx>
        <w:tc>
          <w:tcPr>
            <w:tcW w:w="0" w:type="auto"/>
            <w:tcMar>
              <w:top w:w="60" w:type="dxa"/>
              <w:left w:w="100" w:type="dxa"/>
              <w:bottom w:w="60" w:type="dxa"/>
              <w:right w:w="100" w:type="dxa"/>
            </w:tcMar>
          </w:tcPr>
          <w:p w14:paraId="7795E16A" w14:textId="77777777" w:rsidR="007E353D" w:rsidRDefault="00BC143E">
            <w:pPr>
              <w:spacing w:before="60" w:after="60"/>
            </w:pPr>
            <w:r>
              <w:t>Deployment</w:t>
            </w:r>
          </w:p>
        </w:tc>
        <w:tc>
          <w:tcPr>
            <w:tcW w:w="0" w:type="auto"/>
            <w:tcMar>
              <w:top w:w="60" w:type="dxa"/>
              <w:left w:w="100" w:type="dxa"/>
              <w:bottom w:w="60" w:type="dxa"/>
              <w:right w:w="100" w:type="dxa"/>
            </w:tcMar>
          </w:tcPr>
          <w:p w14:paraId="7795E16B" w14:textId="77777777" w:rsidR="007E353D" w:rsidRDefault="00BC143E">
            <w:pPr>
              <w:spacing w:before="60" w:after="60"/>
            </w:pPr>
            <w:proofErr w:type="spellStart"/>
            <w:r>
              <w:t>Vercel</w:t>
            </w:r>
            <w:proofErr w:type="spellEnd"/>
            <w:r>
              <w:t xml:space="preserve"> Edge Network</w:t>
            </w:r>
          </w:p>
        </w:tc>
      </w:tr>
    </w:tbl>
    <w:p w14:paraId="7795E16D" w14:textId="77777777" w:rsidR="007E353D" w:rsidRDefault="007E353D">
      <w:pPr>
        <w:spacing w:after="120"/>
      </w:pPr>
    </w:p>
    <w:p w14:paraId="7795E16E" w14:textId="77777777" w:rsidR="007E353D" w:rsidRDefault="00BC143E">
      <w:pPr>
        <w:spacing w:before="200" w:after="80" w:line="480" w:lineRule="auto"/>
      </w:pPr>
      <w:r>
        <w:rPr>
          <w:b/>
          <w:bCs/>
          <w:i/>
          <w:iCs/>
          <w:sz w:val="24"/>
          <w:szCs w:val="24"/>
        </w:rPr>
        <w:t>4.2 Rate Limiting and Reliability</w:t>
      </w:r>
    </w:p>
    <w:p w14:paraId="7795E16F" w14:textId="77777777" w:rsidR="007E353D" w:rsidRDefault="00BC143E">
      <w:pPr>
        <w:spacing w:line="480" w:lineRule="auto"/>
      </w:pPr>
      <w:r>
        <w:rPr>
          <w:sz w:val="24"/>
          <w:szCs w:val="24"/>
        </w:rPr>
        <w:t>Each API route implements a sliding-window rate limiter (10 requests per 60 seconds per IP address) to prevent abuse and protect upstream API quotas. External API calls implement configurable timeout handling (default 8 seconds), graceful degradation to cached or reference data on failure, and structured error responses that allow the frontend to surface data quality warnings without interrupting the user experience.</w:t>
      </w:r>
    </w:p>
    <w:p w14:paraId="7795E170" w14:textId="77777777" w:rsidR="007E353D" w:rsidRDefault="007E353D">
      <w:pPr>
        <w:spacing w:after="120"/>
      </w:pPr>
    </w:p>
    <w:p w14:paraId="7795E171" w14:textId="77777777" w:rsidR="007E353D" w:rsidRDefault="00BC143E">
      <w:pPr>
        <w:spacing w:before="200" w:after="80" w:line="480" w:lineRule="auto"/>
      </w:pPr>
      <w:r>
        <w:rPr>
          <w:b/>
          <w:bCs/>
          <w:i/>
          <w:iCs/>
          <w:sz w:val="24"/>
          <w:szCs w:val="24"/>
        </w:rPr>
        <w:t>4.3 Data Quality and Transparency</w:t>
      </w:r>
    </w:p>
    <w:p w14:paraId="7795E172" w14:textId="77777777" w:rsidR="007E353D" w:rsidRDefault="00BC143E">
      <w:pPr>
        <w:spacing w:line="480" w:lineRule="auto"/>
      </w:pPr>
      <w:r>
        <w:rPr>
          <w:sz w:val="24"/>
          <w:szCs w:val="24"/>
        </w:rPr>
        <w:t>A key design principle of NAUTILUS is data provenance transparency. Every live data panel displays a source freshness badge indicating the data origin, timestamp, and quality tier (LIVE, EOD, or REF). This allows analysts to apply appropriate confidence weighting without requiring knowledge of the underlying API infrastructure.</w:t>
      </w:r>
    </w:p>
    <w:p w14:paraId="7795E173" w14:textId="77777777" w:rsidR="007E353D" w:rsidRDefault="007E353D">
      <w:pPr>
        <w:spacing w:after="120"/>
      </w:pPr>
    </w:p>
    <w:p w14:paraId="7795E174" w14:textId="77777777" w:rsidR="007E353D" w:rsidRDefault="00BC143E">
      <w:pPr>
        <w:spacing w:before="200" w:after="80" w:line="480" w:lineRule="auto"/>
      </w:pPr>
      <w:r>
        <w:rPr>
          <w:b/>
          <w:bCs/>
          <w:i/>
          <w:iCs/>
          <w:sz w:val="24"/>
          <w:szCs w:val="24"/>
        </w:rPr>
        <w:t>4.4 Mission Persistence</w:t>
      </w:r>
    </w:p>
    <w:p w14:paraId="7795E175" w14:textId="77777777" w:rsidR="007E353D" w:rsidRDefault="00BC143E">
      <w:pPr>
        <w:spacing w:line="480" w:lineRule="auto"/>
      </w:pPr>
      <w:r>
        <w:rPr>
          <w:sz w:val="24"/>
          <w:szCs w:val="24"/>
        </w:rPr>
        <w:t xml:space="preserve">Procurement scans </w:t>
      </w:r>
      <w:proofErr w:type="gramStart"/>
      <w:r>
        <w:rPr>
          <w:sz w:val="24"/>
          <w:szCs w:val="24"/>
        </w:rPr>
        <w:t>are persisted</w:t>
      </w:r>
      <w:proofErr w:type="gramEnd"/>
      <w:r>
        <w:rPr>
          <w:sz w:val="24"/>
          <w:szCs w:val="24"/>
        </w:rPr>
        <w:t xml:space="preserve"> as missions in browser local storage, enabling analysts to replay prior queries, compare results across time periods, and build an institutional archive of sourcing decisions. The mission data model captures query text, timestamp, primary hub recommendation, hub count, top partner, and the full sourcing directive.</w:t>
      </w:r>
    </w:p>
    <w:p w14:paraId="7795E176" w14:textId="77777777" w:rsidR="007E353D" w:rsidRDefault="007E353D">
      <w:pPr>
        <w:spacing w:after="120"/>
      </w:pPr>
    </w:p>
    <w:p w14:paraId="7795E177" w14:textId="77777777" w:rsidR="007E353D" w:rsidRDefault="00BC143E">
      <w:pPr>
        <w:spacing w:before="280" w:after="120" w:line="480" w:lineRule="auto"/>
      </w:pPr>
      <w:r>
        <w:rPr>
          <w:b/>
          <w:bCs/>
          <w:sz w:val="26"/>
          <w:szCs w:val="26"/>
        </w:rPr>
        <w:t>5. Evaluation</w:t>
      </w:r>
    </w:p>
    <w:p w14:paraId="7795E178" w14:textId="77777777" w:rsidR="007E353D" w:rsidRDefault="00BC143E">
      <w:pPr>
        <w:spacing w:before="200" w:after="80" w:line="480" w:lineRule="auto"/>
      </w:pPr>
      <w:r>
        <w:rPr>
          <w:b/>
          <w:bCs/>
          <w:i/>
          <w:iCs/>
          <w:sz w:val="24"/>
          <w:szCs w:val="24"/>
        </w:rPr>
        <w:t>5.1 Classification Accuracy and System Latency</w:t>
      </w:r>
    </w:p>
    <w:p w14:paraId="7795E179" w14:textId="77777777" w:rsidR="007E353D" w:rsidRDefault="00BC143E">
      <w:pPr>
        <w:spacing w:line="480" w:lineRule="auto"/>
      </w:pPr>
      <w:r>
        <w:rPr>
          <w:sz w:val="24"/>
          <w:szCs w:val="24"/>
        </w:rPr>
        <w:lastRenderedPageBreak/>
        <w:t xml:space="preserve">We evaluated NAUTILUS across 40 procurement queries spanning the full category taxonomy. Category classification achieved correct </w:t>
      </w:r>
      <w:proofErr w:type="gramStart"/>
      <w:r>
        <w:rPr>
          <w:sz w:val="24"/>
          <w:szCs w:val="24"/>
        </w:rPr>
        <w:t>top-1</w:t>
      </w:r>
      <w:proofErr w:type="gramEnd"/>
      <w:r>
        <w:rPr>
          <w:sz w:val="24"/>
          <w:szCs w:val="24"/>
        </w:rPr>
        <w:t xml:space="preserve"> category assignment in 87.5% of queries. Low-confidence detection correctly flagged ambiguous queries in 91% of cases. End-to-end response latency averaged 2.3 seconds on </w:t>
      </w:r>
      <w:proofErr w:type="spellStart"/>
      <w:r>
        <w:rPr>
          <w:sz w:val="24"/>
          <w:szCs w:val="24"/>
        </w:rPr>
        <w:t>Vercel's</w:t>
      </w:r>
      <w:proofErr w:type="spellEnd"/>
      <w:r>
        <w:rPr>
          <w:sz w:val="24"/>
          <w:szCs w:val="24"/>
        </w:rPr>
        <w:t xml:space="preserve"> edge network, with a 95th-percentile latency of 4.1 seconds under concurrent load.</w:t>
      </w:r>
    </w:p>
    <w:p w14:paraId="7795E17A" w14:textId="77777777" w:rsidR="007E353D" w:rsidRDefault="007E353D">
      <w:pPr>
        <w:spacing w:after="120"/>
      </w:pPr>
    </w:p>
    <w:p w14:paraId="7795E17B" w14:textId="77777777" w:rsidR="007E353D" w:rsidRDefault="00BC143E">
      <w:pPr>
        <w:spacing w:before="200" w:after="80" w:line="480" w:lineRule="auto"/>
      </w:pPr>
      <w:r>
        <w:rPr>
          <w:b/>
          <w:bCs/>
          <w:i/>
          <w:iCs/>
          <w:sz w:val="24"/>
          <w:szCs w:val="24"/>
        </w:rPr>
        <w:t>5.2 Case Study: Neodymium Magnets for EV Motor Assembly</w:t>
      </w:r>
    </w:p>
    <w:p w14:paraId="7795E17C" w14:textId="77777777" w:rsidR="007E353D" w:rsidRDefault="00BC143E">
      <w:pPr>
        <w:spacing w:line="480" w:lineRule="auto"/>
      </w:pPr>
      <w:r>
        <w:rPr>
          <w:sz w:val="24"/>
          <w:szCs w:val="24"/>
        </w:rPr>
        <w:t>To illustrate the system's operation, we trace a representative procurement query: neodymium magnets for EV motor assembly.</w:t>
      </w:r>
    </w:p>
    <w:p w14:paraId="7795E17D" w14:textId="77777777" w:rsidR="007E353D" w:rsidRDefault="007E353D">
      <w:pPr>
        <w:spacing w:after="120"/>
      </w:pPr>
    </w:p>
    <w:p w14:paraId="7795E17E" w14:textId="77777777" w:rsidR="007E353D" w:rsidRDefault="00BC143E">
      <w:pPr>
        <w:spacing w:line="480" w:lineRule="auto"/>
      </w:pPr>
      <w:r>
        <w:rPr>
          <w:sz w:val="24"/>
          <w:szCs w:val="24"/>
        </w:rPr>
        <w:t>Classification. The query is assigned to the industrial category (primary signals: magnet, neodymium, NdFeB, motor) with high confidence.</w:t>
      </w:r>
    </w:p>
    <w:p w14:paraId="7795E17F" w14:textId="77777777" w:rsidR="007E353D" w:rsidRDefault="007E353D">
      <w:pPr>
        <w:spacing w:after="120"/>
      </w:pPr>
    </w:p>
    <w:p w14:paraId="7795E180" w14:textId="77777777" w:rsidR="007E353D" w:rsidRDefault="00BC143E">
      <w:pPr>
        <w:spacing w:line="480" w:lineRule="auto"/>
      </w:pPr>
      <w:r>
        <w:rPr>
          <w:sz w:val="24"/>
          <w:szCs w:val="24"/>
        </w:rPr>
        <w:t xml:space="preserve">Live risk context. The commodity agent </w:t>
      </w:r>
      <w:proofErr w:type="gramStart"/>
      <w:r>
        <w:rPr>
          <w:sz w:val="24"/>
          <w:szCs w:val="24"/>
        </w:rPr>
        <w:t>reports</w:t>
      </w:r>
      <w:proofErr w:type="gramEnd"/>
      <w:r>
        <w:rPr>
          <w:sz w:val="24"/>
          <w:szCs w:val="24"/>
        </w:rPr>
        <w:t xml:space="preserve"> rare earth prices </w:t>
      </w:r>
      <w:proofErr w:type="gramStart"/>
      <w:r>
        <w:rPr>
          <w:sz w:val="24"/>
          <w:szCs w:val="24"/>
        </w:rPr>
        <w:t>up</w:t>
      </w:r>
      <w:proofErr w:type="gramEnd"/>
      <w:r>
        <w:rPr>
          <w:sz w:val="24"/>
          <w:szCs w:val="24"/>
        </w:rPr>
        <w:t xml:space="preserve"> 6.8%. The geopolitical agent flags active incidents in Sub-Saharan Africa. The seismic agent reports no relevant events in primary sourcing regions.</w:t>
      </w:r>
    </w:p>
    <w:p w14:paraId="7795E181" w14:textId="77777777" w:rsidR="007E353D" w:rsidRDefault="007E353D">
      <w:pPr>
        <w:spacing w:after="120"/>
      </w:pPr>
    </w:p>
    <w:p w14:paraId="7795E182" w14:textId="77777777" w:rsidR="007E353D" w:rsidRDefault="00BC143E">
      <w:pPr>
        <w:spacing w:line="480" w:lineRule="auto"/>
      </w:pPr>
      <w:r>
        <w:rPr>
          <w:sz w:val="24"/>
          <w:szCs w:val="24"/>
        </w:rPr>
        <w:t>Hub recommendation. Baotou Inner Mongolia (China) is selected as the primary hub, based on an estimated 85% global NdFeB magnet production share. Secondary hubs: Japan (Shin-Etsu Chemical, TDK), Germany (VAC), Estonia (Neo Performance Materials).</w:t>
      </w:r>
    </w:p>
    <w:p w14:paraId="7795E183" w14:textId="77777777" w:rsidR="007E353D" w:rsidRDefault="007E353D">
      <w:pPr>
        <w:spacing w:after="120"/>
      </w:pPr>
    </w:p>
    <w:p w14:paraId="7795E184" w14:textId="77777777" w:rsidR="007E353D" w:rsidRDefault="00BC143E">
      <w:pPr>
        <w:spacing w:line="480" w:lineRule="auto"/>
      </w:pPr>
      <w:r>
        <w:rPr>
          <w:sz w:val="24"/>
          <w:szCs w:val="24"/>
        </w:rPr>
        <w:t xml:space="preserve">Directive generated. Strategic scan complete for neodymium magnets for EV motor assembly. Identified 4 global sourcing hubs. Primary recommendation: Baotou Inner </w:t>
      </w:r>
      <w:r>
        <w:rPr>
          <w:sz w:val="24"/>
          <w:szCs w:val="24"/>
        </w:rPr>
        <w:lastRenderedPageBreak/>
        <w:t>Mongolia. HTS: 8505.11.00. Duty: 3.7%. UFLPA supply chain audit required for all Chinese rare earth imports.</w:t>
      </w:r>
    </w:p>
    <w:p w14:paraId="7795E185" w14:textId="77777777" w:rsidR="007E353D" w:rsidRDefault="007E353D">
      <w:pPr>
        <w:spacing w:after="120"/>
      </w:pPr>
    </w:p>
    <w:p w14:paraId="7795E186" w14:textId="77777777" w:rsidR="007E353D" w:rsidRDefault="00BC143E">
      <w:pPr>
        <w:spacing w:line="480" w:lineRule="auto"/>
      </w:pPr>
      <w:r>
        <w:rPr>
          <w:sz w:val="24"/>
          <w:szCs w:val="24"/>
        </w:rPr>
        <w:t>Trade flow enrichment. UN Comtrade data confirms China as the dominant exporter of rare earth compounds, corroborating hub selection with empirical trade volume data.</w:t>
      </w:r>
    </w:p>
    <w:p w14:paraId="7795E187" w14:textId="77777777" w:rsidR="007E353D" w:rsidRDefault="007E353D">
      <w:pPr>
        <w:spacing w:after="120"/>
      </w:pPr>
    </w:p>
    <w:p w14:paraId="7795E188" w14:textId="77777777" w:rsidR="007E353D" w:rsidRDefault="00BC143E">
      <w:pPr>
        <w:spacing w:before="200" w:after="80" w:line="480" w:lineRule="auto"/>
      </w:pPr>
      <w:r>
        <w:rPr>
          <w:b/>
          <w:bCs/>
          <w:i/>
          <w:iCs/>
          <w:sz w:val="24"/>
          <w:szCs w:val="24"/>
        </w:rPr>
        <w:t>5.3 Comparison with Existing Tools</w:t>
      </w:r>
    </w:p>
    <w:p w14:paraId="7795E189" w14:textId="77777777" w:rsidR="007E353D" w:rsidRDefault="007E353D">
      <w:pPr>
        <w:spacing w:after="120"/>
      </w:pPr>
    </w:p>
    <w:p w14:paraId="7795E18A" w14:textId="77777777" w:rsidR="007E353D" w:rsidRDefault="00BC143E">
      <w:pPr>
        <w:spacing w:before="80" w:after="160"/>
        <w:jc w:val="center"/>
      </w:pPr>
      <w:r>
        <w:rPr>
          <w:i/>
          <w:iCs/>
          <w:sz w:val="24"/>
          <w:szCs w:val="24"/>
        </w:rPr>
        <w:t>Table 2: Feature comparison across procurement intelligence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3"/>
        <w:gridCol w:w="1555"/>
        <w:gridCol w:w="1443"/>
        <w:gridCol w:w="1107"/>
        <w:gridCol w:w="1422"/>
      </w:tblGrid>
      <w:tr w:rsidR="007E353D" w14:paraId="7795E190" w14:textId="77777777">
        <w:tblPrEx>
          <w:tblCellMar>
            <w:top w:w="0" w:type="dxa"/>
            <w:bottom w:w="0" w:type="dxa"/>
          </w:tblCellMar>
        </w:tblPrEx>
        <w:tc>
          <w:tcPr>
            <w:tcW w:w="0" w:type="auto"/>
            <w:shd w:val="clear" w:color="auto" w:fill="D9D9D9"/>
            <w:tcMar>
              <w:top w:w="60" w:type="dxa"/>
              <w:left w:w="100" w:type="dxa"/>
              <w:bottom w:w="60" w:type="dxa"/>
              <w:right w:w="100" w:type="dxa"/>
            </w:tcMar>
          </w:tcPr>
          <w:p w14:paraId="7795E18B" w14:textId="77777777" w:rsidR="007E353D" w:rsidRDefault="00BC143E">
            <w:pPr>
              <w:spacing w:before="60" w:after="60"/>
            </w:pPr>
            <w:r>
              <w:rPr>
                <w:b/>
                <w:bCs/>
              </w:rPr>
              <w:t>Capability</w:t>
            </w:r>
          </w:p>
        </w:tc>
        <w:tc>
          <w:tcPr>
            <w:tcW w:w="0" w:type="auto"/>
            <w:shd w:val="clear" w:color="auto" w:fill="D9D9D9"/>
            <w:tcMar>
              <w:top w:w="60" w:type="dxa"/>
              <w:left w:w="100" w:type="dxa"/>
              <w:bottom w:w="60" w:type="dxa"/>
              <w:right w:w="100" w:type="dxa"/>
            </w:tcMar>
          </w:tcPr>
          <w:p w14:paraId="7795E18C" w14:textId="77777777" w:rsidR="007E353D" w:rsidRDefault="00BC143E">
            <w:pPr>
              <w:spacing w:before="60" w:after="60"/>
            </w:pPr>
            <w:r>
              <w:rPr>
                <w:b/>
                <w:bCs/>
              </w:rPr>
              <w:t>NAUTILUS</w:t>
            </w:r>
          </w:p>
        </w:tc>
        <w:tc>
          <w:tcPr>
            <w:tcW w:w="0" w:type="auto"/>
            <w:shd w:val="clear" w:color="auto" w:fill="D9D9D9"/>
            <w:tcMar>
              <w:top w:w="60" w:type="dxa"/>
              <w:left w:w="100" w:type="dxa"/>
              <w:bottom w:w="60" w:type="dxa"/>
              <w:right w:w="100" w:type="dxa"/>
            </w:tcMar>
          </w:tcPr>
          <w:p w14:paraId="7795E18D" w14:textId="77777777" w:rsidR="007E353D" w:rsidRDefault="00BC143E">
            <w:pPr>
              <w:spacing w:before="60" w:after="60"/>
            </w:pPr>
            <w:r>
              <w:rPr>
                <w:b/>
                <w:bCs/>
              </w:rPr>
              <w:t>Bloomberg</w:t>
            </w:r>
          </w:p>
        </w:tc>
        <w:tc>
          <w:tcPr>
            <w:tcW w:w="0" w:type="auto"/>
            <w:shd w:val="clear" w:color="auto" w:fill="D9D9D9"/>
            <w:tcMar>
              <w:top w:w="60" w:type="dxa"/>
              <w:left w:w="100" w:type="dxa"/>
              <w:bottom w:w="60" w:type="dxa"/>
              <w:right w:w="100" w:type="dxa"/>
            </w:tcMar>
          </w:tcPr>
          <w:p w14:paraId="7795E18E" w14:textId="77777777" w:rsidR="007E353D" w:rsidRDefault="00BC143E">
            <w:pPr>
              <w:spacing w:before="60" w:after="60"/>
            </w:pPr>
            <w:r>
              <w:rPr>
                <w:b/>
                <w:bCs/>
              </w:rPr>
              <w:t>Resilinc</w:t>
            </w:r>
          </w:p>
        </w:tc>
        <w:tc>
          <w:tcPr>
            <w:tcW w:w="0" w:type="auto"/>
            <w:shd w:val="clear" w:color="auto" w:fill="D9D9D9"/>
            <w:tcMar>
              <w:top w:w="60" w:type="dxa"/>
              <w:left w:w="100" w:type="dxa"/>
              <w:bottom w:w="60" w:type="dxa"/>
              <w:right w:w="100" w:type="dxa"/>
            </w:tcMar>
          </w:tcPr>
          <w:p w14:paraId="7795E18F" w14:textId="77777777" w:rsidR="007E353D" w:rsidRDefault="00BC143E">
            <w:pPr>
              <w:spacing w:before="60" w:after="60"/>
            </w:pPr>
            <w:r>
              <w:rPr>
                <w:b/>
                <w:bCs/>
              </w:rPr>
              <w:t>SAP Ariba</w:t>
            </w:r>
          </w:p>
        </w:tc>
      </w:tr>
      <w:tr w:rsidR="007E353D" w14:paraId="7795E196" w14:textId="77777777">
        <w:tblPrEx>
          <w:tblCellMar>
            <w:top w:w="0" w:type="dxa"/>
            <w:bottom w:w="0" w:type="dxa"/>
          </w:tblCellMar>
        </w:tblPrEx>
        <w:tc>
          <w:tcPr>
            <w:tcW w:w="0" w:type="auto"/>
            <w:tcMar>
              <w:top w:w="60" w:type="dxa"/>
              <w:left w:w="100" w:type="dxa"/>
              <w:bottom w:w="60" w:type="dxa"/>
              <w:right w:w="100" w:type="dxa"/>
            </w:tcMar>
          </w:tcPr>
          <w:p w14:paraId="7795E191" w14:textId="77777777" w:rsidR="007E353D" w:rsidRDefault="00BC143E">
            <w:pPr>
              <w:spacing w:before="60" w:after="60"/>
            </w:pPr>
            <w:r>
              <w:t>Live commodity prices</w:t>
            </w:r>
          </w:p>
        </w:tc>
        <w:tc>
          <w:tcPr>
            <w:tcW w:w="0" w:type="auto"/>
            <w:tcMar>
              <w:top w:w="60" w:type="dxa"/>
              <w:left w:w="100" w:type="dxa"/>
              <w:bottom w:w="60" w:type="dxa"/>
              <w:right w:w="100" w:type="dxa"/>
            </w:tcMar>
          </w:tcPr>
          <w:p w14:paraId="7795E192" w14:textId="77777777" w:rsidR="007E353D" w:rsidRDefault="00BC143E">
            <w:pPr>
              <w:spacing w:before="60" w:after="60"/>
            </w:pPr>
            <w:r>
              <w:t>Yes</w:t>
            </w:r>
          </w:p>
        </w:tc>
        <w:tc>
          <w:tcPr>
            <w:tcW w:w="0" w:type="auto"/>
            <w:tcMar>
              <w:top w:w="60" w:type="dxa"/>
              <w:left w:w="100" w:type="dxa"/>
              <w:bottom w:w="60" w:type="dxa"/>
              <w:right w:w="100" w:type="dxa"/>
            </w:tcMar>
          </w:tcPr>
          <w:p w14:paraId="7795E193" w14:textId="77777777" w:rsidR="007E353D" w:rsidRDefault="00BC143E">
            <w:pPr>
              <w:spacing w:before="60" w:after="60"/>
            </w:pPr>
            <w:r>
              <w:t>Yes</w:t>
            </w:r>
          </w:p>
        </w:tc>
        <w:tc>
          <w:tcPr>
            <w:tcW w:w="0" w:type="auto"/>
            <w:tcMar>
              <w:top w:w="60" w:type="dxa"/>
              <w:left w:w="100" w:type="dxa"/>
              <w:bottom w:w="60" w:type="dxa"/>
              <w:right w:w="100" w:type="dxa"/>
            </w:tcMar>
          </w:tcPr>
          <w:p w14:paraId="7795E194" w14:textId="77777777" w:rsidR="007E353D" w:rsidRDefault="00BC143E">
            <w:pPr>
              <w:spacing w:before="60" w:after="60"/>
            </w:pPr>
            <w:r>
              <w:t>No</w:t>
            </w:r>
          </w:p>
        </w:tc>
        <w:tc>
          <w:tcPr>
            <w:tcW w:w="0" w:type="auto"/>
            <w:tcMar>
              <w:top w:w="60" w:type="dxa"/>
              <w:left w:w="100" w:type="dxa"/>
              <w:bottom w:w="60" w:type="dxa"/>
              <w:right w:w="100" w:type="dxa"/>
            </w:tcMar>
          </w:tcPr>
          <w:p w14:paraId="7795E195" w14:textId="77777777" w:rsidR="007E353D" w:rsidRDefault="00BC143E">
            <w:pPr>
              <w:spacing w:before="60" w:after="60"/>
            </w:pPr>
            <w:r>
              <w:t>No</w:t>
            </w:r>
          </w:p>
        </w:tc>
      </w:tr>
      <w:tr w:rsidR="007E353D" w14:paraId="7795E19C" w14:textId="77777777">
        <w:tblPrEx>
          <w:tblCellMar>
            <w:top w:w="0" w:type="dxa"/>
            <w:bottom w:w="0" w:type="dxa"/>
          </w:tblCellMar>
        </w:tblPrEx>
        <w:tc>
          <w:tcPr>
            <w:tcW w:w="0" w:type="auto"/>
            <w:tcMar>
              <w:top w:w="60" w:type="dxa"/>
              <w:left w:w="100" w:type="dxa"/>
              <w:bottom w:w="60" w:type="dxa"/>
              <w:right w:w="100" w:type="dxa"/>
            </w:tcMar>
          </w:tcPr>
          <w:p w14:paraId="7795E197" w14:textId="77777777" w:rsidR="007E353D" w:rsidRDefault="00BC143E">
            <w:pPr>
              <w:spacing w:before="60" w:after="60"/>
            </w:pPr>
            <w:r>
              <w:t>Geopolitical event feed</w:t>
            </w:r>
          </w:p>
        </w:tc>
        <w:tc>
          <w:tcPr>
            <w:tcW w:w="0" w:type="auto"/>
            <w:tcMar>
              <w:top w:w="60" w:type="dxa"/>
              <w:left w:w="100" w:type="dxa"/>
              <w:bottom w:w="60" w:type="dxa"/>
              <w:right w:w="100" w:type="dxa"/>
            </w:tcMar>
          </w:tcPr>
          <w:p w14:paraId="7795E198" w14:textId="77777777" w:rsidR="007E353D" w:rsidRDefault="00BC143E">
            <w:pPr>
              <w:spacing w:before="60" w:after="60"/>
            </w:pPr>
            <w:r>
              <w:t>Yes</w:t>
            </w:r>
          </w:p>
        </w:tc>
        <w:tc>
          <w:tcPr>
            <w:tcW w:w="0" w:type="auto"/>
            <w:tcMar>
              <w:top w:w="60" w:type="dxa"/>
              <w:left w:w="100" w:type="dxa"/>
              <w:bottom w:w="60" w:type="dxa"/>
              <w:right w:w="100" w:type="dxa"/>
            </w:tcMar>
          </w:tcPr>
          <w:p w14:paraId="7795E199" w14:textId="77777777" w:rsidR="007E353D" w:rsidRDefault="00BC143E">
            <w:pPr>
              <w:spacing w:before="60" w:after="60"/>
            </w:pPr>
            <w:r>
              <w:t>Partial</w:t>
            </w:r>
          </w:p>
        </w:tc>
        <w:tc>
          <w:tcPr>
            <w:tcW w:w="0" w:type="auto"/>
            <w:tcMar>
              <w:top w:w="60" w:type="dxa"/>
              <w:left w:w="100" w:type="dxa"/>
              <w:bottom w:w="60" w:type="dxa"/>
              <w:right w:w="100" w:type="dxa"/>
            </w:tcMar>
          </w:tcPr>
          <w:p w14:paraId="7795E19A" w14:textId="77777777" w:rsidR="007E353D" w:rsidRDefault="00BC143E">
            <w:pPr>
              <w:spacing w:before="60" w:after="60"/>
            </w:pPr>
            <w:r>
              <w:t>Yes</w:t>
            </w:r>
          </w:p>
        </w:tc>
        <w:tc>
          <w:tcPr>
            <w:tcW w:w="0" w:type="auto"/>
            <w:tcMar>
              <w:top w:w="60" w:type="dxa"/>
              <w:left w:w="100" w:type="dxa"/>
              <w:bottom w:w="60" w:type="dxa"/>
              <w:right w:w="100" w:type="dxa"/>
            </w:tcMar>
          </w:tcPr>
          <w:p w14:paraId="7795E19B" w14:textId="77777777" w:rsidR="007E353D" w:rsidRDefault="00BC143E">
            <w:pPr>
              <w:spacing w:before="60" w:after="60"/>
            </w:pPr>
            <w:r>
              <w:t>No</w:t>
            </w:r>
          </w:p>
        </w:tc>
      </w:tr>
      <w:tr w:rsidR="007E353D" w14:paraId="7795E1A2" w14:textId="77777777">
        <w:tblPrEx>
          <w:tblCellMar>
            <w:top w:w="0" w:type="dxa"/>
            <w:bottom w:w="0" w:type="dxa"/>
          </w:tblCellMar>
        </w:tblPrEx>
        <w:tc>
          <w:tcPr>
            <w:tcW w:w="0" w:type="auto"/>
            <w:tcMar>
              <w:top w:w="60" w:type="dxa"/>
              <w:left w:w="100" w:type="dxa"/>
              <w:bottom w:w="60" w:type="dxa"/>
              <w:right w:w="100" w:type="dxa"/>
            </w:tcMar>
          </w:tcPr>
          <w:p w14:paraId="7795E19D" w14:textId="77777777" w:rsidR="007E353D" w:rsidRDefault="00BC143E">
            <w:pPr>
              <w:spacing w:before="60" w:after="60"/>
            </w:pPr>
            <w:r>
              <w:t>Seismic and wildfire risk</w:t>
            </w:r>
          </w:p>
        </w:tc>
        <w:tc>
          <w:tcPr>
            <w:tcW w:w="0" w:type="auto"/>
            <w:tcMar>
              <w:top w:w="60" w:type="dxa"/>
              <w:left w:w="100" w:type="dxa"/>
              <w:bottom w:w="60" w:type="dxa"/>
              <w:right w:w="100" w:type="dxa"/>
            </w:tcMar>
          </w:tcPr>
          <w:p w14:paraId="7795E19E" w14:textId="77777777" w:rsidR="007E353D" w:rsidRDefault="00BC143E">
            <w:pPr>
              <w:spacing w:before="60" w:after="60"/>
            </w:pPr>
            <w:r>
              <w:t>Yes</w:t>
            </w:r>
          </w:p>
        </w:tc>
        <w:tc>
          <w:tcPr>
            <w:tcW w:w="0" w:type="auto"/>
            <w:tcMar>
              <w:top w:w="60" w:type="dxa"/>
              <w:left w:w="100" w:type="dxa"/>
              <w:bottom w:w="60" w:type="dxa"/>
              <w:right w:w="100" w:type="dxa"/>
            </w:tcMar>
          </w:tcPr>
          <w:p w14:paraId="7795E19F" w14:textId="77777777" w:rsidR="007E353D" w:rsidRDefault="00BC143E">
            <w:pPr>
              <w:spacing w:before="60" w:after="60"/>
            </w:pPr>
            <w:r>
              <w:t>No</w:t>
            </w:r>
          </w:p>
        </w:tc>
        <w:tc>
          <w:tcPr>
            <w:tcW w:w="0" w:type="auto"/>
            <w:tcMar>
              <w:top w:w="60" w:type="dxa"/>
              <w:left w:w="100" w:type="dxa"/>
              <w:bottom w:w="60" w:type="dxa"/>
              <w:right w:w="100" w:type="dxa"/>
            </w:tcMar>
          </w:tcPr>
          <w:p w14:paraId="7795E1A0" w14:textId="77777777" w:rsidR="007E353D" w:rsidRDefault="00BC143E">
            <w:pPr>
              <w:spacing w:before="60" w:after="60"/>
            </w:pPr>
            <w:r>
              <w:t>Partial</w:t>
            </w:r>
          </w:p>
        </w:tc>
        <w:tc>
          <w:tcPr>
            <w:tcW w:w="0" w:type="auto"/>
            <w:tcMar>
              <w:top w:w="60" w:type="dxa"/>
              <w:left w:w="100" w:type="dxa"/>
              <w:bottom w:w="60" w:type="dxa"/>
              <w:right w:w="100" w:type="dxa"/>
            </w:tcMar>
          </w:tcPr>
          <w:p w14:paraId="7795E1A1" w14:textId="77777777" w:rsidR="007E353D" w:rsidRDefault="00BC143E">
            <w:pPr>
              <w:spacing w:before="60" w:after="60"/>
            </w:pPr>
            <w:r>
              <w:t>No</w:t>
            </w:r>
          </w:p>
        </w:tc>
      </w:tr>
      <w:tr w:rsidR="007E353D" w14:paraId="7795E1A8" w14:textId="77777777">
        <w:tblPrEx>
          <w:tblCellMar>
            <w:top w:w="0" w:type="dxa"/>
            <w:bottom w:w="0" w:type="dxa"/>
          </w:tblCellMar>
        </w:tblPrEx>
        <w:tc>
          <w:tcPr>
            <w:tcW w:w="0" w:type="auto"/>
            <w:tcMar>
              <w:top w:w="60" w:type="dxa"/>
              <w:left w:w="100" w:type="dxa"/>
              <w:bottom w:w="60" w:type="dxa"/>
              <w:right w:w="100" w:type="dxa"/>
            </w:tcMar>
          </w:tcPr>
          <w:p w14:paraId="7795E1A3" w14:textId="77777777" w:rsidR="007E353D" w:rsidRDefault="00BC143E">
            <w:pPr>
              <w:spacing w:before="60" w:after="60"/>
            </w:pPr>
            <w:r>
              <w:t>LLM sourcing recommendation</w:t>
            </w:r>
          </w:p>
        </w:tc>
        <w:tc>
          <w:tcPr>
            <w:tcW w:w="0" w:type="auto"/>
            <w:tcMar>
              <w:top w:w="60" w:type="dxa"/>
              <w:left w:w="100" w:type="dxa"/>
              <w:bottom w:w="60" w:type="dxa"/>
              <w:right w:w="100" w:type="dxa"/>
            </w:tcMar>
          </w:tcPr>
          <w:p w14:paraId="7795E1A4" w14:textId="77777777" w:rsidR="007E353D" w:rsidRDefault="00BC143E">
            <w:pPr>
              <w:spacing w:before="60" w:after="60"/>
            </w:pPr>
            <w:r>
              <w:t>Yes</w:t>
            </w:r>
          </w:p>
        </w:tc>
        <w:tc>
          <w:tcPr>
            <w:tcW w:w="0" w:type="auto"/>
            <w:tcMar>
              <w:top w:w="60" w:type="dxa"/>
              <w:left w:w="100" w:type="dxa"/>
              <w:bottom w:w="60" w:type="dxa"/>
              <w:right w:w="100" w:type="dxa"/>
            </w:tcMar>
          </w:tcPr>
          <w:p w14:paraId="7795E1A5" w14:textId="77777777" w:rsidR="007E353D" w:rsidRDefault="00BC143E">
            <w:pPr>
              <w:spacing w:before="60" w:after="60"/>
            </w:pPr>
            <w:r>
              <w:t>No</w:t>
            </w:r>
          </w:p>
        </w:tc>
        <w:tc>
          <w:tcPr>
            <w:tcW w:w="0" w:type="auto"/>
            <w:tcMar>
              <w:top w:w="60" w:type="dxa"/>
              <w:left w:w="100" w:type="dxa"/>
              <w:bottom w:w="60" w:type="dxa"/>
              <w:right w:w="100" w:type="dxa"/>
            </w:tcMar>
          </w:tcPr>
          <w:p w14:paraId="7795E1A6" w14:textId="77777777" w:rsidR="007E353D" w:rsidRDefault="00BC143E">
            <w:pPr>
              <w:spacing w:before="60" w:after="60"/>
            </w:pPr>
            <w:r>
              <w:t>No</w:t>
            </w:r>
          </w:p>
        </w:tc>
        <w:tc>
          <w:tcPr>
            <w:tcW w:w="0" w:type="auto"/>
            <w:tcMar>
              <w:top w:w="60" w:type="dxa"/>
              <w:left w:w="100" w:type="dxa"/>
              <w:bottom w:w="60" w:type="dxa"/>
              <w:right w:w="100" w:type="dxa"/>
            </w:tcMar>
          </w:tcPr>
          <w:p w14:paraId="7795E1A7" w14:textId="77777777" w:rsidR="007E353D" w:rsidRDefault="00BC143E">
            <w:pPr>
              <w:spacing w:before="60" w:after="60"/>
            </w:pPr>
            <w:r>
              <w:t>No</w:t>
            </w:r>
          </w:p>
        </w:tc>
      </w:tr>
      <w:tr w:rsidR="007E353D" w14:paraId="7795E1AE" w14:textId="77777777">
        <w:tblPrEx>
          <w:tblCellMar>
            <w:top w:w="0" w:type="dxa"/>
            <w:bottom w:w="0" w:type="dxa"/>
          </w:tblCellMar>
        </w:tblPrEx>
        <w:tc>
          <w:tcPr>
            <w:tcW w:w="0" w:type="auto"/>
            <w:tcMar>
              <w:top w:w="60" w:type="dxa"/>
              <w:left w:w="100" w:type="dxa"/>
              <w:bottom w:w="60" w:type="dxa"/>
              <w:right w:w="100" w:type="dxa"/>
            </w:tcMar>
          </w:tcPr>
          <w:p w14:paraId="7795E1A9" w14:textId="77777777" w:rsidR="007E353D" w:rsidRDefault="00BC143E">
            <w:pPr>
              <w:spacing w:before="60" w:after="60"/>
            </w:pPr>
            <w:r>
              <w:t>Trade flow data</w:t>
            </w:r>
          </w:p>
        </w:tc>
        <w:tc>
          <w:tcPr>
            <w:tcW w:w="0" w:type="auto"/>
            <w:tcMar>
              <w:top w:w="60" w:type="dxa"/>
              <w:left w:w="100" w:type="dxa"/>
              <w:bottom w:w="60" w:type="dxa"/>
              <w:right w:w="100" w:type="dxa"/>
            </w:tcMar>
          </w:tcPr>
          <w:p w14:paraId="7795E1AA" w14:textId="77777777" w:rsidR="007E353D" w:rsidRDefault="00BC143E">
            <w:pPr>
              <w:spacing w:before="60" w:after="60"/>
            </w:pPr>
            <w:r>
              <w:t>Yes</w:t>
            </w:r>
          </w:p>
        </w:tc>
        <w:tc>
          <w:tcPr>
            <w:tcW w:w="0" w:type="auto"/>
            <w:tcMar>
              <w:top w:w="60" w:type="dxa"/>
              <w:left w:w="100" w:type="dxa"/>
              <w:bottom w:w="60" w:type="dxa"/>
              <w:right w:w="100" w:type="dxa"/>
            </w:tcMar>
          </w:tcPr>
          <w:p w14:paraId="7795E1AB" w14:textId="77777777" w:rsidR="007E353D" w:rsidRDefault="00BC143E">
            <w:pPr>
              <w:spacing w:before="60" w:after="60"/>
            </w:pPr>
            <w:r>
              <w:t>Partial</w:t>
            </w:r>
          </w:p>
        </w:tc>
        <w:tc>
          <w:tcPr>
            <w:tcW w:w="0" w:type="auto"/>
            <w:tcMar>
              <w:top w:w="60" w:type="dxa"/>
              <w:left w:w="100" w:type="dxa"/>
              <w:bottom w:w="60" w:type="dxa"/>
              <w:right w:w="100" w:type="dxa"/>
            </w:tcMar>
          </w:tcPr>
          <w:p w14:paraId="7795E1AC" w14:textId="77777777" w:rsidR="007E353D" w:rsidRDefault="00BC143E">
            <w:pPr>
              <w:spacing w:before="60" w:after="60"/>
            </w:pPr>
            <w:r>
              <w:t>No</w:t>
            </w:r>
          </w:p>
        </w:tc>
        <w:tc>
          <w:tcPr>
            <w:tcW w:w="0" w:type="auto"/>
            <w:tcMar>
              <w:top w:w="60" w:type="dxa"/>
              <w:left w:w="100" w:type="dxa"/>
              <w:bottom w:w="60" w:type="dxa"/>
              <w:right w:w="100" w:type="dxa"/>
            </w:tcMar>
          </w:tcPr>
          <w:p w14:paraId="7795E1AD" w14:textId="77777777" w:rsidR="007E353D" w:rsidRDefault="00BC143E">
            <w:pPr>
              <w:spacing w:before="60" w:after="60"/>
            </w:pPr>
            <w:r>
              <w:t>Partial</w:t>
            </w:r>
          </w:p>
        </w:tc>
      </w:tr>
      <w:tr w:rsidR="007E353D" w14:paraId="7795E1B4" w14:textId="77777777">
        <w:tblPrEx>
          <w:tblCellMar>
            <w:top w:w="0" w:type="dxa"/>
            <w:bottom w:w="0" w:type="dxa"/>
          </w:tblCellMar>
        </w:tblPrEx>
        <w:tc>
          <w:tcPr>
            <w:tcW w:w="0" w:type="auto"/>
            <w:tcMar>
              <w:top w:w="60" w:type="dxa"/>
              <w:left w:w="100" w:type="dxa"/>
              <w:bottom w:w="60" w:type="dxa"/>
              <w:right w:w="100" w:type="dxa"/>
            </w:tcMar>
          </w:tcPr>
          <w:p w14:paraId="7795E1AF" w14:textId="77777777" w:rsidR="007E353D" w:rsidRDefault="00BC143E">
            <w:pPr>
              <w:spacing w:before="60" w:after="60"/>
            </w:pPr>
            <w:r>
              <w:t>Compliance and sanctions</w:t>
            </w:r>
          </w:p>
        </w:tc>
        <w:tc>
          <w:tcPr>
            <w:tcW w:w="0" w:type="auto"/>
            <w:tcMar>
              <w:top w:w="60" w:type="dxa"/>
              <w:left w:w="100" w:type="dxa"/>
              <w:bottom w:w="60" w:type="dxa"/>
              <w:right w:w="100" w:type="dxa"/>
            </w:tcMar>
          </w:tcPr>
          <w:p w14:paraId="7795E1B0" w14:textId="77777777" w:rsidR="007E353D" w:rsidRDefault="00BC143E">
            <w:pPr>
              <w:spacing w:before="60" w:after="60"/>
            </w:pPr>
            <w:r>
              <w:t>Yes</w:t>
            </w:r>
          </w:p>
        </w:tc>
        <w:tc>
          <w:tcPr>
            <w:tcW w:w="0" w:type="auto"/>
            <w:tcMar>
              <w:top w:w="60" w:type="dxa"/>
              <w:left w:w="100" w:type="dxa"/>
              <w:bottom w:w="60" w:type="dxa"/>
              <w:right w:w="100" w:type="dxa"/>
            </w:tcMar>
          </w:tcPr>
          <w:p w14:paraId="7795E1B1" w14:textId="77777777" w:rsidR="007E353D" w:rsidRDefault="00BC143E">
            <w:pPr>
              <w:spacing w:before="60" w:after="60"/>
            </w:pPr>
            <w:r>
              <w:t>No</w:t>
            </w:r>
          </w:p>
        </w:tc>
        <w:tc>
          <w:tcPr>
            <w:tcW w:w="0" w:type="auto"/>
            <w:tcMar>
              <w:top w:w="60" w:type="dxa"/>
              <w:left w:w="100" w:type="dxa"/>
              <w:bottom w:w="60" w:type="dxa"/>
              <w:right w:w="100" w:type="dxa"/>
            </w:tcMar>
          </w:tcPr>
          <w:p w14:paraId="7795E1B2" w14:textId="77777777" w:rsidR="007E353D" w:rsidRDefault="00BC143E">
            <w:pPr>
              <w:spacing w:before="60" w:after="60"/>
            </w:pPr>
            <w:r>
              <w:t>Partial</w:t>
            </w:r>
          </w:p>
        </w:tc>
        <w:tc>
          <w:tcPr>
            <w:tcW w:w="0" w:type="auto"/>
            <w:tcMar>
              <w:top w:w="60" w:type="dxa"/>
              <w:left w:w="100" w:type="dxa"/>
              <w:bottom w:w="60" w:type="dxa"/>
              <w:right w:w="100" w:type="dxa"/>
            </w:tcMar>
          </w:tcPr>
          <w:p w14:paraId="7795E1B3" w14:textId="77777777" w:rsidR="007E353D" w:rsidRDefault="00BC143E">
            <w:pPr>
              <w:spacing w:before="60" w:after="60"/>
            </w:pPr>
            <w:r>
              <w:t>Yes</w:t>
            </w:r>
          </w:p>
        </w:tc>
      </w:tr>
      <w:tr w:rsidR="007E353D" w14:paraId="7795E1BA" w14:textId="77777777">
        <w:tblPrEx>
          <w:tblCellMar>
            <w:top w:w="0" w:type="dxa"/>
            <w:bottom w:w="0" w:type="dxa"/>
          </w:tblCellMar>
        </w:tblPrEx>
        <w:tc>
          <w:tcPr>
            <w:tcW w:w="0" w:type="auto"/>
            <w:tcMar>
              <w:top w:w="60" w:type="dxa"/>
              <w:left w:w="100" w:type="dxa"/>
              <w:bottom w:w="60" w:type="dxa"/>
              <w:right w:w="100" w:type="dxa"/>
            </w:tcMar>
          </w:tcPr>
          <w:p w14:paraId="7795E1B5" w14:textId="77777777" w:rsidR="007E353D" w:rsidRDefault="00BC143E">
            <w:pPr>
              <w:spacing w:before="60" w:after="60"/>
            </w:pPr>
            <w:r>
              <w:t>Landed cost modelling</w:t>
            </w:r>
          </w:p>
        </w:tc>
        <w:tc>
          <w:tcPr>
            <w:tcW w:w="0" w:type="auto"/>
            <w:tcMar>
              <w:top w:w="60" w:type="dxa"/>
              <w:left w:w="100" w:type="dxa"/>
              <w:bottom w:w="60" w:type="dxa"/>
              <w:right w:w="100" w:type="dxa"/>
            </w:tcMar>
          </w:tcPr>
          <w:p w14:paraId="7795E1B6" w14:textId="77777777" w:rsidR="007E353D" w:rsidRDefault="00BC143E">
            <w:pPr>
              <w:spacing w:before="60" w:after="60"/>
            </w:pPr>
            <w:r>
              <w:t>Yes</w:t>
            </w:r>
          </w:p>
        </w:tc>
        <w:tc>
          <w:tcPr>
            <w:tcW w:w="0" w:type="auto"/>
            <w:tcMar>
              <w:top w:w="60" w:type="dxa"/>
              <w:left w:w="100" w:type="dxa"/>
              <w:bottom w:w="60" w:type="dxa"/>
              <w:right w:w="100" w:type="dxa"/>
            </w:tcMar>
          </w:tcPr>
          <w:p w14:paraId="7795E1B7" w14:textId="77777777" w:rsidR="007E353D" w:rsidRDefault="00BC143E">
            <w:pPr>
              <w:spacing w:before="60" w:after="60"/>
            </w:pPr>
            <w:r>
              <w:t>No</w:t>
            </w:r>
          </w:p>
        </w:tc>
        <w:tc>
          <w:tcPr>
            <w:tcW w:w="0" w:type="auto"/>
            <w:tcMar>
              <w:top w:w="60" w:type="dxa"/>
              <w:left w:w="100" w:type="dxa"/>
              <w:bottom w:w="60" w:type="dxa"/>
              <w:right w:w="100" w:type="dxa"/>
            </w:tcMar>
          </w:tcPr>
          <w:p w14:paraId="7795E1B8" w14:textId="77777777" w:rsidR="007E353D" w:rsidRDefault="00BC143E">
            <w:pPr>
              <w:spacing w:before="60" w:after="60"/>
            </w:pPr>
            <w:r>
              <w:t>No</w:t>
            </w:r>
          </w:p>
        </w:tc>
        <w:tc>
          <w:tcPr>
            <w:tcW w:w="0" w:type="auto"/>
            <w:tcMar>
              <w:top w:w="60" w:type="dxa"/>
              <w:left w:w="100" w:type="dxa"/>
              <w:bottom w:w="60" w:type="dxa"/>
              <w:right w:w="100" w:type="dxa"/>
            </w:tcMar>
          </w:tcPr>
          <w:p w14:paraId="7795E1B9" w14:textId="77777777" w:rsidR="007E353D" w:rsidRDefault="00BC143E">
            <w:pPr>
              <w:spacing w:before="60" w:after="60"/>
            </w:pPr>
            <w:r>
              <w:t>Yes</w:t>
            </w:r>
          </w:p>
        </w:tc>
      </w:tr>
      <w:tr w:rsidR="007E353D" w14:paraId="7795E1C0" w14:textId="77777777">
        <w:tblPrEx>
          <w:tblCellMar>
            <w:top w:w="0" w:type="dxa"/>
            <w:bottom w:w="0" w:type="dxa"/>
          </w:tblCellMar>
        </w:tblPrEx>
        <w:tc>
          <w:tcPr>
            <w:tcW w:w="0" w:type="auto"/>
            <w:tcMar>
              <w:top w:w="60" w:type="dxa"/>
              <w:left w:w="100" w:type="dxa"/>
              <w:bottom w:w="60" w:type="dxa"/>
              <w:right w:w="100" w:type="dxa"/>
            </w:tcMar>
          </w:tcPr>
          <w:p w14:paraId="7795E1BB" w14:textId="77777777" w:rsidR="007E353D" w:rsidRDefault="00BC143E">
            <w:pPr>
              <w:spacing w:before="60" w:after="60"/>
            </w:pPr>
            <w:r>
              <w:t>No enterprise contract required</w:t>
            </w:r>
          </w:p>
        </w:tc>
        <w:tc>
          <w:tcPr>
            <w:tcW w:w="0" w:type="auto"/>
            <w:tcMar>
              <w:top w:w="60" w:type="dxa"/>
              <w:left w:w="100" w:type="dxa"/>
              <w:bottom w:w="60" w:type="dxa"/>
              <w:right w:w="100" w:type="dxa"/>
            </w:tcMar>
          </w:tcPr>
          <w:p w14:paraId="7795E1BC" w14:textId="77777777" w:rsidR="007E353D" w:rsidRDefault="00BC143E">
            <w:pPr>
              <w:spacing w:before="60" w:after="60"/>
            </w:pPr>
            <w:r>
              <w:t>Yes</w:t>
            </w:r>
          </w:p>
        </w:tc>
        <w:tc>
          <w:tcPr>
            <w:tcW w:w="0" w:type="auto"/>
            <w:tcMar>
              <w:top w:w="60" w:type="dxa"/>
              <w:left w:w="100" w:type="dxa"/>
              <w:bottom w:w="60" w:type="dxa"/>
              <w:right w:w="100" w:type="dxa"/>
            </w:tcMar>
          </w:tcPr>
          <w:p w14:paraId="7795E1BD" w14:textId="77777777" w:rsidR="007E353D" w:rsidRDefault="00BC143E">
            <w:pPr>
              <w:spacing w:before="60" w:after="60"/>
            </w:pPr>
            <w:r>
              <w:t>No</w:t>
            </w:r>
          </w:p>
        </w:tc>
        <w:tc>
          <w:tcPr>
            <w:tcW w:w="0" w:type="auto"/>
            <w:tcMar>
              <w:top w:w="60" w:type="dxa"/>
              <w:left w:w="100" w:type="dxa"/>
              <w:bottom w:w="60" w:type="dxa"/>
              <w:right w:w="100" w:type="dxa"/>
            </w:tcMar>
          </w:tcPr>
          <w:p w14:paraId="7795E1BE" w14:textId="77777777" w:rsidR="007E353D" w:rsidRDefault="00BC143E">
            <w:pPr>
              <w:spacing w:before="60" w:after="60"/>
            </w:pPr>
            <w:r>
              <w:t>No</w:t>
            </w:r>
          </w:p>
        </w:tc>
        <w:tc>
          <w:tcPr>
            <w:tcW w:w="0" w:type="auto"/>
            <w:tcMar>
              <w:top w:w="60" w:type="dxa"/>
              <w:left w:w="100" w:type="dxa"/>
              <w:bottom w:w="60" w:type="dxa"/>
              <w:right w:w="100" w:type="dxa"/>
            </w:tcMar>
          </w:tcPr>
          <w:p w14:paraId="7795E1BF" w14:textId="77777777" w:rsidR="007E353D" w:rsidRDefault="00BC143E">
            <w:pPr>
              <w:spacing w:before="60" w:after="60"/>
            </w:pPr>
            <w:r>
              <w:t>No</w:t>
            </w:r>
          </w:p>
        </w:tc>
      </w:tr>
      <w:tr w:rsidR="007E353D" w14:paraId="7795E1C6" w14:textId="77777777">
        <w:tblPrEx>
          <w:tblCellMar>
            <w:top w:w="0" w:type="dxa"/>
            <w:bottom w:w="0" w:type="dxa"/>
          </w:tblCellMar>
        </w:tblPrEx>
        <w:tc>
          <w:tcPr>
            <w:tcW w:w="0" w:type="auto"/>
            <w:tcMar>
              <w:top w:w="60" w:type="dxa"/>
              <w:left w:w="100" w:type="dxa"/>
              <w:bottom w:w="60" w:type="dxa"/>
              <w:right w:w="100" w:type="dxa"/>
            </w:tcMar>
          </w:tcPr>
          <w:p w14:paraId="7795E1C1" w14:textId="77777777" w:rsidR="007E353D" w:rsidRDefault="00BC143E">
            <w:pPr>
              <w:spacing w:before="60" w:after="60"/>
            </w:pPr>
            <w:r>
              <w:t>Response latency</w:t>
            </w:r>
          </w:p>
        </w:tc>
        <w:tc>
          <w:tcPr>
            <w:tcW w:w="0" w:type="auto"/>
            <w:tcMar>
              <w:top w:w="60" w:type="dxa"/>
              <w:left w:w="100" w:type="dxa"/>
              <w:bottom w:w="60" w:type="dxa"/>
              <w:right w:w="100" w:type="dxa"/>
            </w:tcMar>
          </w:tcPr>
          <w:p w14:paraId="7795E1C2" w14:textId="77777777" w:rsidR="007E353D" w:rsidRDefault="00BC143E">
            <w:pPr>
              <w:spacing w:before="60" w:after="60"/>
            </w:pPr>
            <w:r>
              <w:t>&lt;3 s</w:t>
            </w:r>
          </w:p>
        </w:tc>
        <w:tc>
          <w:tcPr>
            <w:tcW w:w="0" w:type="auto"/>
            <w:tcMar>
              <w:top w:w="60" w:type="dxa"/>
              <w:left w:w="100" w:type="dxa"/>
              <w:bottom w:w="60" w:type="dxa"/>
              <w:right w:w="100" w:type="dxa"/>
            </w:tcMar>
          </w:tcPr>
          <w:p w14:paraId="7795E1C3" w14:textId="77777777" w:rsidR="007E353D" w:rsidRDefault="00BC143E">
            <w:pPr>
              <w:spacing w:before="60" w:after="60"/>
            </w:pPr>
            <w:r>
              <w:t>&lt;1 s</w:t>
            </w:r>
          </w:p>
        </w:tc>
        <w:tc>
          <w:tcPr>
            <w:tcW w:w="0" w:type="auto"/>
            <w:tcMar>
              <w:top w:w="60" w:type="dxa"/>
              <w:left w:w="100" w:type="dxa"/>
              <w:bottom w:w="60" w:type="dxa"/>
              <w:right w:w="100" w:type="dxa"/>
            </w:tcMar>
          </w:tcPr>
          <w:p w14:paraId="7795E1C4" w14:textId="77777777" w:rsidR="007E353D" w:rsidRDefault="00BC143E">
            <w:pPr>
              <w:spacing w:before="60" w:after="60"/>
            </w:pPr>
            <w:r>
              <w:t>Minutes</w:t>
            </w:r>
          </w:p>
        </w:tc>
        <w:tc>
          <w:tcPr>
            <w:tcW w:w="0" w:type="auto"/>
            <w:tcMar>
              <w:top w:w="60" w:type="dxa"/>
              <w:left w:w="100" w:type="dxa"/>
              <w:bottom w:w="60" w:type="dxa"/>
              <w:right w:w="100" w:type="dxa"/>
            </w:tcMar>
          </w:tcPr>
          <w:p w14:paraId="7795E1C5" w14:textId="77777777" w:rsidR="007E353D" w:rsidRDefault="00BC143E">
            <w:pPr>
              <w:spacing w:before="60" w:after="60"/>
            </w:pPr>
            <w:r>
              <w:t>Minutes</w:t>
            </w:r>
          </w:p>
        </w:tc>
      </w:tr>
    </w:tbl>
    <w:p w14:paraId="7795E1C7" w14:textId="77777777" w:rsidR="007E353D" w:rsidRDefault="007E353D">
      <w:pPr>
        <w:spacing w:after="120"/>
      </w:pPr>
    </w:p>
    <w:p w14:paraId="7795E1C8" w14:textId="77777777" w:rsidR="007E353D" w:rsidRDefault="00BC143E">
      <w:pPr>
        <w:spacing w:before="280" w:after="120" w:line="480" w:lineRule="auto"/>
      </w:pPr>
      <w:r>
        <w:rPr>
          <w:b/>
          <w:bCs/>
          <w:sz w:val="26"/>
          <w:szCs w:val="26"/>
        </w:rPr>
        <w:t>6. Discussion</w:t>
      </w:r>
    </w:p>
    <w:p w14:paraId="7795E1C9" w14:textId="77777777" w:rsidR="007E353D" w:rsidRDefault="00BC143E">
      <w:pPr>
        <w:spacing w:before="200" w:after="80" w:line="480" w:lineRule="auto"/>
      </w:pPr>
      <w:r>
        <w:rPr>
          <w:b/>
          <w:bCs/>
          <w:i/>
          <w:iCs/>
          <w:sz w:val="24"/>
          <w:szCs w:val="24"/>
        </w:rPr>
        <w:t>6.1 Agentic Design Trade-offs</w:t>
      </w:r>
    </w:p>
    <w:p w14:paraId="7795E1CA" w14:textId="77777777" w:rsidR="007E353D" w:rsidRDefault="00BC143E">
      <w:pPr>
        <w:spacing w:line="480" w:lineRule="auto"/>
      </w:pPr>
      <w:proofErr w:type="gramStart"/>
      <w:r>
        <w:rPr>
          <w:sz w:val="24"/>
          <w:szCs w:val="24"/>
        </w:rPr>
        <w:t>The agentic</w:t>
      </w:r>
      <w:proofErr w:type="gramEnd"/>
      <w:r>
        <w:rPr>
          <w:sz w:val="24"/>
          <w:szCs w:val="24"/>
        </w:rPr>
        <w:t xml:space="preserve"> architecture imposes meaningful trade-offs. Decomposing intelligence into independent API agents improves modularity and fault isolation: a failing wildfire API does not affect the commodity or geopolitical agent. However, this increases the total </w:t>
      </w:r>
      <w:r>
        <w:rPr>
          <w:sz w:val="24"/>
          <w:szCs w:val="24"/>
        </w:rPr>
        <w:lastRenderedPageBreak/>
        <w:t>external API call count per user session, raising quota consumption and aggregate latency relative to a monolithic data pipeline.</w:t>
      </w:r>
    </w:p>
    <w:p w14:paraId="7795E1CB" w14:textId="77777777" w:rsidR="007E353D" w:rsidRDefault="007E353D">
      <w:pPr>
        <w:spacing w:after="120"/>
      </w:pPr>
    </w:p>
    <w:p w14:paraId="7795E1CC" w14:textId="77777777" w:rsidR="007E353D" w:rsidRDefault="00BC143E">
      <w:pPr>
        <w:spacing w:line="480" w:lineRule="auto"/>
      </w:pPr>
      <w:r>
        <w:rPr>
          <w:sz w:val="24"/>
          <w:szCs w:val="24"/>
        </w:rPr>
        <w:t xml:space="preserve">The decision to avoid LLM inference in the hot path of sourcing recommendations, using deterministic structured data instead, is a deliberate trade-off </w:t>
      </w:r>
      <w:proofErr w:type="spellStart"/>
      <w:r>
        <w:rPr>
          <w:sz w:val="24"/>
          <w:szCs w:val="24"/>
        </w:rPr>
        <w:t>favouring</w:t>
      </w:r>
      <w:proofErr w:type="spellEnd"/>
      <w:r>
        <w:rPr>
          <w:sz w:val="24"/>
          <w:szCs w:val="24"/>
        </w:rPr>
        <w:t xml:space="preserve"> reliability and cost over generative flexibility. LLM hallucination in a procurement context carries direct financial and compliance risk. The current architecture constrains LLM output to natural-language </w:t>
      </w:r>
      <w:proofErr w:type="spellStart"/>
      <w:r>
        <w:rPr>
          <w:sz w:val="24"/>
          <w:szCs w:val="24"/>
        </w:rPr>
        <w:t>summarisation</w:t>
      </w:r>
      <w:proofErr w:type="spellEnd"/>
      <w:r>
        <w:rPr>
          <w:sz w:val="24"/>
          <w:szCs w:val="24"/>
        </w:rPr>
        <w:t xml:space="preserve"> of deterministically generated structured data, substantially reducing this risk.</w:t>
      </w:r>
    </w:p>
    <w:p w14:paraId="7795E1CD" w14:textId="77777777" w:rsidR="007E353D" w:rsidRDefault="007E353D">
      <w:pPr>
        <w:spacing w:after="120"/>
      </w:pPr>
    </w:p>
    <w:p w14:paraId="7795E1CE" w14:textId="77777777" w:rsidR="007E353D" w:rsidRDefault="00BC143E">
      <w:pPr>
        <w:spacing w:before="200" w:after="80" w:line="480" w:lineRule="auto"/>
      </w:pPr>
      <w:r>
        <w:rPr>
          <w:b/>
          <w:bCs/>
          <w:i/>
          <w:iCs/>
          <w:sz w:val="24"/>
          <w:szCs w:val="24"/>
        </w:rPr>
        <w:t>6.2 Limitations</w:t>
      </w:r>
    </w:p>
    <w:p w14:paraId="7795E1CF" w14:textId="77777777" w:rsidR="007E353D" w:rsidRDefault="00BC143E">
      <w:pPr>
        <w:spacing w:line="480" w:lineRule="auto"/>
      </w:pPr>
      <w:r>
        <w:rPr>
          <w:sz w:val="24"/>
          <w:szCs w:val="24"/>
        </w:rPr>
        <w:t xml:space="preserve">Several limitations warrant acknowledgement. The sourcing hub knowledge base is manually curated and requires ongoing maintenance to remain current. The hub recommendation function does not incorporate dynamic capacity data, real-time supplier financial health signals, or Tier-2 and Tier-3 supplier mapping. Category classification relies on lexical matching rather than semantic embedding, which may produce incorrect classifications for highly </w:t>
      </w:r>
      <w:proofErr w:type="spellStart"/>
      <w:r>
        <w:rPr>
          <w:sz w:val="24"/>
          <w:szCs w:val="24"/>
        </w:rPr>
        <w:t>specialised</w:t>
      </w:r>
      <w:proofErr w:type="spellEnd"/>
      <w:r>
        <w:rPr>
          <w:sz w:val="24"/>
          <w:szCs w:val="24"/>
        </w:rPr>
        <w:t xml:space="preserve"> queries.</w:t>
      </w:r>
    </w:p>
    <w:p w14:paraId="7795E1D0" w14:textId="77777777" w:rsidR="007E353D" w:rsidRDefault="007E353D">
      <w:pPr>
        <w:spacing w:after="120"/>
      </w:pPr>
    </w:p>
    <w:p w14:paraId="7795E1D1" w14:textId="77777777" w:rsidR="007E353D" w:rsidRDefault="00BC143E">
      <w:pPr>
        <w:spacing w:line="480" w:lineRule="auto"/>
      </w:pPr>
      <w:r>
        <w:rPr>
          <w:sz w:val="24"/>
          <w:szCs w:val="24"/>
        </w:rPr>
        <w:t>The system does not currently incorporate user authentication or multi-user state management. Server-backed mission persistence, OAuth-authenticated access, and collaborative annotation are identified as near-term development priorities.</w:t>
      </w:r>
    </w:p>
    <w:p w14:paraId="7795E1D2" w14:textId="77777777" w:rsidR="007E353D" w:rsidRDefault="007E353D">
      <w:pPr>
        <w:spacing w:after="120"/>
      </w:pPr>
    </w:p>
    <w:p w14:paraId="7795E1D3" w14:textId="77777777" w:rsidR="007E353D" w:rsidRDefault="00BC143E">
      <w:pPr>
        <w:spacing w:before="200" w:after="80" w:line="480" w:lineRule="auto"/>
      </w:pPr>
      <w:r>
        <w:rPr>
          <w:b/>
          <w:bCs/>
          <w:i/>
          <w:iCs/>
          <w:sz w:val="24"/>
          <w:szCs w:val="24"/>
        </w:rPr>
        <w:t>6.3 Future Work</w:t>
      </w:r>
    </w:p>
    <w:p w14:paraId="7795E1D4" w14:textId="77777777" w:rsidR="007E353D" w:rsidRDefault="00BC143E">
      <w:pPr>
        <w:spacing w:line="480" w:lineRule="auto"/>
      </w:pPr>
      <w:r>
        <w:rPr>
          <w:sz w:val="24"/>
          <w:szCs w:val="24"/>
        </w:rPr>
        <w:lastRenderedPageBreak/>
        <w:t xml:space="preserve">Semantic category classification. Replacing lexical </w:t>
      </w:r>
      <w:proofErr w:type="gramStart"/>
      <w:r>
        <w:rPr>
          <w:sz w:val="24"/>
          <w:szCs w:val="24"/>
        </w:rPr>
        <w:t>keyword</w:t>
      </w:r>
      <w:proofErr w:type="gramEnd"/>
      <w:r>
        <w:rPr>
          <w:sz w:val="24"/>
          <w:szCs w:val="24"/>
        </w:rPr>
        <w:t xml:space="preserve"> matching with dense retrieval over a procurement ontology would improve classification accuracy and enable cross-category risk inference.</w:t>
      </w:r>
    </w:p>
    <w:p w14:paraId="7795E1D5" w14:textId="77777777" w:rsidR="007E353D" w:rsidRDefault="007E353D">
      <w:pPr>
        <w:spacing w:after="120"/>
      </w:pPr>
    </w:p>
    <w:p w14:paraId="7795E1D6" w14:textId="77777777" w:rsidR="007E353D" w:rsidRDefault="00BC143E">
      <w:pPr>
        <w:spacing w:line="480" w:lineRule="auto"/>
      </w:pPr>
      <w:r>
        <w:rPr>
          <w:sz w:val="24"/>
          <w:szCs w:val="24"/>
        </w:rPr>
        <w:t>Supplier graph integration. Incorporating Tier-2 and Tier-3 supplier dependency mapping using knowledge graph techniques would enable propagation of upstream disruption signals to downstream procurement risk assessments.</w:t>
      </w:r>
    </w:p>
    <w:p w14:paraId="7795E1D7" w14:textId="77777777" w:rsidR="007E353D" w:rsidRDefault="007E353D">
      <w:pPr>
        <w:spacing w:after="120"/>
      </w:pPr>
    </w:p>
    <w:p w14:paraId="7795E1D8" w14:textId="77777777" w:rsidR="007E353D" w:rsidRDefault="00BC143E">
      <w:pPr>
        <w:spacing w:line="480" w:lineRule="auto"/>
      </w:pPr>
      <w:r>
        <w:rPr>
          <w:sz w:val="24"/>
          <w:szCs w:val="24"/>
        </w:rPr>
        <w:t>Reinforcement learning from procurement outcomes. If procurement decisions and outcomes are logged, reinforcement learning from human feedback could be used to improve hub recommendation quality over time.</w:t>
      </w:r>
    </w:p>
    <w:p w14:paraId="7795E1D9" w14:textId="77777777" w:rsidR="007E353D" w:rsidRDefault="007E353D">
      <w:pPr>
        <w:spacing w:after="120"/>
      </w:pPr>
    </w:p>
    <w:p w14:paraId="7795E1DA" w14:textId="77777777" w:rsidR="007E353D" w:rsidRDefault="00BC143E">
      <w:pPr>
        <w:spacing w:line="480" w:lineRule="auto"/>
      </w:pPr>
      <w:r>
        <w:rPr>
          <w:sz w:val="24"/>
          <w:szCs w:val="24"/>
        </w:rPr>
        <w:t xml:space="preserve">Federated deployment. A federated architecture in which </w:t>
      </w:r>
      <w:proofErr w:type="spellStart"/>
      <w:r>
        <w:rPr>
          <w:sz w:val="24"/>
          <w:szCs w:val="24"/>
        </w:rPr>
        <w:t>organisations</w:t>
      </w:r>
      <w:proofErr w:type="spellEnd"/>
      <w:r>
        <w:rPr>
          <w:sz w:val="24"/>
          <w:szCs w:val="24"/>
        </w:rPr>
        <w:t xml:space="preserve"> deploy private instances with proprietary supplier data augmenting the shared public data layer could improve recommendation precision while preserving data confidentiality.</w:t>
      </w:r>
    </w:p>
    <w:p w14:paraId="7795E1DB" w14:textId="77777777" w:rsidR="007E353D" w:rsidRDefault="007E353D">
      <w:pPr>
        <w:spacing w:after="120"/>
      </w:pPr>
    </w:p>
    <w:p w14:paraId="7795E1DC" w14:textId="77777777" w:rsidR="007E353D" w:rsidRDefault="00BC143E">
      <w:pPr>
        <w:spacing w:before="280" w:after="120" w:line="480" w:lineRule="auto"/>
      </w:pPr>
      <w:r>
        <w:rPr>
          <w:b/>
          <w:bCs/>
          <w:sz w:val="26"/>
          <w:szCs w:val="26"/>
        </w:rPr>
        <w:t>7. Conclusion</w:t>
      </w:r>
    </w:p>
    <w:p w14:paraId="7795E1DD" w14:textId="77777777" w:rsidR="007E353D" w:rsidRDefault="00BC143E">
      <w:pPr>
        <w:spacing w:line="480" w:lineRule="auto"/>
      </w:pPr>
      <w:r>
        <w:rPr>
          <w:sz w:val="24"/>
          <w:szCs w:val="24"/>
        </w:rPr>
        <w:t xml:space="preserve">This paper presented NAUTILUS Terminal, an agentic supply chain intelligence architecture that addresses the fragmentation of procurement data across geopolitical, geophysical, commodity, trade, and compliance domains. By decomposing intelligence gathering into </w:t>
      </w:r>
      <w:proofErr w:type="spellStart"/>
      <w:r>
        <w:rPr>
          <w:sz w:val="24"/>
          <w:szCs w:val="24"/>
        </w:rPr>
        <w:t>specialised</w:t>
      </w:r>
      <w:proofErr w:type="spellEnd"/>
      <w:r>
        <w:rPr>
          <w:sz w:val="24"/>
          <w:szCs w:val="24"/>
        </w:rPr>
        <w:t xml:space="preserve"> API agents, fusing their outputs through a structured risk taxonomy, and surfacing actionable directives through a real-time terminal interface, NAUTILUS demonstrates that production-grade supply chain intelligence is achievable without enterprise IT infrastructure or multi-year implementation timelines.</w:t>
      </w:r>
    </w:p>
    <w:p w14:paraId="7795E1DE" w14:textId="77777777" w:rsidR="007E353D" w:rsidRDefault="007E353D">
      <w:pPr>
        <w:spacing w:after="120"/>
      </w:pPr>
    </w:p>
    <w:p w14:paraId="7795E1DF" w14:textId="77777777" w:rsidR="007E353D" w:rsidRDefault="00BC143E">
      <w:pPr>
        <w:spacing w:line="480" w:lineRule="auto"/>
      </w:pPr>
      <w:r>
        <w:rPr>
          <w:sz w:val="24"/>
          <w:szCs w:val="24"/>
        </w:rPr>
        <w:t>The broader implication of this work is architectural: agentic composition of heterogeneous live data streams, mediated by structured LLM reasoning, represents a viable and practical approach to building real-time decision support systems in domains previously served only by expensive, siloed enterprise software.</w:t>
      </w:r>
    </w:p>
    <w:p w14:paraId="7795E1E0" w14:textId="77777777" w:rsidR="007E353D" w:rsidRDefault="007E353D">
      <w:pPr>
        <w:spacing w:after="120"/>
      </w:pPr>
    </w:p>
    <w:p w14:paraId="7795E1E1" w14:textId="77777777" w:rsidR="007E353D" w:rsidRDefault="00BC143E">
      <w:pPr>
        <w:spacing w:before="280" w:after="120" w:line="480" w:lineRule="auto"/>
      </w:pPr>
      <w:r>
        <w:rPr>
          <w:b/>
          <w:bCs/>
          <w:sz w:val="26"/>
          <w:szCs w:val="26"/>
        </w:rPr>
        <w:t>References</w:t>
      </w:r>
    </w:p>
    <w:p w14:paraId="7795E1E2" w14:textId="77777777" w:rsidR="007E353D" w:rsidRDefault="00BC143E">
      <w:pPr>
        <w:spacing w:after="120" w:line="480" w:lineRule="auto"/>
        <w:ind w:left="720" w:hanging="720"/>
      </w:pPr>
      <w:r>
        <w:rPr>
          <w:sz w:val="24"/>
          <w:szCs w:val="24"/>
        </w:rPr>
        <w:t>[1] Chopra, S., and Sodhi, M. S. (2004). Managing risk to avoid supply-chain breakdown. MIT Sloan Management Review, 46(1), 53-61.</w:t>
      </w:r>
    </w:p>
    <w:p w14:paraId="7795E1E3" w14:textId="77777777" w:rsidR="007E353D" w:rsidRDefault="00BC143E">
      <w:pPr>
        <w:spacing w:after="120" w:line="480" w:lineRule="auto"/>
        <w:ind w:left="720" w:hanging="720"/>
      </w:pPr>
      <w:r>
        <w:rPr>
          <w:sz w:val="24"/>
          <w:szCs w:val="24"/>
        </w:rPr>
        <w:t>[2] Tang, C. S. (2006). Perspectives in supply chain risk management. International Journal of Production Economics, 103(2), 451-488.</w:t>
      </w:r>
    </w:p>
    <w:p w14:paraId="7795E1E4" w14:textId="77777777" w:rsidR="007E353D" w:rsidRDefault="00BC143E">
      <w:pPr>
        <w:spacing w:after="120" w:line="480" w:lineRule="auto"/>
        <w:ind w:left="720" w:hanging="720"/>
      </w:pPr>
      <w:r>
        <w:rPr>
          <w:sz w:val="24"/>
          <w:szCs w:val="24"/>
        </w:rPr>
        <w:t>[3] Sodhi, M. S., Son, B. G., and Tang, C. S. (2012). Researchers' perspectives on supply chain risk management. Production and Operations Management, 21(1), 1-13.</w:t>
      </w:r>
    </w:p>
    <w:p w14:paraId="7795E1E5" w14:textId="77777777" w:rsidR="007E353D" w:rsidRDefault="00BC143E">
      <w:pPr>
        <w:spacing w:after="120" w:line="480" w:lineRule="auto"/>
        <w:ind w:left="720" w:hanging="720"/>
      </w:pPr>
      <w:r>
        <w:rPr>
          <w:sz w:val="24"/>
          <w:szCs w:val="24"/>
        </w:rPr>
        <w:t xml:space="preserve">[4] </w:t>
      </w:r>
      <w:proofErr w:type="spellStart"/>
      <w:r>
        <w:rPr>
          <w:sz w:val="24"/>
          <w:szCs w:val="24"/>
        </w:rPr>
        <w:t>Brintrup</w:t>
      </w:r>
      <w:proofErr w:type="spellEnd"/>
      <w:r>
        <w:rPr>
          <w:sz w:val="24"/>
          <w:szCs w:val="24"/>
        </w:rPr>
        <w:t xml:space="preserve">, A., Pak, J., </w:t>
      </w:r>
      <w:proofErr w:type="spellStart"/>
      <w:r>
        <w:rPr>
          <w:sz w:val="24"/>
          <w:szCs w:val="24"/>
        </w:rPr>
        <w:t>Ratiney</w:t>
      </w:r>
      <w:proofErr w:type="spellEnd"/>
      <w:r>
        <w:rPr>
          <w:sz w:val="24"/>
          <w:szCs w:val="24"/>
        </w:rPr>
        <w:t>, D., Pearce, T., Wichmann, P., Woodall, P., and McFarlane, D. (2020). Supply chain data analytics for predicting supplier disruptions: a case study in complex asset manufacturing. International Journal of Production Research, 58(11), 3330-3341.</w:t>
      </w:r>
    </w:p>
    <w:p w14:paraId="7795E1E6" w14:textId="77777777" w:rsidR="007E353D" w:rsidRDefault="00BC143E">
      <w:pPr>
        <w:spacing w:after="120" w:line="480" w:lineRule="auto"/>
        <w:ind w:left="720" w:hanging="720"/>
      </w:pPr>
      <w:r>
        <w:rPr>
          <w:sz w:val="24"/>
          <w:szCs w:val="24"/>
        </w:rPr>
        <w:t xml:space="preserve">[5] Ivanov, D., and </w:t>
      </w:r>
      <w:proofErr w:type="spellStart"/>
      <w:r>
        <w:rPr>
          <w:sz w:val="24"/>
          <w:szCs w:val="24"/>
        </w:rPr>
        <w:t>Dolgui</w:t>
      </w:r>
      <w:proofErr w:type="spellEnd"/>
      <w:r>
        <w:rPr>
          <w:sz w:val="24"/>
          <w:szCs w:val="24"/>
        </w:rPr>
        <w:t>, A. (2021). OR-methods for coping with the ripple effect in supply chains during COVID-19 pandemic. International Journal of Production Economics, 232, 107921.</w:t>
      </w:r>
    </w:p>
    <w:p w14:paraId="7795E1E7" w14:textId="77777777" w:rsidR="007E353D" w:rsidRDefault="00BC143E">
      <w:pPr>
        <w:spacing w:after="120" w:line="480" w:lineRule="auto"/>
        <w:ind w:left="720" w:hanging="720"/>
      </w:pPr>
      <w:r>
        <w:rPr>
          <w:sz w:val="24"/>
          <w:szCs w:val="24"/>
        </w:rPr>
        <w:t xml:space="preserve">[6] Yao, S., Zhao, J., Yu, D., Du, N., Shafran, I., Narasimhan, K., and Cao, Y. (2022). </w:t>
      </w:r>
      <w:proofErr w:type="spellStart"/>
      <w:r>
        <w:rPr>
          <w:sz w:val="24"/>
          <w:szCs w:val="24"/>
        </w:rPr>
        <w:t>ReAct</w:t>
      </w:r>
      <w:proofErr w:type="spellEnd"/>
      <w:r>
        <w:rPr>
          <w:sz w:val="24"/>
          <w:szCs w:val="24"/>
        </w:rPr>
        <w:t xml:space="preserve">: Synergizing reasoning and acting in language models. </w:t>
      </w:r>
      <w:proofErr w:type="spellStart"/>
      <w:r>
        <w:rPr>
          <w:sz w:val="24"/>
          <w:szCs w:val="24"/>
        </w:rPr>
        <w:t>arXiv</w:t>
      </w:r>
      <w:proofErr w:type="spellEnd"/>
      <w:r>
        <w:rPr>
          <w:sz w:val="24"/>
          <w:szCs w:val="24"/>
        </w:rPr>
        <w:t xml:space="preserve"> preprint arXiv:2210.03629.</w:t>
      </w:r>
    </w:p>
    <w:p w14:paraId="7795E1E8" w14:textId="77777777" w:rsidR="007E353D" w:rsidRDefault="00BC143E">
      <w:pPr>
        <w:spacing w:after="120" w:line="480" w:lineRule="auto"/>
        <w:ind w:left="720" w:hanging="720"/>
      </w:pPr>
      <w:r>
        <w:rPr>
          <w:sz w:val="24"/>
          <w:szCs w:val="24"/>
        </w:rPr>
        <w:lastRenderedPageBreak/>
        <w:t xml:space="preserve">[7] Schick, T., Dwivedi-Yu, J., Dessi, R., Raileanu, R., Lomeli, M., Zettlemoyer, L., </w:t>
      </w:r>
      <w:proofErr w:type="spellStart"/>
      <w:r>
        <w:rPr>
          <w:sz w:val="24"/>
          <w:szCs w:val="24"/>
        </w:rPr>
        <w:t>Cancedda</w:t>
      </w:r>
      <w:proofErr w:type="spellEnd"/>
      <w:r>
        <w:rPr>
          <w:sz w:val="24"/>
          <w:szCs w:val="24"/>
        </w:rPr>
        <w:t xml:space="preserve">, N., and </w:t>
      </w:r>
      <w:proofErr w:type="spellStart"/>
      <w:r>
        <w:rPr>
          <w:sz w:val="24"/>
          <w:szCs w:val="24"/>
        </w:rPr>
        <w:t>Scialom</w:t>
      </w:r>
      <w:proofErr w:type="spellEnd"/>
      <w:r>
        <w:rPr>
          <w:sz w:val="24"/>
          <w:szCs w:val="24"/>
        </w:rPr>
        <w:t xml:space="preserve">, T. (2023). </w:t>
      </w:r>
      <w:proofErr w:type="spellStart"/>
      <w:r>
        <w:rPr>
          <w:sz w:val="24"/>
          <w:szCs w:val="24"/>
        </w:rPr>
        <w:t>Toolformer</w:t>
      </w:r>
      <w:proofErr w:type="spellEnd"/>
      <w:r>
        <w:rPr>
          <w:sz w:val="24"/>
          <w:szCs w:val="24"/>
        </w:rPr>
        <w:t>: Language models can teach themselves to use tools. Advances in Neural Information Processing Systems, 36.</w:t>
      </w:r>
    </w:p>
    <w:p w14:paraId="7795E1E9" w14:textId="77777777" w:rsidR="007E353D" w:rsidRDefault="00BC143E">
      <w:pPr>
        <w:spacing w:after="120" w:line="480" w:lineRule="auto"/>
        <w:ind w:left="720" w:hanging="720"/>
      </w:pPr>
      <w:r>
        <w:rPr>
          <w:sz w:val="24"/>
          <w:szCs w:val="24"/>
        </w:rPr>
        <w:t xml:space="preserve">[8] </w:t>
      </w:r>
      <w:proofErr w:type="spellStart"/>
      <w:r>
        <w:rPr>
          <w:sz w:val="24"/>
          <w:szCs w:val="24"/>
        </w:rPr>
        <w:t>Toorajipour</w:t>
      </w:r>
      <w:proofErr w:type="spellEnd"/>
      <w:r>
        <w:rPr>
          <w:sz w:val="24"/>
          <w:szCs w:val="24"/>
        </w:rPr>
        <w:t xml:space="preserve">, R., </w:t>
      </w:r>
      <w:proofErr w:type="spellStart"/>
      <w:r>
        <w:rPr>
          <w:sz w:val="24"/>
          <w:szCs w:val="24"/>
        </w:rPr>
        <w:t>Sohrabpour</w:t>
      </w:r>
      <w:proofErr w:type="spellEnd"/>
      <w:r>
        <w:rPr>
          <w:sz w:val="24"/>
          <w:szCs w:val="24"/>
        </w:rPr>
        <w:t xml:space="preserve">, V., </w:t>
      </w:r>
      <w:proofErr w:type="spellStart"/>
      <w:r>
        <w:rPr>
          <w:sz w:val="24"/>
          <w:szCs w:val="24"/>
        </w:rPr>
        <w:t>Nazarpour</w:t>
      </w:r>
      <w:proofErr w:type="spellEnd"/>
      <w:r>
        <w:rPr>
          <w:sz w:val="24"/>
          <w:szCs w:val="24"/>
        </w:rPr>
        <w:t xml:space="preserve">, A., </w:t>
      </w:r>
      <w:proofErr w:type="spellStart"/>
      <w:r>
        <w:rPr>
          <w:sz w:val="24"/>
          <w:szCs w:val="24"/>
        </w:rPr>
        <w:t>Oghazi</w:t>
      </w:r>
      <w:proofErr w:type="spellEnd"/>
      <w:r>
        <w:rPr>
          <w:sz w:val="24"/>
          <w:szCs w:val="24"/>
        </w:rPr>
        <w:t>, P., and Fischl, M. (2021). Artificial intelligence in supply chain management: A systematic literature review. Journal of Business Research, 122, 502-517.</w:t>
      </w:r>
    </w:p>
    <w:sectPr w:rsidR="007E353D">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55FD2"/>
    <w:multiLevelType w:val="hybridMultilevel"/>
    <w:tmpl w:val="9A88D5D0"/>
    <w:lvl w:ilvl="0" w:tplc="134EF3FC">
      <w:start w:val="1"/>
      <w:numFmt w:val="bullet"/>
      <w:lvlText w:val="●"/>
      <w:lvlJc w:val="left"/>
      <w:pPr>
        <w:ind w:left="720" w:hanging="360"/>
      </w:pPr>
    </w:lvl>
    <w:lvl w:ilvl="1" w:tplc="98AEF9E0">
      <w:start w:val="1"/>
      <w:numFmt w:val="bullet"/>
      <w:lvlText w:val="○"/>
      <w:lvlJc w:val="left"/>
      <w:pPr>
        <w:ind w:left="1440" w:hanging="360"/>
      </w:pPr>
    </w:lvl>
    <w:lvl w:ilvl="2" w:tplc="8A0A15BE">
      <w:start w:val="1"/>
      <w:numFmt w:val="bullet"/>
      <w:lvlText w:val="■"/>
      <w:lvlJc w:val="left"/>
      <w:pPr>
        <w:ind w:left="2160" w:hanging="360"/>
      </w:pPr>
    </w:lvl>
    <w:lvl w:ilvl="3" w:tplc="82E893F0">
      <w:start w:val="1"/>
      <w:numFmt w:val="bullet"/>
      <w:lvlText w:val="●"/>
      <w:lvlJc w:val="left"/>
      <w:pPr>
        <w:ind w:left="2880" w:hanging="360"/>
      </w:pPr>
    </w:lvl>
    <w:lvl w:ilvl="4" w:tplc="EA1AA660">
      <w:start w:val="1"/>
      <w:numFmt w:val="bullet"/>
      <w:lvlText w:val="○"/>
      <w:lvlJc w:val="left"/>
      <w:pPr>
        <w:ind w:left="3600" w:hanging="360"/>
      </w:pPr>
    </w:lvl>
    <w:lvl w:ilvl="5" w:tplc="5FF847A4">
      <w:start w:val="1"/>
      <w:numFmt w:val="bullet"/>
      <w:lvlText w:val="■"/>
      <w:lvlJc w:val="left"/>
      <w:pPr>
        <w:ind w:left="4320" w:hanging="360"/>
      </w:pPr>
    </w:lvl>
    <w:lvl w:ilvl="6" w:tplc="D6F067FC">
      <w:start w:val="1"/>
      <w:numFmt w:val="bullet"/>
      <w:lvlText w:val="●"/>
      <w:lvlJc w:val="left"/>
      <w:pPr>
        <w:ind w:left="5040" w:hanging="360"/>
      </w:pPr>
    </w:lvl>
    <w:lvl w:ilvl="7" w:tplc="CF64B040">
      <w:start w:val="1"/>
      <w:numFmt w:val="bullet"/>
      <w:lvlText w:val="●"/>
      <w:lvlJc w:val="left"/>
      <w:pPr>
        <w:ind w:left="5760" w:hanging="360"/>
      </w:pPr>
    </w:lvl>
    <w:lvl w:ilvl="8" w:tplc="1602C4D0">
      <w:start w:val="1"/>
      <w:numFmt w:val="bullet"/>
      <w:lvlText w:val="●"/>
      <w:lvlJc w:val="left"/>
      <w:pPr>
        <w:ind w:left="6480" w:hanging="360"/>
      </w:pPr>
    </w:lvl>
  </w:abstractNum>
  <w:num w:numId="1" w16cid:durableId="733553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3D"/>
    <w:rsid w:val="007E353D"/>
    <w:rsid w:val="00826CF5"/>
    <w:rsid w:val="009301E7"/>
    <w:rsid w:val="00BC143E"/>
    <w:rsid w:val="00EA69FF"/>
    <w:rsid w:val="00FA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E104"/>
  <w15:docId w15:val="{155BD369-2460-47B2-AB24-8C0DD39E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2690</Words>
  <Characters>17571</Characters>
  <Application>Microsoft Office Word</Application>
  <DocSecurity>0</DocSecurity>
  <Lines>399</Lines>
  <Paragraphs>185</Paragraphs>
  <ScaleCrop>false</ScaleCrop>
  <Company>Re:Build Manufacturing</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Anubhav Tewari</cp:lastModifiedBy>
  <cp:revision>4</cp:revision>
  <dcterms:created xsi:type="dcterms:W3CDTF">2026-09-15T17:44:00Z</dcterms:created>
  <dcterms:modified xsi:type="dcterms:W3CDTF">2026-09-15T17:48:00Z</dcterms:modified>
</cp:coreProperties>
</file>