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color w:val="1e3a8a"/>
          <w:sz w:val="48"/>
          <w:szCs w:val="48"/>
        </w:rPr>
        <w:t xml:space="preserve">{{title}}</w:t>
      </w:r>
    </w:p>
    <w:p>
      <w:pPr>
        <w:spacing w:after="600"/>
        <w:jc w:val="center"/>
      </w:pPr>
      <w:r>
        <w:rPr>
          <w:color w:val="3b82f6"/>
          <w:sz w:val="32"/>
          <w:szCs w:val="32"/>
        </w:rPr>
        <w:t xml:space="preserve">Security Assessment Report</w:t>
      </w:r>
    </w:p>
    <w:p>
      <w:pPr>
        <w:spacing w:after="200"/>
        <w:jc w:val="center"/>
      </w:pPr>
      <w:r>
        <w:rPr>
          <w:b/>
          <w:bCs/>
          <w:sz w:val="24"/>
          <w:szCs w:val="24"/>
        </w:rPr>
        <w:t xml:space="preserve">Organization: {{organization}}</w:t>
      </w:r>
    </w:p>
    <w:p>
      <w:pPr>
        <w:spacing w:after="200"/>
        <w:jc w:val="center"/>
      </w:pPr>
      <w:r>
        <w:rPr>
          <w:sz w:val="20"/>
          <w:szCs w:val="20"/>
        </w:rPr>
        <w:t xml:space="preserve">Prepared by: {{author}}</w:t>
      </w:r>
    </w:p>
    <w:p>
      <w:pPr>
        <w:spacing w:after="800"/>
        <w:jc w:val="center"/>
      </w:pPr>
      <w:r>
        <w:rPr>
          <w:sz w:val="20"/>
          <w:szCs w:val="20"/>
        </w:rPr>
        <w:t xml:space="preserve">Assessment Date: {{formatDate date 'long'}}</w:t>
      </w:r>
    </w:p>
    <w:p>
      <w:pPr>
        <w:pageBreakBefore/>
      </w:pPr>
    </w:p>
    <w:p>
      <w:pPr>
        <w:pStyle w:val="Heading1"/>
        <w:spacing w:after="400"/>
      </w:pPr>
      <w:r>
        <w:rPr>
          <w:b/>
          <w:bCs/>
          <w:sz w:val="32"/>
          <w:szCs w:val="32"/>
        </w:rPr>
        <w:t xml:space="preserve">Table of Contents</w:t>
      </w:r>
    </w:p>
    <w:sdt>
      <w:sdtPr>
        <w:alias w:val="Table of Contents"/>
      </w:sdtPr>
      <w:sdtContent>
        <w:p>
          <w:r>
            <w:fldChar w:fldCharType="begin" w:dirty="true"/>
            <w:instrText xml:space="preserve">TOC \h \o "1-3"</w:instrText>
            <w:fldChar w:fldCharType="separate"/>
          </w:r>
        </w:p>
        <w:p>
          <w:r>
            <w:fldChar w:fldCharType="end"/>
          </w:r>
        </w:p>
      </w:sdtContent>
    </w:sdt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Executive Summary</w:t>
      </w:r>
    </w:p>
    <w:p>
      <w:pPr>
        <w:spacing w:after="200"/>
      </w:pPr>
      <w:r>
        <w:rPr>
          <w:b/>
          <w:bCs/>
        </w:rPr>
        <w:t xml:space="preserve">Assessment Scope:</w:t>
      </w:r>
      <w:r>
        <w:br/>
        <w:t xml:space="preserve"> {{assessmentScope}}</w:t>
      </w:r>
    </w:p>
    <w:p>
      <w:pPr>
        <w:spacing w:after="200"/>
      </w:pPr>
      <w:r>
        <w:rPr>
          <w:b/>
          <w:bCs/>
        </w:rPr>
        <w:t xml:space="preserve">Methodology:</w:t>
      </w:r>
      <w:r>
        <w:br/>
        <w:t xml:space="preserve"> {{methodology}}</w:t>
      </w:r>
    </w:p>
    <w:p>
      <w:pPr>
        <w:spacing w:after="300"/>
      </w:pPr>
      <w:r>
        <w:rPr>
          <w:b/>
          <w:bCs/>
        </w:rPr>
        <w:t xml:space="preserve">Overall Risk Level: </w:t>
      </w:r>
      <w:r>
        <w:rPr>
          <w:b/>
          <w:bCs/>
          <w:color w:val="dc2626"/>
        </w:rPr>
        <w:t xml:space="preserve">{{overallRiskLevel}}</w:t>
      </w:r>
    </w:p>
    <w:p>
      <w:pPr>
        <w:spacing w:after="400"/>
      </w:pPr>
      <w:r>
        <w:t xml:space="preserve">{{executiveSummary}}</w:t>
      </w:r>
    </w:p>
    <w:p>
      <w:pPr>
        <w:pStyle w:val="Heading2"/>
        <w:spacing w:after="200"/>
      </w:pPr>
      <w:r>
        <w:rPr>
          <w:b/>
          <w:bCs/>
          <w:sz w:val="24"/>
          <w:szCs w:val="24"/>
        </w:rPr>
        <w:t xml:space="preserve">Risk Summary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Risk Level</w:t>
            </w:r>
          </w:p>
        </w:tc>
        <w:tc>
          <w:tcPr>
            <w:tcW w:type="pct" w:w="50%"/>
          </w:tcPr>
          <w:p>
            <w:r>
              <w:rPr>
                <w:b/>
                <w:bCs/>
              </w:rPr>
              <w:t xml:space="preserve">Count</w:t>
            </w:r>
          </w:p>
        </w:tc>
      </w:tr>
      <w:tr>
        <w:tc>
          <w:p>
            <w:r>
              <w:rPr>
                <w:color w:val="dc2626"/>
              </w:rPr>
              <w:t xml:space="preserve">Critical</w:t>
            </w:r>
          </w:p>
        </w:tc>
        <w:tc>
          <w:p>
            <w:r>
              <w:t xml:space="preserve">{{criticalFindings}}</w:t>
            </w:r>
          </w:p>
        </w:tc>
      </w:tr>
      <w:tr>
        <w:tc>
          <w:p>
            <w:r>
              <w:rPr>
                <w:color w:val="ea580c"/>
              </w:rPr>
              <w:t xml:space="preserve">High</w:t>
            </w:r>
          </w:p>
        </w:tc>
        <w:tc>
          <w:p>
            <w:r>
              <w:t xml:space="preserve">{{highFindings}}</w:t>
            </w:r>
          </w:p>
        </w:tc>
      </w:tr>
      <w:tr>
        <w:tc>
          <w:p>
            <w:r>
              <w:rPr>
                <w:color w:val="eab308"/>
              </w:rPr>
              <w:t xml:space="preserve">Medium</w:t>
            </w:r>
          </w:p>
        </w:tc>
        <w:tc>
          <w:p>
            <w:r>
              <w:t xml:space="preserve">{{mediumFindings}}</w:t>
            </w:r>
          </w:p>
        </w:tc>
      </w:tr>
      <w:tr>
        <w:tc>
          <w:p>
            <w:r>
              <w:rPr>
                <w:color w:val="16a34a"/>
              </w:rPr>
              <w:t xml:space="preserve">Low</w:t>
            </w:r>
          </w:p>
        </w:tc>
        <w:tc>
          <w:p>
            <w:r>
              <w:t xml:space="preserve">{{lowFindings}}</w:t>
            </w:r>
          </w:p>
        </w:tc>
      </w:tr>
    </w:tbl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Assessment Scope and Methodology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Scope</w:t>
      </w:r>
    </w:p>
    <w:p>
      <w:pPr>
        <w:spacing w:after="300"/>
      </w:pPr>
      <w:r>
        <w:t xml:space="preserve">{{assessmentScope}}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Methodology</w:t>
      </w:r>
    </w:p>
    <w:p>
      <w:pPr>
        <w:spacing w:after="400"/>
      </w:pPr>
      <w:r>
        <w:t xml:space="preserve">{{methodology}}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System Architecture Overview</w:t>
      </w:r>
    </w:p>
    <w:p>
      <w:pPr>
        <w:spacing w:after="400"/>
      </w:pPr>
      <w:r>
        <w:t xml:space="preserve">{{systemArchitecture}}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Risk Analysis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Threat Model</w:t>
      </w:r>
    </w:p>
    <w:p>
      <w:pPr>
        <w:spacing w:after="300"/>
      </w:pPr>
      <w:r>
        <w:t xml:space="preserve">{{threatModel}}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Vulnerability Assessment</w:t>
      </w:r>
    </w:p>
    <w:p>
      <w:pPr>
        <w:spacing w:after="300"/>
      </w:pPr>
      <w:r>
        <w:t xml:space="preserve">{{vulnerabilityAssessment}}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Risk Matrix</w:t>
      </w:r>
    </w:p>
    <w:p>
      <w:pPr>
        <w:spacing w:after="400"/>
      </w:pPr>
      <w:r>
        <w:t xml:space="preserve">{{riskMatrix}}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Security Controls Evaluation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Access Controls</w:t>
      </w:r>
    </w:p>
    <w:p>
      <w:pPr>
        <w:spacing w:after="300"/>
      </w:pPr>
      <w:r>
        <w:t xml:space="preserve">{{accessControls}}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Network Security</w:t>
      </w:r>
    </w:p>
    <w:p>
      <w:pPr>
        <w:spacing w:after="300"/>
      </w:pPr>
      <w:r>
        <w:t xml:space="preserve">{{networkSecurity}}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Data Protection</w:t>
      </w:r>
    </w:p>
    <w:p>
      <w:pPr>
        <w:spacing w:after="300"/>
      </w:pPr>
      <w:r>
        <w:t xml:space="preserve">{{dataProtection}}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Overall Security Controls Assessment</w:t>
      </w:r>
    </w:p>
    <w:p>
      <w:pPr>
        <w:spacing w:after="400"/>
      </w:pPr>
      <w:r>
        <w:t xml:space="preserve">{{securityControls}}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Compliance Assessment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GDPR Compliance</w:t>
      </w:r>
    </w:p>
    <w:p>
      <w:pPr>
        <w:spacing w:after="300"/>
      </w:pPr>
      <w:r>
        <w:t xml:space="preserve">{{gdprCompliance}}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SOC 2 Compliance</w:t>
      </w:r>
    </w:p>
    <w:p>
      <w:pPr>
        <w:spacing w:after="300"/>
      </w:pPr>
      <w:r>
        <w:t xml:space="preserve">{{soc2Compliance}}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ISO 27001 Compliance</w:t>
      </w:r>
    </w:p>
    <w:p>
      <w:pPr>
        <w:spacing w:after="400"/>
      </w:pPr>
      <w:r>
        <w:t xml:space="preserve">{{iso27001Compliance}}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Mitigation Strategies and Recommendations</w:t>
      </w:r>
    </w:p>
    <w:p>
      <w:pPr>
        <w:spacing w:after="400"/>
      </w:pPr>
      <w:r>
        <w:t xml:space="preserve">{{mitigationStrategies}}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Implementation Timeline and Priorities</w:t>
      </w:r>
    </w:p>
    <w:p>
      <w:pPr>
        <w:pStyle w:val="Heading2"/>
        <w:spacing w:after="200"/>
      </w:pPr>
      <w:r>
        <w:rPr>
          <w:b/>
          <w:bCs/>
          <w:color w:val="dc2626"/>
          <w:sz w:val="22"/>
          <w:szCs w:val="22"/>
        </w:rPr>
        <w:t xml:space="preserve">Immediate Actions (0-30 days)</w:t>
      </w:r>
    </w:p>
    <w:p>
      <w:pPr>
        <w:spacing w:after="300"/>
      </w:pPr>
      <w:r>
        <w:t xml:space="preserve">{{immediateActions}}</w:t>
      </w:r>
    </w:p>
    <w:p>
      <w:pPr>
        <w:pStyle w:val="Heading2"/>
        <w:spacing w:after="200"/>
      </w:pPr>
      <w:r>
        <w:rPr>
          <w:b/>
          <w:bCs/>
          <w:color w:val="ea580c"/>
          <w:sz w:val="22"/>
          <w:szCs w:val="22"/>
        </w:rPr>
        <w:t xml:space="preserve">Short-term Actions (30-90 days)</w:t>
      </w:r>
    </w:p>
    <w:p>
      <w:pPr>
        <w:spacing w:after="300"/>
      </w:pPr>
      <w:r>
        <w:t xml:space="preserve">{{shortTermActions}}</w:t>
      </w:r>
    </w:p>
    <w:p>
      <w:pPr>
        <w:pStyle w:val="Heading2"/>
        <w:spacing w:after="200"/>
      </w:pPr>
      <w:r>
        <w:rPr>
          <w:b/>
          <w:bCs/>
          <w:color w:val="16a34a"/>
          <w:sz w:val="22"/>
          <w:szCs w:val="22"/>
        </w:rPr>
        <w:t xml:space="preserve">Long-term Actions (6-12 months)</w:t>
      </w:r>
    </w:p>
    <w:p>
      <w:pPr>
        <w:spacing w:after="400"/>
      </w:pPr>
      <w:r>
        <w:t xml:space="preserve">{{longTermActions}}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Compliance Checklist</w:t>
      </w:r>
    </w:p>
    <w:p>
      <w:pPr>
        <w:spacing w:after="400"/>
      </w:pPr>
      <w:r>
        <w:t xml:space="preserve">{{complianceChecklist}}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Incident Response Planning</w:t>
      </w:r>
    </w:p>
    <w:p>
      <w:pPr>
        <w:spacing w:after="400"/>
      </w:pPr>
      <w:r>
        <w:t xml:space="preserve">{{incidentResponsePlan}}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Security Monitoring and Metrics</w:t>
      </w:r>
    </w:p>
    <w:p>
      <w:pPr>
        <w:spacing w:after="400"/>
      </w:pPr>
      <w:r>
        <w:t xml:space="preserve">{{securityMonitoring}}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Cost-Benefit Analysis</w:t>
      </w:r>
    </w:p>
    <w:p>
      <w:pPr>
        <w:spacing w:after="200"/>
      </w:pPr>
      <w:r>
        <w:rPr>
          <w:b/>
          <w:bCs/>
        </w:rPr>
        <w:t xml:space="preserve">Estimated Implementation Cost: </w:t>
      </w:r>
      <w:r>
        <w:t xml:space="preserve">{{currency estimatedCost}}</w:t>
      </w:r>
    </w:p>
    <w:p>
      <w:pPr>
        <w:spacing w:after="200"/>
      </w:pPr>
      <w:r>
        <w:rPr>
          <w:b/>
          <w:bCs/>
        </w:rPr>
        <w:t xml:space="preserve">Expected Risk Reduction: </w:t>
      </w:r>
      <w:r>
        <w:t xml:space="preserve">{{percentage riskReduction}}</w:t>
      </w:r>
    </w:p>
    <w:p>
      <w:pPr>
        <w:spacing w:after="400"/>
      </w:pPr>
      <w:r>
        <w:rPr>
          <w:b/>
          <w:bCs/>
        </w:rPr>
        <w:t xml:space="preserve">Next Assessment Date: </w:t>
      </w:r>
      <w:r>
        <w:t xml:space="preserve">{{formatDate nextAssessmentDate 'long'}}</w:t>
      </w:r>
    </w:p>
    <w:p>
      <w:pPr>
        <w:pageBreakBefore/>
      </w:pPr>
    </w:p>
    <w:p>
      <w:pPr>
        <w:pStyle w:val="Heading1"/>
        <w:spacing w:after="300"/>
      </w:pPr>
      <w:r>
        <w:rPr>
          <w:b/>
          <w:bCs/>
          <w:sz w:val="28"/>
          <w:szCs w:val="28"/>
        </w:rPr>
        <w:t xml:space="preserve">Appendices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Appendix A: Tools Used</w:t>
      </w:r>
    </w:p>
    <w:p>
      <w:pPr>
        <w:spacing w:after="300"/>
      </w:pPr>
      <w:r>
        <w:t xml:space="preserve">{{toolsUsed}}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Appendix B: Detailed Testing Results</w:t>
      </w:r>
    </w:p>
    <w:p>
      <w:pPr>
        <w:spacing w:after="300"/>
      </w:pPr>
      <w:r>
        <w:t xml:space="preserve">{{testingResults}}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Appendix C: Assessment Team</w:t>
      </w:r>
    </w:p>
    <w:p>
      <w:pPr>
        <w:spacing w:after="400"/>
      </w:pPr>
      <w:r>
        <w:t xml:space="preserve">{{assessmentTeam}}</w:t>
      </w:r>
    </w:p>
    <w:p>
      <w:pPr>
        <w:spacing w:after="200"/>
      </w:pPr>
      <w:r>
        <w:rPr>
          <w:i/>
          <w:iCs/>
        </w:rPr>
        <w:t xml:space="preserve">This assessment was conducted by {{assessmentTeam}} using industry-standard methodologies and tools.</w:t>
      </w:r>
    </w:p>
    <w:p>
      <w:r>
        <w:rPr>
          <w:i/>
          <w:iCs/>
        </w:rPr>
        <w:t xml:space="preserve">Report prepared on {{formatDate date 'long'}} for {{organization}}.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2025-06-06T09:05:04.001Z</dcterms:created>
  <dcterms:modified xsi:type="dcterms:W3CDTF">2025-06-06T09:05:04.001Z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