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F3250" w14:textId="503A0F5E" w:rsidR="0057159A" w:rsidRDefault="002677A3" w:rsidP="002677A3">
      <w:pPr>
        <w:pStyle w:val="Heading1"/>
        <w:jc w:val="center"/>
      </w:pPr>
      <w:r>
        <w:t>Calculations for Embedded Control Minor Project</w:t>
      </w:r>
    </w:p>
    <w:p w14:paraId="0151BC3D" w14:textId="77777777" w:rsidR="002677A3" w:rsidRDefault="002677A3" w:rsidP="002677A3"/>
    <w:p w14:paraId="54953A49" w14:textId="4A86CF9F" w:rsidR="002677A3" w:rsidRDefault="002677A3" w:rsidP="00E2708F">
      <w:pPr>
        <w:pStyle w:val="Heading2"/>
        <w:numPr>
          <w:ilvl w:val="0"/>
          <w:numId w:val="1"/>
        </w:numPr>
      </w:pPr>
      <w:r>
        <w:t>State space equations of the system:</w:t>
      </w:r>
    </w:p>
    <w:p w14:paraId="36270616" w14:textId="77777777" w:rsidR="002677A3" w:rsidRDefault="002677A3" w:rsidP="002677A3"/>
    <w:p w14:paraId="24EFF4AA" w14:textId="6492C4BC" w:rsidR="002677A3" w:rsidRPr="002677A3" w:rsidRDefault="002677A3" w:rsidP="002677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421530AE" w14:textId="2AAD432D" w:rsidR="002677A3" w:rsidRPr="002677A3" w:rsidRDefault="002677A3" w:rsidP="002677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AC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1BC47AD0" w14:textId="77777777" w:rsidR="000166F8" w:rsidRDefault="000166F8" w:rsidP="000166F8">
      <w:pPr>
        <w:pStyle w:val="Heading2"/>
        <w:rPr>
          <w:rFonts w:eastAsiaTheme="minorEastAsia"/>
        </w:rPr>
      </w:pPr>
    </w:p>
    <w:p w14:paraId="27836AE1" w14:textId="7E092EE5" w:rsidR="000166F8" w:rsidRPr="000166F8" w:rsidRDefault="000166F8" w:rsidP="00E2708F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Linearizing the system: </w:t>
      </w:r>
    </w:p>
    <w:p w14:paraId="618A5A7B" w14:textId="12C19525" w:rsidR="000166F8" w:rsidRPr="000166F8" w:rsidRDefault="000166F8" w:rsidP="000166F8">
      <w:pPr>
        <w:rPr>
          <w:rFonts w:eastAsiaTheme="minorEastAsia"/>
        </w:rPr>
      </w:pPr>
      <w:r>
        <w:t xml:space="preserve">At the equilibrium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</m:oMath>
    </w:p>
    <w:p w14:paraId="11AFAE6B" w14:textId="3CD6ACD7" w:rsidR="000166F8" w:rsidRDefault="000166F8" w:rsidP="000166F8">
      <w:pPr>
        <w:rPr>
          <w:rFonts w:eastAsiaTheme="minorEastAsia"/>
        </w:rPr>
      </w:pPr>
      <w:r>
        <w:rPr>
          <w:rFonts w:eastAsiaTheme="minorEastAsia"/>
        </w:rPr>
        <w:t xml:space="preserve">And substituting </w:t>
      </w:r>
      <m:oMath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</w:p>
    <w:p w14:paraId="37598F13" w14:textId="05F720B0" w:rsidR="000166F8" w:rsidRPr="000166F8" w:rsidRDefault="000166F8" w:rsidP="000166F8">
      <w:pPr>
        <w:rPr>
          <w:rFonts w:eastAsiaTheme="minorEastAsia"/>
        </w:rPr>
      </w:pPr>
      <w:r>
        <w:rPr>
          <w:rFonts w:eastAsiaTheme="minorEastAsia"/>
        </w:rPr>
        <w:t>Finding the Jacobian Matrices A and B</w:t>
      </w:r>
      <w:r>
        <w:rPr>
          <w:rFonts w:eastAsiaTheme="minorEastAsia"/>
        </w:rPr>
        <w:t>:</w:t>
      </w:r>
    </w:p>
    <w:p w14:paraId="1D67F840" w14:textId="77777777" w:rsidR="000166F8" w:rsidRDefault="000166F8" w:rsidP="000166F8">
      <w:pPr>
        <w:rPr>
          <w:rFonts w:eastAsiaTheme="minorEastAsia"/>
        </w:rPr>
      </w:pPr>
    </w:p>
    <w:p w14:paraId="25F3BD55" w14:textId="24FCC08F" w:rsidR="000166F8" w:rsidRPr="000166F8" w:rsidRDefault="000166F8" w:rsidP="00016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</m:oMath>
      </m:oMathPara>
    </w:p>
    <w:p w14:paraId="7893C693" w14:textId="7DC2B4E3" w:rsidR="000166F8" w:rsidRDefault="000166F8" w:rsidP="000166F8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3C296157" w14:textId="743FA1C8" w:rsidR="000166F8" w:rsidRPr="00C73F6B" w:rsidRDefault="00C73F6B" w:rsidP="00016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AC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210D2F8" w14:textId="77777777" w:rsidR="00C73F6B" w:rsidRDefault="00C73F6B" w:rsidP="000166F8">
      <w:pPr>
        <w:rPr>
          <w:rFonts w:eastAsiaTheme="minorEastAsia"/>
        </w:rPr>
      </w:pPr>
    </w:p>
    <w:p w14:paraId="058D47A4" w14:textId="77777777" w:rsidR="00C73F6B" w:rsidRDefault="00C73F6B" w:rsidP="000166F8">
      <w:pPr>
        <w:rPr>
          <w:rFonts w:eastAsiaTheme="minorEastAsia"/>
        </w:rPr>
      </w:pPr>
    </w:p>
    <w:p w14:paraId="21FA1A94" w14:textId="77777777" w:rsidR="00C73F6B" w:rsidRDefault="00C73F6B" w:rsidP="000166F8">
      <w:pPr>
        <w:rPr>
          <w:rFonts w:eastAsiaTheme="minorEastAsia"/>
        </w:rPr>
      </w:pPr>
    </w:p>
    <w:p w14:paraId="3613312D" w14:textId="77777777" w:rsidR="00C73F6B" w:rsidRDefault="00C73F6B" w:rsidP="000166F8">
      <w:pPr>
        <w:rPr>
          <w:rFonts w:eastAsiaTheme="minorEastAsia"/>
        </w:rPr>
      </w:pPr>
    </w:p>
    <w:p w14:paraId="551E793F" w14:textId="7DC2D285" w:rsidR="00C73F6B" w:rsidRDefault="00C73F6B" w:rsidP="000166F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And, </w:t>
      </w:r>
    </w:p>
    <w:p w14:paraId="6FF088F3" w14:textId="068CD5EB" w:rsidR="00C73F6B" w:rsidRPr="00C73F6B" w:rsidRDefault="00C73F6B" w:rsidP="00016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</m:oMath>
      </m:oMathPara>
    </w:p>
    <w:p w14:paraId="08EF74E4" w14:textId="49EDC11A" w:rsidR="00C73F6B" w:rsidRDefault="00C73F6B" w:rsidP="000166F8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7DDBF7C2" w14:textId="2FE8C154" w:rsidR="00C73F6B" w:rsidRPr="00C73F6B" w:rsidRDefault="00C73F6B" w:rsidP="00016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557B918" w14:textId="77777777" w:rsidR="00C73F6B" w:rsidRDefault="00C73F6B" w:rsidP="000166F8">
      <w:pPr>
        <w:rPr>
          <w:rFonts w:eastAsiaTheme="minorEastAsia"/>
        </w:rPr>
      </w:pPr>
    </w:p>
    <w:p w14:paraId="3F06C924" w14:textId="3898B4AA" w:rsidR="00C73F6B" w:rsidRDefault="00C73F6B" w:rsidP="000166F8">
      <w:pPr>
        <w:rPr>
          <w:rFonts w:eastAsiaTheme="minorEastAsia"/>
        </w:rPr>
      </w:pPr>
      <w:r>
        <w:rPr>
          <w:rFonts w:eastAsiaTheme="minorEastAsia"/>
        </w:rPr>
        <w:t>Now, with the below given parameters of the self-balancing bike:</w:t>
      </w:r>
    </w:p>
    <w:p w14:paraId="340094FD" w14:textId="1683F66C" w:rsidR="00C73F6B" w:rsidRDefault="00C73F6B" w:rsidP="000166F8">
      <w:pPr>
        <w:rPr>
          <w:rFonts w:eastAsiaTheme="minorEastAsia"/>
        </w:rPr>
      </w:pPr>
    </w:p>
    <w:p w14:paraId="5F91479A" w14:textId="77777777" w:rsidR="00C73F6B" w:rsidRDefault="00C73F6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AC4947" w14:textId="06094AB9" w:rsidR="00C73F6B" w:rsidRDefault="00C73F6B" w:rsidP="000166F8">
      <w:pPr>
        <w:rPr>
          <w:rFonts w:eastAsiaTheme="minorEastAsia"/>
        </w:rPr>
      </w:pPr>
      <w:r>
        <w:rPr>
          <w:rFonts w:eastAsiaTheme="minorEastAsia"/>
        </w:rPr>
        <w:lastRenderedPageBreak/>
        <w:t>The matrices A and B now become:</w:t>
      </w:r>
    </w:p>
    <w:p w14:paraId="49131281" w14:textId="38FF4FDB" w:rsidR="00C73F6B" w:rsidRPr="00C73F6B" w:rsidRDefault="00C73F6B" w:rsidP="00016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93.5465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&amp;   B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-338.406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11515.3</m:t>
                    </m:r>
                  </m:e>
                </m:mr>
              </m:m>
            </m:e>
          </m:d>
        </m:oMath>
      </m:oMathPara>
    </w:p>
    <w:p w14:paraId="1EC2D820" w14:textId="77777777" w:rsidR="00C73F6B" w:rsidRDefault="00C73F6B" w:rsidP="000166F8">
      <w:pPr>
        <w:rPr>
          <w:rFonts w:eastAsiaTheme="minorEastAsia"/>
        </w:rPr>
      </w:pPr>
    </w:p>
    <w:p w14:paraId="53D9F604" w14:textId="6AD382D5" w:rsidR="00C73F6B" w:rsidRDefault="00C73F6B" w:rsidP="000166F8">
      <w:pPr>
        <w:rPr>
          <w:rFonts w:eastAsiaTheme="minorEastAsia"/>
        </w:rPr>
      </w:pPr>
      <w:r>
        <w:rPr>
          <w:rFonts w:eastAsiaTheme="minorEastAsia"/>
        </w:rPr>
        <w:t xml:space="preserve">Therefore, we have the state space representation </w:t>
      </w:r>
      <w:r w:rsidR="00E2708F">
        <w:rPr>
          <w:rFonts w:eastAsiaTheme="minorEastAsia"/>
        </w:rPr>
        <w:t xml:space="preserve">of the linearized system in the form: </w:t>
      </w:r>
    </w:p>
    <w:p w14:paraId="05C3F258" w14:textId="5995F09E" w:rsidR="00E2708F" w:rsidRPr="00E2708F" w:rsidRDefault="00E2708F" w:rsidP="000166F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724A5D83" w14:textId="4F0AF22D" w:rsidR="00E2708F" w:rsidRDefault="00E2708F" w:rsidP="000166F8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</w:p>
    <w:p w14:paraId="080FD853" w14:textId="4F2B564F" w:rsidR="00E2708F" w:rsidRPr="00E2708F" w:rsidRDefault="00E2708F" w:rsidP="00016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 = -kx</m:t>
          </m:r>
        </m:oMath>
      </m:oMathPara>
    </w:p>
    <w:p w14:paraId="0CA535DF" w14:textId="69E9992E" w:rsidR="00E2708F" w:rsidRDefault="00E2708F" w:rsidP="000166F8">
      <w:pPr>
        <w:rPr>
          <w:rFonts w:eastAsiaTheme="minorEastAsia"/>
        </w:rPr>
      </w:pPr>
      <w:r>
        <w:rPr>
          <w:rFonts w:eastAsiaTheme="minorEastAsia"/>
        </w:rPr>
        <w:t xml:space="preserve">To find the feedback gain matrix </w:t>
      </w:r>
      <w:r w:rsidR="000057D3">
        <w:rPr>
          <w:rFonts w:eastAsiaTheme="minorEastAsia"/>
        </w:rPr>
        <w:t>k</w:t>
      </w:r>
      <w:r>
        <w:rPr>
          <w:rFonts w:eastAsiaTheme="minorEastAsia"/>
        </w:rPr>
        <w:t>, methods like pole placement can be used. But (write about disadvantage of pole placement). Therefore, it was decided to design an LQR controller to compute the feedback gains.</w:t>
      </w:r>
    </w:p>
    <w:p w14:paraId="69F413F6" w14:textId="13E64A57" w:rsidR="00E2708F" w:rsidRDefault="00E2708F" w:rsidP="000166F8">
      <w:pPr>
        <w:rPr>
          <w:rFonts w:eastAsiaTheme="minorEastAsia"/>
        </w:rPr>
      </w:pPr>
      <w:r>
        <w:rPr>
          <w:rFonts w:eastAsiaTheme="minorEastAsia"/>
        </w:rPr>
        <w:t>But first, it is important to check the controllability of the system by checking the rank of the controllability matrix C.</w:t>
      </w:r>
    </w:p>
    <w:p w14:paraId="2295DB86" w14:textId="1D25AA20" w:rsidR="00E2708F" w:rsidRPr="00E2708F" w:rsidRDefault="00E2708F" w:rsidP="00016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B AB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14510678" w14:textId="416A7540" w:rsidR="00E2708F" w:rsidRDefault="00E2708F" w:rsidP="000166F8">
      <w:pPr>
        <w:rPr>
          <w:rFonts w:eastAsiaTheme="minorEastAsia"/>
        </w:rPr>
      </w:pPr>
      <w:r>
        <w:rPr>
          <w:rFonts w:eastAsiaTheme="minorEastAsia"/>
        </w:rPr>
        <w:t>Using the below MATLAB code,</w:t>
      </w:r>
    </w:p>
    <w:p w14:paraId="1FF456E2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system matrices</w:t>
      </w:r>
    </w:p>
    <w:p w14:paraId="7BB5D6FE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 = [0, 1, </w:t>
      </w:r>
      <w:proofErr w:type="gram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0A05C5A3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93.5465, 0, </w:t>
      </w:r>
      <w:proofErr w:type="gram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1A7BBF55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0, 0, 0</w:t>
      </w:r>
      <w:proofErr w:type="gram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1867CD70" w14:textId="77777777" w:rsidR="00E2708F" w:rsidRPr="00E2708F" w:rsidRDefault="00E2708F" w:rsidP="00E2708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14105F2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 = [</w:t>
      </w:r>
      <w:proofErr w:type="gram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168E00F7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</w:t>
      </w:r>
      <w:proofErr w:type="gram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-338.406;</w:t>
      </w:r>
      <w:proofErr w:type="gramEnd"/>
    </w:p>
    <w:p w14:paraId="60C7B45B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11515.3</w:t>
      </w:r>
      <w:proofErr w:type="gram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685F02D7" w14:textId="77777777" w:rsidR="00E2708F" w:rsidRPr="00E2708F" w:rsidRDefault="00E2708F" w:rsidP="00E2708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FFCCEA5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controllability</w:t>
      </w:r>
    </w:p>
    <w:p w14:paraId="40904FEE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controllability_matrix</w:t>
      </w:r>
      <w:proofErr w:type="spellEnd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ctrb</w:t>
      </w:r>
      <w:proofErr w:type="spellEnd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A, B);</w:t>
      </w:r>
    </w:p>
    <w:p w14:paraId="7B573BF1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rank_of_controllability</w:t>
      </w:r>
      <w:proofErr w:type="spellEnd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rank(</w:t>
      </w:r>
      <w:proofErr w:type="spell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controllability_matrix</w:t>
      </w:r>
      <w:proofErr w:type="spellEnd"/>
      <w:proofErr w:type="gram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5CA38EA0" w14:textId="77777777" w:rsidR="00E2708F" w:rsidRPr="00E2708F" w:rsidRDefault="00E2708F" w:rsidP="00E2708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9A3768E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proofErr w:type="spell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rank_of_controllability</w:t>
      </w:r>
      <w:proofErr w:type="spellEnd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&lt; size(A)</w:t>
      </w:r>
    </w:p>
    <w:p w14:paraId="5F07E4AD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E2708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system is not controllable.'</w:t>
      </w:r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CDC9870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45D0E77D" w14:textId="77777777" w:rsidR="00E2708F" w:rsidRPr="00E2708F" w:rsidRDefault="00E2708F" w:rsidP="00E2708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E2708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system is controllable.'</w:t>
      </w:r>
      <w:r w:rsidRPr="00E2708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A4D8857" w14:textId="77777777" w:rsidR="00E2708F" w:rsidRPr="00E2708F" w:rsidRDefault="00E2708F" w:rsidP="00E2708F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2708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08C8B8F3" w14:textId="77777777" w:rsidR="00E2708F" w:rsidRDefault="00E2708F" w:rsidP="000166F8">
      <w:pPr>
        <w:rPr>
          <w:rFonts w:eastAsiaTheme="minorEastAsia"/>
        </w:rPr>
      </w:pPr>
    </w:p>
    <w:p w14:paraId="789B7294" w14:textId="0589A365" w:rsidR="00E2708F" w:rsidRPr="00E2708F" w:rsidRDefault="00E2708F" w:rsidP="000166F8">
      <w:pPr>
        <w:rPr>
          <w:rFonts w:eastAsiaTheme="minorEastAsia"/>
        </w:rPr>
      </w:pPr>
      <w:r>
        <w:rPr>
          <w:rFonts w:eastAsiaTheme="minorEastAsia"/>
        </w:rPr>
        <w:t>The rank of the controllability matrix is found to be 3, which means that our system is fully controllable</w:t>
      </w:r>
      <w:r w:rsidR="000057D3">
        <w:rPr>
          <w:rFonts w:eastAsiaTheme="minorEastAsia"/>
        </w:rPr>
        <w:t xml:space="preserve"> since this satisfies the requirement of all 3 states of our system to be controllable. </w:t>
      </w:r>
    </w:p>
    <w:p w14:paraId="265427FD" w14:textId="1DD3510A" w:rsidR="00E2708F" w:rsidRDefault="00E2708F" w:rsidP="00AA4471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Designing the LQR Controller:</w:t>
      </w:r>
    </w:p>
    <w:p w14:paraId="4633FA6A" w14:textId="77777777" w:rsidR="00E2708F" w:rsidRDefault="00E2708F" w:rsidP="00E2708F"/>
    <w:p w14:paraId="4416F411" w14:textId="62CB4685" w:rsidR="00E2708F" w:rsidRDefault="00AA4471" w:rsidP="000166F8">
      <w:r>
        <w:t>Given the linearized state space representation:</w:t>
      </w:r>
    </w:p>
    <w:p w14:paraId="214896B7" w14:textId="77777777" w:rsidR="00AA4471" w:rsidRPr="00E2708F" w:rsidRDefault="00AA4471" w:rsidP="00AA447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16B951F6" w14:textId="70E5B780" w:rsidR="00AA4471" w:rsidRDefault="00AA4471" w:rsidP="000166F8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2A2CA2FD" w14:textId="77777777" w:rsidR="00AA4471" w:rsidRPr="00C73F6B" w:rsidRDefault="00AA4471" w:rsidP="00AA44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93.5465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&amp;   B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-338.406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11515.3</m:t>
                    </m:r>
                  </m:e>
                </m:mr>
              </m:m>
            </m:e>
          </m:d>
        </m:oMath>
      </m:oMathPara>
    </w:p>
    <w:p w14:paraId="02DC27DD" w14:textId="77777777" w:rsidR="00AA4471" w:rsidRDefault="00AA4471" w:rsidP="000166F8">
      <w:pPr>
        <w:rPr>
          <w:rFonts w:eastAsiaTheme="minorEastAsia"/>
        </w:rPr>
      </w:pPr>
    </w:p>
    <w:p w14:paraId="708E4A52" w14:textId="3487BDC7" w:rsidR="00AA4471" w:rsidRPr="00AA4471" w:rsidRDefault="00AA4471" w:rsidP="00AA447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AA4471">
        <w:rPr>
          <w:rFonts w:eastAsiaTheme="minorEastAsia"/>
        </w:rPr>
        <w:t>Defining the LQR Cost Function</w:t>
      </w:r>
      <w:r>
        <w:rPr>
          <w:rFonts w:eastAsiaTheme="minorEastAsia"/>
        </w:rPr>
        <w:t>:</w:t>
      </w:r>
    </w:p>
    <w:p w14:paraId="7AE3A240" w14:textId="4064E1E3" w:rsidR="00AA4471" w:rsidRDefault="00AA4471" w:rsidP="000166F8">
      <w:pPr>
        <w:rPr>
          <w:rFonts w:eastAsiaTheme="minorEastAsia"/>
        </w:rPr>
      </w:pPr>
      <w:r>
        <w:rPr>
          <w:rFonts w:eastAsiaTheme="minorEastAsia"/>
        </w:rPr>
        <w:t>The LQR controller will minimize the cost function:</w:t>
      </w:r>
    </w:p>
    <w:p w14:paraId="5656C8AC" w14:textId="65CB7C5A" w:rsidR="00AA4471" w:rsidRPr="00AA4471" w:rsidRDefault="00AA4471" w:rsidP="00016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J 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Ru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7F6E732" w14:textId="2709E2DE" w:rsidR="00AA4471" w:rsidRDefault="00AA4471" w:rsidP="000166F8">
      <w:pPr>
        <w:rPr>
          <w:rFonts w:eastAsiaTheme="minorEastAsia"/>
        </w:rPr>
      </w:pPr>
      <w:r>
        <w:rPr>
          <w:rFonts w:eastAsiaTheme="minorEastAsia"/>
        </w:rPr>
        <w:t>where Q and R are weighting matrices. These matrices determine the trade-off between state deviations and control effort.</w:t>
      </w:r>
    </w:p>
    <w:p w14:paraId="5FBAF594" w14:textId="5777204F" w:rsidR="00AA4471" w:rsidRDefault="00AA4471" w:rsidP="00AA447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Choosing Q and R matrices:</w:t>
      </w:r>
    </w:p>
    <w:p w14:paraId="1E139C47" w14:textId="1A5278B5" w:rsidR="00AA4471" w:rsidRDefault="00AA4471" w:rsidP="00AA4471">
      <w:pPr>
        <w:rPr>
          <w:rFonts w:eastAsiaTheme="minorEastAsia"/>
        </w:rPr>
      </w:pPr>
      <w:proofErr w:type="gramStart"/>
      <w:r>
        <w:rPr>
          <w:rFonts w:eastAsiaTheme="minorEastAsia"/>
        </w:rPr>
        <w:t>Lets</w:t>
      </w:r>
      <w:proofErr w:type="gramEnd"/>
      <w:r>
        <w:rPr>
          <w:rFonts w:eastAsiaTheme="minorEastAsia"/>
        </w:rPr>
        <w:t xml:space="preserve"> start with matrices Q and R being:</w:t>
      </w:r>
    </w:p>
    <w:p w14:paraId="79CCAA5B" w14:textId="0B8DF29D" w:rsidR="00AA4471" w:rsidRPr="00AA4471" w:rsidRDefault="00AA4471" w:rsidP="00AA44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R = 1</m:t>
          </m:r>
        </m:oMath>
      </m:oMathPara>
    </w:p>
    <w:p w14:paraId="027DB4D4" w14:textId="78FF27EA" w:rsidR="00AA4471" w:rsidRDefault="00AA4471" w:rsidP="00AA447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Continuous-Time Algebraic </w:t>
      </w:r>
      <w:proofErr w:type="spellStart"/>
      <w:r>
        <w:rPr>
          <w:rFonts w:eastAsiaTheme="minorEastAsia"/>
        </w:rPr>
        <w:t>Riccati</w:t>
      </w:r>
      <w:proofErr w:type="spellEnd"/>
      <w:r>
        <w:rPr>
          <w:rFonts w:eastAsiaTheme="minorEastAsia"/>
        </w:rPr>
        <w:t xml:space="preserve"> Equation (CARE):</w:t>
      </w:r>
    </w:p>
    <w:p w14:paraId="7C8FA05B" w14:textId="6FE03BCD" w:rsidR="00AA4471" w:rsidRDefault="00AA4471" w:rsidP="00AA4471">
      <w:pPr>
        <w:rPr>
          <w:rFonts w:eastAsiaTheme="minorEastAsia"/>
        </w:rPr>
      </w:pPr>
      <w:r>
        <w:rPr>
          <w:rFonts w:eastAsiaTheme="minorEastAsia"/>
        </w:rPr>
        <w:t xml:space="preserve">To find the gain matrix K,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solve the equation CARE given below:</w:t>
      </w:r>
    </w:p>
    <w:p w14:paraId="5DF6152E" w14:textId="5C8F6E32" w:rsidR="00AA4471" w:rsidRPr="00AA4471" w:rsidRDefault="00AA4471" w:rsidP="00AA447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P+PA-PB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P+Q=0</m:t>
          </m:r>
        </m:oMath>
      </m:oMathPara>
    </w:p>
    <w:p w14:paraId="24D073B2" w14:textId="1D172677" w:rsidR="00AA4471" w:rsidRDefault="00AA4471" w:rsidP="00AA4471">
      <w:pPr>
        <w:rPr>
          <w:rFonts w:eastAsiaTheme="minorEastAsia"/>
        </w:rPr>
      </w:pPr>
      <w:r>
        <w:rPr>
          <w:rFonts w:eastAsiaTheme="minorEastAsia"/>
        </w:rPr>
        <w:t>The solution P to this equation will help us compute the gain matrix K:</w:t>
      </w:r>
    </w:p>
    <w:p w14:paraId="4936868F" w14:textId="69A6A746" w:rsidR="00AA4471" w:rsidRPr="00AA4471" w:rsidRDefault="00AA4471" w:rsidP="00AA44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15CD8BD0" w14:textId="77777777" w:rsidR="00AA4471" w:rsidRDefault="00AA4471" w:rsidP="00AA4471">
      <w:pPr>
        <w:rPr>
          <w:rFonts w:eastAsiaTheme="minorEastAsia"/>
        </w:rPr>
      </w:pPr>
    </w:p>
    <w:p w14:paraId="4DC8DDB8" w14:textId="77777777" w:rsidR="004F36D4" w:rsidRDefault="004F36D4" w:rsidP="00AA4471">
      <w:pPr>
        <w:rPr>
          <w:rFonts w:eastAsiaTheme="minorEastAsia"/>
        </w:rPr>
      </w:pPr>
    </w:p>
    <w:p w14:paraId="39B9EC60" w14:textId="77777777" w:rsidR="004F36D4" w:rsidRDefault="004F36D4" w:rsidP="00AA4471">
      <w:pPr>
        <w:rPr>
          <w:rFonts w:eastAsiaTheme="minorEastAsia"/>
        </w:rPr>
      </w:pPr>
    </w:p>
    <w:p w14:paraId="29B82FD1" w14:textId="77777777" w:rsidR="004F36D4" w:rsidRDefault="004F36D4" w:rsidP="00AA4471">
      <w:pPr>
        <w:rPr>
          <w:rFonts w:eastAsiaTheme="minorEastAsia"/>
        </w:rPr>
      </w:pPr>
    </w:p>
    <w:p w14:paraId="5452691C" w14:textId="77777777" w:rsidR="004F36D4" w:rsidRDefault="004F36D4" w:rsidP="00AA4471">
      <w:pPr>
        <w:rPr>
          <w:rFonts w:eastAsiaTheme="minorEastAsia"/>
        </w:rPr>
      </w:pPr>
    </w:p>
    <w:p w14:paraId="233EA146" w14:textId="77777777" w:rsidR="004F36D4" w:rsidRDefault="004F36D4" w:rsidP="00AA4471">
      <w:pPr>
        <w:rPr>
          <w:rFonts w:eastAsiaTheme="minorEastAsia"/>
        </w:rPr>
      </w:pPr>
    </w:p>
    <w:p w14:paraId="29CED5D4" w14:textId="23492641" w:rsidR="004F36D4" w:rsidRDefault="004F36D4" w:rsidP="004F36D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Computing the LQR Gain Matrix K:</w:t>
      </w:r>
    </w:p>
    <w:p w14:paraId="59FDDE8C" w14:textId="563FA36F" w:rsidR="004F36D4" w:rsidRDefault="004F36D4" w:rsidP="004F36D4">
      <w:pPr>
        <w:rPr>
          <w:rFonts w:eastAsiaTheme="minorEastAsia"/>
        </w:rPr>
      </w:pPr>
      <w:r>
        <w:rPr>
          <w:rFonts w:eastAsiaTheme="minorEastAsia"/>
        </w:rPr>
        <w:t>Using the below MATLAB code with the ‘</w:t>
      </w:r>
      <w:proofErr w:type="spellStart"/>
      <w:r>
        <w:rPr>
          <w:rFonts w:eastAsiaTheme="minorEastAsia"/>
        </w:rPr>
        <w:t>lqr</w:t>
      </w:r>
      <w:proofErr w:type="spellEnd"/>
      <w:r>
        <w:rPr>
          <w:rFonts w:eastAsiaTheme="minorEastAsia"/>
        </w:rPr>
        <w:t>’ function:</w:t>
      </w:r>
    </w:p>
    <w:p w14:paraId="63D77241" w14:textId="254588B4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gramStart"/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the</w:t>
      </w:r>
      <w:proofErr w:type="gramEnd"/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weighting matrices</w:t>
      </w:r>
      <w:r w:rsidR="00372B4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q and r</w:t>
      </w:r>
    </w:p>
    <w:p w14:paraId="5B4704D3" w14:textId="77777777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Q = [1, 0, </w:t>
      </w:r>
      <w:proofErr w:type="gram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4E90EAFE" w14:textId="77777777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0, 1, </w:t>
      </w:r>
      <w:proofErr w:type="gram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2893F209" w14:textId="77777777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0, 0, 1</w:t>
      </w:r>
      <w:proofErr w:type="gram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4EB8FBFD" w14:textId="77777777" w:rsidR="004F36D4" w:rsidRPr="004F36D4" w:rsidRDefault="004F36D4" w:rsidP="004F36D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9A80602" w14:textId="77777777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R = </w:t>
      </w:r>
      <w:proofErr w:type="gram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1;</w:t>
      </w:r>
      <w:proofErr w:type="gramEnd"/>
    </w:p>
    <w:p w14:paraId="2DFB4030" w14:textId="77777777" w:rsidR="004F36D4" w:rsidRPr="004F36D4" w:rsidRDefault="004F36D4" w:rsidP="004F36D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ADA3387" w14:textId="38AAE098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c</w:t>
      </w:r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omput</w:t>
      </w:r>
      <w:r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ing</w:t>
      </w:r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the LQR gain matrix K</w:t>
      </w:r>
    </w:p>
    <w:p w14:paraId="3FF77D76" w14:textId="77777777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[K, S, e] = </w:t>
      </w:r>
      <w:proofErr w:type="spellStart"/>
      <w:proofErr w:type="gram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lqr</w:t>
      </w:r>
      <w:proofErr w:type="spellEnd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A, B, Q, R);</w:t>
      </w:r>
    </w:p>
    <w:p w14:paraId="1494F348" w14:textId="77777777" w:rsidR="004F36D4" w:rsidRPr="004F36D4" w:rsidRDefault="004F36D4" w:rsidP="004F36D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145DBB6" w14:textId="11299AF2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print </w:t>
      </w:r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gain matrix K</w:t>
      </w:r>
    </w:p>
    <w:p w14:paraId="600AA4B0" w14:textId="77777777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F36D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LQR gain matrix K is:'</w:t>
      </w:r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35CF065" w14:textId="77777777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(K</w:t>
      </w:r>
      <w:proofErr w:type="gram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6F7F2137" w14:textId="77777777" w:rsidR="004F36D4" w:rsidRPr="004F36D4" w:rsidRDefault="004F36D4" w:rsidP="004F36D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B2A229A" w14:textId="7A4A86E3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gramStart"/>
      <w:r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print</w:t>
      </w:r>
      <w:proofErr w:type="gramEnd"/>
      <w:r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</w:t>
      </w:r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the solution</w:t>
      </w:r>
      <w:r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S</w:t>
      </w:r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to the </w:t>
      </w:r>
      <w:proofErr w:type="spellStart"/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Riccati</w:t>
      </w:r>
      <w:proofErr w:type="spellEnd"/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equation</w:t>
      </w:r>
    </w:p>
    <w:p w14:paraId="1A7E763E" w14:textId="77777777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F36D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'The solution to the </w:t>
      </w:r>
      <w:proofErr w:type="spellStart"/>
      <w:r w:rsidRPr="004F36D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Riccati</w:t>
      </w:r>
      <w:proofErr w:type="spellEnd"/>
      <w:r w:rsidRPr="004F36D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equation S is:'</w:t>
      </w:r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08AEB97" w14:textId="77777777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(S</w:t>
      </w:r>
      <w:proofErr w:type="gram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6C7CA2C5" w14:textId="77777777" w:rsidR="004F36D4" w:rsidRPr="004F36D4" w:rsidRDefault="004F36D4" w:rsidP="004F36D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47D5223" w14:textId="0BE3E2D2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</w:pPr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gramStart"/>
      <w:r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print</w:t>
      </w:r>
      <w:proofErr w:type="gramEnd"/>
      <w:r w:rsidRPr="004F36D4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the closed-loop eigenvalues</w:t>
      </w:r>
    </w:p>
    <w:p w14:paraId="56C4BD63" w14:textId="77777777" w:rsidR="004F36D4" w:rsidRPr="004F36D4" w:rsidRDefault="004F36D4" w:rsidP="004F3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F36D4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closed-loop eigenvalues are:'</w:t>
      </w:r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4A27367" w14:textId="77777777" w:rsidR="004F36D4" w:rsidRPr="004F36D4" w:rsidRDefault="004F36D4" w:rsidP="004F36D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(e</w:t>
      </w:r>
      <w:proofErr w:type="gramStart"/>
      <w:r w:rsidRPr="004F36D4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24C457CD" w14:textId="77777777" w:rsidR="004F36D4" w:rsidRDefault="004F36D4" w:rsidP="004F36D4">
      <w:pPr>
        <w:rPr>
          <w:rFonts w:eastAsiaTheme="minorEastAsia"/>
        </w:rPr>
      </w:pPr>
    </w:p>
    <w:p w14:paraId="344EEEEC" w14:textId="1618449B" w:rsidR="00965B2B" w:rsidRDefault="00965B2B" w:rsidP="004F36D4">
      <w:pPr>
        <w:rPr>
          <w:rFonts w:eastAsiaTheme="minorEastAsia"/>
        </w:rPr>
      </w:pPr>
      <w:r>
        <w:rPr>
          <w:rFonts w:eastAsiaTheme="minorEastAsia"/>
        </w:rPr>
        <w:t xml:space="preserve">With the </w:t>
      </w:r>
      <w:proofErr w:type="spellStart"/>
      <w:r>
        <w:rPr>
          <w:rFonts w:eastAsiaTheme="minorEastAsia"/>
        </w:rPr>
        <w:t>lqr</w:t>
      </w:r>
      <w:proofErr w:type="spellEnd"/>
      <w:r>
        <w:rPr>
          <w:rFonts w:eastAsiaTheme="minorEastAsia"/>
        </w:rPr>
        <w:t xml:space="preserve"> function in MATLAB we can also get the solution to the </w:t>
      </w:r>
      <w:proofErr w:type="spellStart"/>
      <w:r>
        <w:rPr>
          <w:rFonts w:eastAsiaTheme="minorEastAsia"/>
        </w:rPr>
        <w:t>Riccati</w:t>
      </w:r>
      <w:proofErr w:type="spellEnd"/>
      <w:r>
        <w:rPr>
          <w:rFonts w:eastAsiaTheme="minorEastAsia"/>
        </w:rPr>
        <w:t xml:space="preserve"> equation and the eigenvalues of the closed loop system. </w:t>
      </w:r>
    </w:p>
    <w:p w14:paraId="27D2137F" w14:textId="25F712DD" w:rsidR="00965B2B" w:rsidRDefault="00372B4A" w:rsidP="004F36D4">
      <w:pPr>
        <w:rPr>
          <w:rFonts w:eastAsiaTheme="minorEastAsia"/>
        </w:rPr>
      </w:pPr>
      <w:r>
        <w:rPr>
          <w:rFonts w:eastAsiaTheme="minorEastAsia"/>
        </w:rPr>
        <w:t xml:space="preserve">With the </w:t>
      </w:r>
      <w:proofErr w:type="gramStart"/>
      <w:r>
        <w:rPr>
          <w:rFonts w:eastAsiaTheme="minorEastAsia"/>
        </w:rPr>
        <w:t>trial and error</w:t>
      </w:r>
      <w:proofErr w:type="gramEnd"/>
      <w:r>
        <w:rPr>
          <w:rFonts w:eastAsiaTheme="minorEastAsia"/>
        </w:rPr>
        <w:t xml:space="preserve"> method of changing the values of Q and R and implementing the resulting gain matrix K on the self-balancing bike, the optimal gain values for the hardware can be found. </w:t>
      </w:r>
    </w:p>
    <w:p w14:paraId="7299BA45" w14:textId="42F303AD" w:rsidR="00372B4A" w:rsidRDefault="00372B4A" w:rsidP="004F36D4">
      <w:pPr>
        <w:rPr>
          <w:rFonts w:eastAsiaTheme="minorEastAsia"/>
        </w:rPr>
      </w:pPr>
      <w:r>
        <w:rPr>
          <w:rFonts w:eastAsiaTheme="minorEastAsia"/>
        </w:rPr>
        <w:t xml:space="preserve">Using these feedback gain values, and the solution of the </w:t>
      </w:r>
      <w:proofErr w:type="spellStart"/>
      <w:r>
        <w:rPr>
          <w:rFonts w:eastAsiaTheme="minorEastAsia"/>
        </w:rPr>
        <w:t>Riccati</w:t>
      </w:r>
      <w:proofErr w:type="spellEnd"/>
      <w:r>
        <w:rPr>
          <w:rFonts w:eastAsiaTheme="minorEastAsia"/>
        </w:rPr>
        <w:t xml:space="preserve"> equation, the stability of the system is also verified using the Lyapunov stability analysis in the next section. </w:t>
      </w:r>
    </w:p>
    <w:p w14:paraId="6F58099C" w14:textId="77777777" w:rsidR="00372B4A" w:rsidRDefault="00372B4A" w:rsidP="004F36D4">
      <w:pPr>
        <w:rPr>
          <w:rFonts w:eastAsiaTheme="minorEastAsia"/>
        </w:rPr>
      </w:pPr>
    </w:p>
    <w:p w14:paraId="7C447854" w14:textId="77777777" w:rsidR="00372B4A" w:rsidRDefault="00372B4A" w:rsidP="004F36D4">
      <w:pPr>
        <w:rPr>
          <w:rFonts w:eastAsiaTheme="minorEastAsia"/>
        </w:rPr>
      </w:pPr>
    </w:p>
    <w:p w14:paraId="677F2A3D" w14:textId="77777777" w:rsidR="00372B4A" w:rsidRDefault="00372B4A" w:rsidP="004F36D4">
      <w:pPr>
        <w:rPr>
          <w:rFonts w:eastAsiaTheme="minorEastAsia"/>
        </w:rPr>
      </w:pPr>
    </w:p>
    <w:p w14:paraId="34AB82BA" w14:textId="77777777" w:rsidR="00372B4A" w:rsidRDefault="00372B4A" w:rsidP="004F36D4">
      <w:pPr>
        <w:rPr>
          <w:rFonts w:eastAsiaTheme="minorEastAsia"/>
        </w:rPr>
      </w:pPr>
    </w:p>
    <w:p w14:paraId="24535425" w14:textId="77777777" w:rsidR="00372B4A" w:rsidRDefault="00372B4A" w:rsidP="004F36D4">
      <w:pPr>
        <w:rPr>
          <w:rFonts w:eastAsiaTheme="minorEastAsia"/>
        </w:rPr>
      </w:pPr>
    </w:p>
    <w:p w14:paraId="56B87B8F" w14:textId="36E2CC2B" w:rsidR="006C5744" w:rsidRDefault="006C5744" w:rsidP="006C5744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Verifying Stability Using the Lyapunov Function:</w:t>
      </w:r>
    </w:p>
    <w:p w14:paraId="0875A820" w14:textId="77777777" w:rsidR="006C5744" w:rsidRDefault="006C5744" w:rsidP="006C5744"/>
    <w:p w14:paraId="611F3417" w14:textId="677EE51F" w:rsidR="006C5744" w:rsidRDefault="006C5744" w:rsidP="006C5744">
      <w:r>
        <w:t>We will use the following Lyapunov function:</w:t>
      </w:r>
    </w:p>
    <w:p w14:paraId="5AFC1D56" w14:textId="5595903A" w:rsidR="006C5744" w:rsidRPr="006C5744" w:rsidRDefault="006C5744" w:rsidP="006C57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</m:t>
          </m:r>
        </m:oMath>
      </m:oMathPara>
    </w:p>
    <w:p w14:paraId="2305861A" w14:textId="4557756A" w:rsidR="006C5744" w:rsidRDefault="006C5744" w:rsidP="006C5744">
      <w:pPr>
        <w:rPr>
          <w:rFonts w:eastAsiaTheme="minorEastAsia"/>
        </w:rPr>
      </w:pPr>
      <w:r>
        <w:rPr>
          <w:rFonts w:eastAsiaTheme="minorEastAsia"/>
        </w:rPr>
        <w:t>The time derivative of V(x) along the trajectories of the system is:</w:t>
      </w:r>
    </w:p>
    <w:p w14:paraId="05F73716" w14:textId="3A1DA6CF" w:rsidR="006C5744" w:rsidRPr="006C5744" w:rsidRDefault="006C5744" w:rsidP="006C574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122981DB" w14:textId="5ED5D0DE" w:rsidR="006C5744" w:rsidRPr="006C5744" w:rsidRDefault="006C5744" w:rsidP="006C5744">
      <w:pPr>
        <w:rPr>
          <w:rFonts w:eastAsiaTheme="minorEastAsia"/>
        </w:rPr>
      </w:pPr>
      <w:r>
        <w:rPr>
          <w:rFonts w:eastAsiaTheme="minorEastAsia"/>
        </w:rPr>
        <w:t xml:space="preserve">Using the system dynamics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A-BK</m:t>
            </m:r>
          </m:e>
        </m:d>
        <m:r>
          <w:rPr>
            <w:rFonts w:ascii="Cambria Math" w:eastAsiaTheme="minorEastAsia" w:hAnsi="Cambria Math"/>
          </w:rPr>
          <m:t>x:</m:t>
        </m:r>
      </m:oMath>
    </w:p>
    <w:p w14:paraId="1D77CEC4" w14:textId="36C75EA4" w:rsidR="006C5744" w:rsidRPr="006C5744" w:rsidRDefault="006C5744" w:rsidP="006C574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A-BK</m:t>
              </m:r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3963B26F" w14:textId="5D352ED6" w:rsidR="006C5744" w:rsidRDefault="006C5744" w:rsidP="006C5744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should be negative definite for the system to have stability.</w:t>
      </w:r>
    </w:p>
    <w:p w14:paraId="69979C97" w14:textId="22CD3D95" w:rsidR="006C5744" w:rsidRDefault="006C5744" w:rsidP="006C5744">
      <w:pPr>
        <w:rPr>
          <w:rFonts w:eastAsiaTheme="minorEastAsia"/>
        </w:rPr>
      </w:pPr>
      <w:r>
        <w:rPr>
          <w:rFonts w:eastAsiaTheme="minorEastAsia"/>
        </w:rPr>
        <w:t xml:space="preserve">Therefore, for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to be negative definite:</w:t>
      </w:r>
    </w:p>
    <w:p w14:paraId="090F39B6" w14:textId="6BEB042B" w:rsidR="006C5744" w:rsidRPr="006C5744" w:rsidRDefault="006C5744" w:rsidP="006C5744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A-BK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06AFCE0E" w14:textId="77777777" w:rsidR="00D4062D" w:rsidRDefault="00D4062D" w:rsidP="006C5744">
      <w:pPr>
        <w:rPr>
          <w:rFonts w:eastAsiaTheme="minorEastAsia"/>
        </w:rPr>
      </w:pPr>
    </w:p>
    <w:p w14:paraId="79CF1322" w14:textId="366974BA" w:rsidR="006C5744" w:rsidRDefault="00D4062D" w:rsidP="006C5744">
      <w:pPr>
        <w:rPr>
          <w:rFonts w:eastAsiaTheme="minorEastAsia"/>
        </w:rPr>
      </w:pPr>
      <w:r>
        <w:rPr>
          <w:rFonts w:eastAsiaTheme="minorEastAsia"/>
        </w:rPr>
        <w:t>The below given MATLAB code was written for this task:</w:t>
      </w:r>
    </w:p>
    <w:p w14:paraId="35CD2CE2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matrix of the closed loop system</w:t>
      </w:r>
    </w:p>
    <w:p w14:paraId="1B3FB96A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A_cl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A - B * </w:t>
      </w:r>
      <w:proofErr w:type="gram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K;</w:t>
      </w:r>
      <w:proofErr w:type="gramEnd"/>
    </w:p>
    <w:p w14:paraId="76B8CCC7" w14:textId="77777777" w:rsidR="00D4062D" w:rsidRPr="00D4062D" w:rsidRDefault="00D4062D" w:rsidP="00D406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A94F41E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Lyapunov function matrix P (from the solution to the </w:t>
      </w:r>
      <w:proofErr w:type="spellStart"/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Riccati</w:t>
      </w:r>
      <w:proofErr w:type="spellEnd"/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equation)</w:t>
      </w:r>
    </w:p>
    <w:p w14:paraId="2F65E643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 = </w:t>
      </w:r>
      <w:proofErr w:type="gram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S;</w:t>
      </w:r>
      <w:proofErr w:type="gramEnd"/>
    </w:p>
    <w:p w14:paraId="733F5721" w14:textId="77777777" w:rsidR="00D4062D" w:rsidRPr="00D4062D" w:rsidRDefault="00D4062D" w:rsidP="00D406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FFE6F11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Lyap_matrix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A_cl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' * P + P * </w:t>
      </w:r>
      <w:proofErr w:type="spell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A_</w:t>
      </w:r>
      <w:proofErr w:type="gram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proofErr w:type="gramEnd"/>
    </w:p>
    <w:p w14:paraId="3EF7D689" w14:textId="77777777" w:rsidR="00D4062D" w:rsidRPr="00D4062D" w:rsidRDefault="00D4062D" w:rsidP="00D406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4EE2D2C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gramStart"/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print</w:t>
      </w:r>
      <w:proofErr w:type="gramEnd"/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the Lyapunov matrix</w:t>
      </w:r>
    </w:p>
    <w:p w14:paraId="0047BDF1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'The matrix </w:t>
      </w:r>
      <w:proofErr w:type="spellStart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A_cl^T</w:t>
      </w:r>
      <w:proofErr w:type="spellEnd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* P + P * </w:t>
      </w:r>
      <w:proofErr w:type="spellStart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A_cl</w:t>
      </w:r>
      <w:proofErr w:type="spellEnd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is:'</w:t>
      </w:r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B4E6891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Lyap_matrix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A0E6E59" w14:textId="77777777" w:rsidR="00D4062D" w:rsidRPr="00D4062D" w:rsidRDefault="00D4062D" w:rsidP="00D406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6AC353B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eigenvalues of the Lyapunov matrix (should all have negative real parts)</w:t>
      </w:r>
    </w:p>
    <w:p w14:paraId="5782FDA9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Lyap_eigenvalues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Lyap_matrix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74A2571" w14:textId="77777777" w:rsidR="00D4062D" w:rsidRPr="00D4062D" w:rsidRDefault="00D4062D" w:rsidP="00D406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28B5337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gramStart"/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print</w:t>
      </w:r>
      <w:proofErr w:type="gramEnd"/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the eigenvalues of the Lyapunov matrix</w:t>
      </w:r>
    </w:p>
    <w:p w14:paraId="460445CA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'The eigenvalues of the matrix </w:t>
      </w:r>
      <w:proofErr w:type="spellStart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A_cl^T</w:t>
      </w:r>
      <w:proofErr w:type="spellEnd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* P + P * </w:t>
      </w:r>
      <w:proofErr w:type="spellStart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A_cl</w:t>
      </w:r>
      <w:proofErr w:type="spellEnd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are:'</w:t>
      </w:r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CF623EF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Lyap_eigenvalues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9CD6196" w14:textId="77777777" w:rsidR="00D4062D" w:rsidRPr="00D4062D" w:rsidRDefault="00D4062D" w:rsidP="00D406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725A88F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check if all eigenvalues have negative real parts</w:t>
      </w:r>
    </w:p>
    <w:p w14:paraId="5AC05389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>is_negative_definite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all(</w:t>
      </w:r>
      <w:proofErr w:type="gram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real(</w:t>
      </w:r>
      <w:proofErr w:type="spellStart"/>
      <w:proofErr w:type="gram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Lyap_eigenvalues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 &lt; 0);</w:t>
      </w:r>
    </w:p>
    <w:p w14:paraId="1F518397" w14:textId="77777777" w:rsidR="00D4062D" w:rsidRPr="00D4062D" w:rsidRDefault="00D4062D" w:rsidP="00D406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5320303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print whether the Lyapunov matrix is negative definite or not</w:t>
      </w:r>
    </w:p>
    <w:p w14:paraId="3AAA44AF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proofErr w:type="spell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is_negative_definite</w:t>
      </w:r>
      <w:proofErr w:type="spellEnd"/>
    </w:p>
    <w:p w14:paraId="3119C910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'The matrix </w:t>
      </w:r>
      <w:proofErr w:type="spellStart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A_cl^T</w:t>
      </w:r>
      <w:proofErr w:type="spellEnd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* P + P * </w:t>
      </w:r>
      <w:proofErr w:type="spellStart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A_cl</w:t>
      </w:r>
      <w:proofErr w:type="spellEnd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is negative definite.'</w:t>
      </w:r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5433C56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3F6E7AB2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'The matrix </w:t>
      </w:r>
      <w:proofErr w:type="spellStart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A_cl^T</w:t>
      </w:r>
      <w:proofErr w:type="spellEnd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* P + P * </w:t>
      </w:r>
      <w:proofErr w:type="spellStart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A_cl</w:t>
      </w:r>
      <w:proofErr w:type="spellEnd"/>
      <w:r w:rsidRPr="00D4062D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is NOT negative definite.'</w:t>
      </w:r>
      <w:r w:rsidRPr="00D4062D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C65D523" w14:textId="77777777" w:rsidR="00D4062D" w:rsidRPr="00D4062D" w:rsidRDefault="00D4062D" w:rsidP="00D4062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4062D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6C7A4A7" w14:textId="303B6F77" w:rsidR="00D4062D" w:rsidRPr="006C5744" w:rsidRDefault="00D4062D" w:rsidP="006C5744">
      <w:pPr>
        <w:rPr>
          <w:rFonts w:eastAsiaTheme="minorEastAsia"/>
        </w:rPr>
      </w:pPr>
    </w:p>
    <w:p w14:paraId="7370D0C0" w14:textId="28C43734" w:rsidR="006C5744" w:rsidRDefault="00D4062D" w:rsidP="006C5744">
      <w:pPr>
        <w:rPr>
          <w:rFonts w:eastAsiaTheme="minorEastAsia"/>
        </w:rPr>
      </w:pPr>
      <w:r>
        <w:t xml:space="preserve">We check if the matrix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A-BK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P+P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A-BK</m:t>
            </m:r>
          </m:e>
        </m:d>
      </m:oMath>
      <w:r>
        <w:rPr>
          <w:rFonts w:eastAsiaTheme="minorEastAsia"/>
        </w:rPr>
        <w:t xml:space="preserve"> is negative definite by checking if all the eigenvalues have negative real parts.</w:t>
      </w:r>
    </w:p>
    <w:p w14:paraId="69659DB5" w14:textId="77777777" w:rsidR="00D4062D" w:rsidRDefault="00D4062D" w:rsidP="006C5744">
      <w:pPr>
        <w:rPr>
          <w:rFonts w:eastAsiaTheme="minorEastAsia"/>
        </w:rPr>
      </w:pPr>
    </w:p>
    <w:p w14:paraId="5391ED63" w14:textId="646413E4" w:rsidR="00D4062D" w:rsidRDefault="00D4062D" w:rsidP="006C5744">
      <w:pPr>
        <w:rPr>
          <w:rFonts w:eastAsiaTheme="minorEastAsia"/>
        </w:rPr>
      </w:pPr>
      <w:r>
        <w:rPr>
          <w:rFonts w:eastAsiaTheme="minorEastAsia"/>
        </w:rPr>
        <w:t xml:space="preserve">By varying Q and R of the LQR controller, </w:t>
      </w:r>
      <w:r w:rsidR="00FD6D2F">
        <w:rPr>
          <w:rFonts w:eastAsiaTheme="minorEastAsia"/>
        </w:rPr>
        <w:t>different</w:t>
      </w:r>
      <w:r>
        <w:rPr>
          <w:rFonts w:eastAsiaTheme="minorEastAsia"/>
        </w:rPr>
        <w:t xml:space="preserve"> feedback gain matrices were found and tested on the self-balancing bike and their Lyapunov stability was also checked. </w:t>
      </w:r>
    </w:p>
    <w:p w14:paraId="107F9710" w14:textId="3D1F9E57" w:rsidR="00D4062D" w:rsidRDefault="00D4062D" w:rsidP="006C5744">
      <w:pPr>
        <w:rPr>
          <w:rFonts w:eastAsiaTheme="minorEastAsia"/>
        </w:rPr>
      </w:pPr>
      <w:r>
        <w:rPr>
          <w:rFonts w:eastAsiaTheme="minorEastAsia"/>
        </w:rPr>
        <w:t xml:space="preserve">Below given are the </w:t>
      </w:r>
      <w:r w:rsidR="00FD6D2F">
        <w:rPr>
          <w:rFonts w:eastAsiaTheme="minorEastAsia"/>
        </w:rPr>
        <w:t>values of Q and R and their resulting gain matrices K:</w:t>
      </w:r>
    </w:p>
    <w:p w14:paraId="01B93736" w14:textId="4B4B68AD" w:rsidR="00FD6D2F" w:rsidRDefault="00FD6D2F" w:rsidP="006C5744">
      <w:pPr>
        <w:rPr>
          <w:rFonts w:eastAsiaTheme="minorEastAsia"/>
        </w:rPr>
      </w:pPr>
      <w:r>
        <w:rPr>
          <w:rFonts w:eastAsiaTheme="minorEastAsia"/>
        </w:rPr>
        <w:t>(make a table of the values)</w:t>
      </w:r>
    </w:p>
    <w:p w14:paraId="1ACBF10D" w14:textId="77777777" w:rsidR="00FD6D2F" w:rsidRDefault="00FD6D2F" w:rsidP="006C5744">
      <w:pPr>
        <w:rPr>
          <w:rFonts w:eastAsiaTheme="minorEastAsia"/>
        </w:rPr>
      </w:pPr>
    </w:p>
    <w:p w14:paraId="0ADDA63D" w14:textId="12DACD6F" w:rsidR="00FD6D2F" w:rsidRDefault="00FD6D2F" w:rsidP="006C5744">
      <w:pPr>
        <w:rPr>
          <w:rFonts w:eastAsiaTheme="minorEastAsia"/>
        </w:rPr>
      </w:pPr>
      <w:r>
        <w:rPr>
          <w:rFonts w:eastAsiaTheme="minorEastAsia"/>
        </w:rPr>
        <w:t>The optimal values found to be working good on the self-balancing bike are:</w:t>
      </w:r>
    </w:p>
    <w:p w14:paraId="10EE4211" w14:textId="5DA31026" w:rsidR="00FD6D2F" w:rsidRDefault="00FD6D2F" w:rsidP="006C5744">
      <w:pPr>
        <w:rPr>
          <w:rFonts w:eastAsiaTheme="minorEastAsia"/>
        </w:rPr>
      </w:pPr>
      <w:r>
        <w:rPr>
          <w:rFonts w:eastAsiaTheme="minorEastAsia"/>
        </w:rPr>
        <w:t xml:space="preserve">(put the optimal values of </w:t>
      </w:r>
      <w:r w:rsidR="000057D3">
        <w:rPr>
          <w:rFonts w:eastAsiaTheme="minorEastAsia"/>
        </w:rPr>
        <w:t xml:space="preserve">Q, R and </w:t>
      </w:r>
      <w:r>
        <w:rPr>
          <w:rFonts w:eastAsiaTheme="minorEastAsia"/>
        </w:rPr>
        <w:t>K here)</w:t>
      </w:r>
    </w:p>
    <w:p w14:paraId="66896C7E" w14:textId="77777777" w:rsidR="00FD6D2F" w:rsidRDefault="00FD6D2F" w:rsidP="006C5744">
      <w:pPr>
        <w:rPr>
          <w:rFonts w:eastAsiaTheme="minorEastAsia"/>
        </w:rPr>
      </w:pPr>
    </w:p>
    <w:p w14:paraId="384DF9D8" w14:textId="77777777" w:rsidR="00FD6D2F" w:rsidRDefault="00FD6D2F" w:rsidP="006C5744">
      <w:pPr>
        <w:rPr>
          <w:rFonts w:eastAsiaTheme="minorEastAsia"/>
        </w:rPr>
      </w:pPr>
    </w:p>
    <w:p w14:paraId="3B096238" w14:textId="77777777" w:rsidR="00FD6D2F" w:rsidRDefault="00FD6D2F" w:rsidP="006C5744">
      <w:pPr>
        <w:rPr>
          <w:rFonts w:eastAsiaTheme="minorEastAsia"/>
        </w:rPr>
      </w:pPr>
    </w:p>
    <w:p w14:paraId="0049C2A5" w14:textId="77777777" w:rsidR="00FD6D2F" w:rsidRDefault="00FD6D2F" w:rsidP="006C5744">
      <w:pPr>
        <w:rPr>
          <w:rFonts w:eastAsiaTheme="minorEastAsia"/>
        </w:rPr>
      </w:pPr>
    </w:p>
    <w:p w14:paraId="71C1C8A5" w14:textId="77777777" w:rsidR="00FD6D2F" w:rsidRDefault="00FD6D2F" w:rsidP="006C5744">
      <w:pPr>
        <w:rPr>
          <w:rFonts w:eastAsiaTheme="minorEastAsia"/>
        </w:rPr>
      </w:pPr>
    </w:p>
    <w:p w14:paraId="2ADABB12" w14:textId="77777777" w:rsidR="00FD6D2F" w:rsidRDefault="00FD6D2F" w:rsidP="006C5744">
      <w:pPr>
        <w:rPr>
          <w:rFonts w:eastAsiaTheme="minorEastAsia"/>
        </w:rPr>
      </w:pPr>
    </w:p>
    <w:p w14:paraId="61D71221" w14:textId="77777777" w:rsidR="00FD6D2F" w:rsidRDefault="00FD6D2F" w:rsidP="006C5744">
      <w:pPr>
        <w:rPr>
          <w:rFonts w:eastAsiaTheme="minorEastAsia"/>
        </w:rPr>
      </w:pPr>
    </w:p>
    <w:p w14:paraId="1F33FD70" w14:textId="77777777" w:rsidR="00FD6D2F" w:rsidRDefault="00FD6D2F" w:rsidP="006C5744">
      <w:pPr>
        <w:rPr>
          <w:rFonts w:eastAsiaTheme="minorEastAsia"/>
        </w:rPr>
      </w:pPr>
    </w:p>
    <w:p w14:paraId="7AD721E6" w14:textId="77777777" w:rsidR="00FD6D2F" w:rsidRDefault="00FD6D2F" w:rsidP="006C5744">
      <w:pPr>
        <w:rPr>
          <w:rFonts w:eastAsiaTheme="minorEastAsia"/>
        </w:rPr>
      </w:pPr>
    </w:p>
    <w:p w14:paraId="6C55286D" w14:textId="77777777" w:rsidR="00FD6D2F" w:rsidRDefault="00FD6D2F" w:rsidP="006C5744">
      <w:pPr>
        <w:rPr>
          <w:rFonts w:eastAsiaTheme="minorEastAsia"/>
        </w:rPr>
      </w:pPr>
    </w:p>
    <w:p w14:paraId="11B9971F" w14:textId="77777777" w:rsidR="00FD6D2F" w:rsidRDefault="00FD6D2F" w:rsidP="006C5744">
      <w:pPr>
        <w:rPr>
          <w:rFonts w:eastAsiaTheme="minorEastAsia"/>
        </w:rPr>
      </w:pPr>
    </w:p>
    <w:p w14:paraId="1C56C439" w14:textId="77777777" w:rsidR="00FD6D2F" w:rsidRDefault="00FD6D2F" w:rsidP="006C5744">
      <w:pPr>
        <w:rPr>
          <w:rFonts w:eastAsiaTheme="minorEastAsia"/>
        </w:rPr>
      </w:pPr>
    </w:p>
    <w:p w14:paraId="24492172" w14:textId="77777777" w:rsidR="00FD6D2F" w:rsidRDefault="00FD6D2F" w:rsidP="006C5744">
      <w:pPr>
        <w:rPr>
          <w:rFonts w:eastAsiaTheme="minorEastAsia"/>
        </w:rPr>
      </w:pPr>
    </w:p>
    <w:p w14:paraId="7DD406D4" w14:textId="2A7BAF41" w:rsidR="00FD6D2F" w:rsidRDefault="00FD6D2F" w:rsidP="00FD6D2F">
      <w:pPr>
        <w:pStyle w:val="Heading2"/>
        <w:numPr>
          <w:ilvl w:val="0"/>
          <w:numId w:val="1"/>
        </w:numPr>
      </w:pPr>
      <w:r>
        <w:lastRenderedPageBreak/>
        <w:t>Forward motion, turning and WIFI Control:</w:t>
      </w:r>
    </w:p>
    <w:p w14:paraId="4FF294C8" w14:textId="77777777" w:rsidR="00FD6D2F" w:rsidRDefault="00FD6D2F" w:rsidP="00FD6D2F">
      <w:r>
        <w:t>Now that the bike can be balanced well on place, the next steps are:</w:t>
      </w:r>
    </w:p>
    <w:p w14:paraId="63D505A7" w14:textId="6F8BC5E6" w:rsidR="00FD6D2F" w:rsidRDefault="000057D3" w:rsidP="00FD6D2F">
      <w:pPr>
        <w:pStyle w:val="ListParagraph"/>
        <w:numPr>
          <w:ilvl w:val="0"/>
          <w:numId w:val="3"/>
        </w:numPr>
      </w:pPr>
      <w:r>
        <w:t>T</w:t>
      </w:r>
      <w:r w:rsidR="00FD6D2F">
        <w:t>o try moving the bike in straight motion and balance it.</w:t>
      </w:r>
    </w:p>
    <w:p w14:paraId="2D0E7BE5" w14:textId="5BEFC2ED" w:rsidR="00FD6D2F" w:rsidRDefault="00FD6D2F" w:rsidP="00FD6D2F">
      <w:pPr>
        <w:pStyle w:val="ListParagraph"/>
        <w:numPr>
          <w:ilvl w:val="0"/>
          <w:numId w:val="3"/>
        </w:numPr>
      </w:pPr>
      <w:r>
        <w:t>Make the turning maneuvers (calculate change in theta using the formula of turn radius and put the resulting value of theta in the bias term in the Simulink model)</w:t>
      </w:r>
    </w:p>
    <w:p w14:paraId="19E45A09" w14:textId="50193B71" w:rsidR="00FD6D2F" w:rsidRPr="00FD6D2F" w:rsidRDefault="000057D3" w:rsidP="00FD6D2F">
      <w:pPr>
        <w:pStyle w:val="ListParagraph"/>
        <w:numPr>
          <w:ilvl w:val="0"/>
          <w:numId w:val="3"/>
        </w:numPr>
      </w:pPr>
      <w:r>
        <w:t xml:space="preserve">Get the bike working on WIFI </w:t>
      </w:r>
      <w:proofErr w:type="gramStart"/>
      <w:r>
        <w:t>connection</w:t>
      </w:r>
      <w:proofErr w:type="gramEnd"/>
    </w:p>
    <w:sectPr w:rsidR="00FD6D2F" w:rsidRPr="00FD6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68C3"/>
    <w:multiLevelType w:val="hybridMultilevel"/>
    <w:tmpl w:val="2774E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E74BF"/>
    <w:multiLevelType w:val="hybridMultilevel"/>
    <w:tmpl w:val="4C98C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74DD2"/>
    <w:multiLevelType w:val="hybridMultilevel"/>
    <w:tmpl w:val="9F809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16872">
    <w:abstractNumId w:val="1"/>
  </w:num>
  <w:num w:numId="2" w16cid:durableId="874197589">
    <w:abstractNumId w:val="0"/>
  </w:num>
  <w:num w:numId="3" w16cid:durableId="695928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3"/>
    <w:rsid w:val="000057D3"/>
    <w:rsid w:val="000166F8"/>
    <w:rsid w:val="002677A3"/>
    <w:rsid w:val="00372B4A"/>
    <w:rsid w:val="00435E37"/>
    <w:rsid w:val="004F36D4"/>
    <w:rsid w:val="0057159A"/>
    <w:rsid w:val="006C5744"/>
    <w:rsid w:val="00965B2B"/>
    <w:rsid w:val="00AA4471"/>
    <w:rsid w:val="00C73F6B"/>
    <w:rsid w:val="00D4062D"/>
    <w:rsid w:val="00E2708F"/>
    <w:rsid w:val="00F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0C40"/>
  <w15:chartTrackingRefBased/>
  <w15:docId w15:val="{4F89B634-E0D2-490B-8115-3ABF7238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7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677A3"/>
    <w:rPr>
      <w:color w:val="666666"/>
    </w:rPr>
  </w:style>
  <w:style w:type="character" w:customStyle="1" w:styleId="sc24624d341">
    <w:name w:val="sc24624d341"/>
    <w:basedOn w:val="DefaultParagraphFont"/>
    <w:rsid w:val="00E2708F"/>
    <w:rPr>
      <w:strike w:val="0"/>
      <w:dstrike w:val="0"/>
      <w:color w:val="008013"/>
      <w:u w:val="none"/>
      <w:effect w:val="none"/>
    </w:rPr>
  </w:style>
  <w:style w:type="character" w:customStyle="1" w:styleId="sc24624d30">
    <w:name w:val="sc24624d30"/>
    <w:basedOn w:val="DefaultParagraphFont"/>
    <w:rsid w:val="00E2708F"/>
  </w:style>
  <w:style w:type="character" w:customStyle="1" w:styleId="sc24624d351">
    <w:name w:val="sc24624d351"/>
    <w:basedOn w:val="DefaultParagraphFont"/>
    <w:rsid w:val="00E2708F"/>
    <w:rPr>
      <w:strike w:val="0"/>
      <w:dstrike w:val="0"/>
      <w:color w:val="0E00FF"/>
      <w:u w:val="none"/>
      <w:effect w:val="none"/>
    </w:rPr>
  </w:style>
  <w:style w:type="character" w:customStyle="1" w:styleId="sc24624d361">
    <w:name w:val="sc24624d361"/>
    <w:basedOn w:val="DefaultParagraphFont"/>
    <w:rsid w:val="00E2708F"/>
    <w:rPr>
      <w:strike w:val="0"/>
      <w:dstrike w:val="0"/>
      <w:color w:val="A709F5"/>
      <w:u w:val="none"/>
      <w:effect w:val="none"/>
    </w:rPr>
  </w:style>
  <w:style w:type="character" w:customStyle="1" w:styleId="sc0a43fa441">
    <w:name w:val="sc0a43fa441"/>
    <w:basedOn w:val="DefaultParagraphFont"/>
    <w:rsid w:val="004F36D4"/>
    <w:rPr>
      <w:strike w:val="0"/>
      <w:dstrike w:val="0"/>
      <w:color w:val="008013"/>
      <w:u w:val="none"/>
      <w:effect w:val="none"/>
    </w:rPr>
  </w:style>
  <w:style w:type="character" w:customStyle="1" w:styleId="sc0a43fa40">
    <w:name w:val="sc0a43fa40"/>
    <w:basedOn w:val="DefaultParagraphFont"/>
    <w:rsid w:val="004F36D4"/>
  </w:style>
  <w:style w:type="character" w:customStyle="1" w:styleId="sc0a43fa451">
    <w:name w:val="sc0a43fa451"/>
    <w:basedOn w:val="DefaultParagraphFont"/>
    <w:rsid w:val="004F36D4"/>
    <w:rPr>
      <w:strike w:val="0"/>
      <w:dstrike w:val="0"/>
      <w:color w:val="A709F5"/>
      <w:u w:val="none"/>
      <w:effect w:val="none"/>
    </w:rPr>
  </w:style>
  <w:style w:type="character" w:customStyle="1" w:styleId="s10f134ab41">
    <w:name w:val="s10f134ab41"/>
    <w:basedOn w:val="DefaultParagraphFont"/>
    <w:rsid w:val="00D4062D"/>
    <w:rPr>
      <w:strike w:val="0"/>
      <w:dstrike w:val="0"/>
      <w:color w:val="008013"/>
      <w:u w:val="none"/>
      <w:effect w:val="none"/>
    </w:rPr>
  </w:style>
  <w:style w:type="character" w:customStyle="1" w:styleId="s10f134ab0">
    <w:name w:val="s10f134ab0"/>
    <w:basedOn w:val="DefaultParagraphFont"/>
    <w:rsid w:val="00D4062D"/>
  </w:style>
  <w:style w:type="character" w:customStyle="1" w:styleId="s10f134ab51">
    <w:name w:val="s10f134ab51"/>
    <w:basedOn w:val="DefaultParagraphFont"/>
    <w:rsid w:val="00D4062D"/>
    <w:rPr>
      <w:strike w:val="0"/>
      <w:dstrike w:val="0"/>
      <w:color w:val="A709F5"/>
      <w:u w:val="none"/>
      <w:effect w:val="none"/>
    </w:rPr>
  </w:style>
  <w:style w:type="character" w:customStyle="1" w:styleId="s10f134ab61">
    <w:name w:val="s10f134ab61"/>
    <w:basedOn w:val="DefaultParagraphFont"/>
    <w:rsid w:val="00D4062D"/>
    <w:rPr>
      <w:strike w:val="0"/>
      <w:dstrike w:val="0"/>
      <w:color w:val="0E00FF"/>
      <w:u w:val="none"/>
      <w:effect w:val="none"/>
    </w:rPr>
  </w:style>
  <w:style w:type="character" w:customStyle="1" w:styleId="s01447b2941">
    <w:name w:val="s01447b2941"/>
    <w:basedOn w:val="DefaultParagraphFont"/>
    <w:rsid w:val="00D4062D"/>
    <w:rPr>
      <w:strike w:val="0"/>
      <w:dstrike w:val="0"/>
      <w:color w:val="008013"/>
      <w:u w:val="none"/>
      <w:effect w:val="none"/>
    </w:rPr>
  </w:style>
  <w:style w:type="character" w:customStyle="1" w:styleId="s01447b290">
    <w:name w:val="s01447b290"/>
    <w:basedOn w:val="DefaultParagraphFont"/>
    <w:rsid w:val="00D4062D"/>
  </w:style>
  <w:style w:type="character" w:customStyle="1" w:styleId="s01447b2951">
    <w:name w:val="s01447b2951"/>
    <w:basedOn w:val="DefaultParagraphFont"/>
    <w:rsid w:val="00D4062D"/>
    <w:rPr>
      <w:strike w:val="0"/>
      <w:dstrike w:val="0"/>
      <w:color w:val="A709F5"/>
      <w:u w:val="none"/>
      <w:effect w:val="none"/>
    </w:rPr>
  </w:style>
  <w:style w:type="character" w:customStyle="1" w:styleId="s01447b2961">
    <w:name w:val="s01447b2961"/>
    <w:basedOn w:val="DefaultParagraphFont"/>
    <w:rsid w:val="00D4062D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7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9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8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3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2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5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7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1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29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1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4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6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5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8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3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2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85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0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5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59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4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4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7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4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8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0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7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1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4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2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4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2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6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0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8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05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6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5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2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3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6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5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7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1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9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14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0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2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0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2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9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5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7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7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9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8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6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1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9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4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2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9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2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2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23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5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1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93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0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94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6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9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2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1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2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2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30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7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4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6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8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13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5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3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886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9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6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9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6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1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1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0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9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9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8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4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3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79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5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9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8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9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6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Shinde (student)</dc:creator>
  <cp:keywords/>
  <dc:description/>
  <cp:lastModifiedBy>Anurag Shinde (student)</cp:lastModifiedBy>
  <cp:revision>1</cp:revision>
  <dcterms:created xsi:type="dcterms:W3CDTF">2024-05-21T11:07:00Z</dcterms:created>
  <dcterms:modified xsi:type="dcterms:W3CDTF">2024-05-21T13:28:00Z</dcterms:modified>
</cp:coreProperties>
</file>