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440"/>
        <w:jc w:val="center"/>
        <w:tblLayout w:type="fixed"/>
        <w:tblLook w:firstColumn="1" w:firstRow="1" w:lastColumn="0" w:lastRow="0" w:noHBand="0" w:noVBand="1" w:val="04A0"/>
        <w:tblInd w:type="dxa" w:w="0"/>
      </w:tblPr>
      <w:tblGrid>
        <w:gridCol w:w="6887"/>
        <w:gridCol w:w="3553"/>
      </w:tblGrid>
      <w:tr>
        <w:trPr>
          <w:cantSplit/>
        </w:trPr>
        <w:tc>
          <w:tcPr>
            <w:tcW w:type="dxa" w:w="6886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0" w:type="dxa"/>
              <w:start w:w="0" w:type="dxa"/>
              <w:bottom w:w="8" w:type="dxa"/>
              <w:end w:w="8" w:type="dxa"/>
            </w:tcMar>
            <w:vAlign w:val="center"/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417320" cy="33101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focepts_logo_croppe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3310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53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6" w:type="dxa"/>
              <w:start w:w="8" w:type="dxa"/>
              <w:bottom w:w="8" w:type="dxa"/>
              <w:end w:w="0" w:type="dxa"/>
            </w:tcMar>
            <w:vAlign w:val="center"/>
          </w:tcPr>
          <w:p>
            <w:pPr/>
          </w:p>
        </w:tc>
      </w:tr>
    </w:tbl>
    <w:tbl>
      <w:tblPr>
        <w:tblW w:type="dxa" w:w="10440"/>
        <w:jc w:val="center"/>
        <w:tblLayout w:type="fixed"/>
        <w:tblLook w:firstColumn="1" w:firstRow="1" w:lastColumn="0" w:lastRow="0" w:noHBand="0" w:noVBand="1" w:val="04A0"/>
        <w:tblInd w:type="dxa" w:w="0"/>
      </w:tblPr>
      <w:tblGrid>
        <w:gridCol w:w="10440"/>
      </w:tblGrid>
      <w:tr>
        <w:trPr>
          <w:cantSplit/>
        </w:trPr>
        <w:tc>
          <w:tcPr>
            <w:tcW w:type="dxa" w:w="10440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shd w:fill="152C73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/>
          </w:p>
        </w:tc>
      </w:tr>
    </w:tbl>
    <w:tbl>
      <w:tblPr>
        <w:tblW w:type="dxa" w:w="10440"/>
        <w:jc w:val="center"/>
        <w:tblLayout w:type="fixed"/>
        <w:tblLook w:firstColumn="1" w:firstRow="1" w:lastColumn="0" w:lastRow="0" w:noHBand="0" w:noVBand="1" w:val="04A0"/>
        <w:tblInd w:type="dxa" w:w="0"/>
      </w:tblPr>
      <w:tblGrid>
        <w:gridCol w:w="7851"/>
        <w:gridCol w:w="2589"/>
      </w:tblGrid>
      <w:tr>
        <w:trPr>
          <w:cantSplit/>
        </w:trPr>
        <w:tc>
          <w:tcPr>
            <w:tcW w:type="dxa" w:w="7850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28" w:type="dxa"/>
              <w:start w:w="15" w:type="dxa"/>
              <w:bottom w:w="12" w:type="dxa"/>
              <w:end w:w="1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152C73"/>
                <w:sz w:val="39"/>
              </w:rPr>
              <w:t>QUALITY VISION AGENT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526984"/>
                <w:sz w:val="18"/>
              </w:rPr>
              <w:t>Detect defects in milliseconds, automate quality actions, and continuously improve inspection models across plants—without moving sensitive production images off-site.</w:t>
            </w:r>
          </w:p>
        </w:tc>
        <w:tc>
          <w:tcPr>
            <w:tcW w:type="dxa" w:w="2589"/>
            <w:tcBorders>
              <w:top w:val="single" w:sz="6" w:color="A8D5F3"/>
              <w:bottom w:val="single" w:sz="6" w:color="A8D5F3"/>
              <w:left w:val="single" w:sz="6" w:color="A8D5F3"/>
              <w:right w:val="single" w:sz="6" w:color="A8D5F3"/>
              <w:insideH w:val="nil"/>
              <w:insideV w:val="nil"/>
            </w:tcBorders>
            <w:tcMar>
              <w:top w:w="28" w:type="dxa"/>
              <w:start w:w="15" w:type="dxa"/>
              <w:bottom w:w="12" w:type="dxa"/>
              <w:end w:w="15" w:type="dxa"/>
            </w:tcMar>
            <w:shd w:fill="EAF4FB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152C73"/>
                <w:sz w:val="16"/>
              </w:rPr>
              <w:t>EDGE AI + CLOSED-LOOP QUALITY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152C73"/>
                <w:sz w:val="14"/>
              </w:rPr>
              <w:t>From inspection to action</w:t>
            </w:r>
          </w:p>
        </w:tc>
      </w:tr>
    </w:tbl>
    <w:tbl>
      <w:tblPr>
        <w:tblW w:type="dxa" w:w="10440"/>
        <w:jc w:val="center"/>
        <w:tblLayout w:type="fixed"/>
        <w:tblLook w:firstColumn="1" w:firstRow="1" w:lastColumn="0" w:lastRow="0" w:noHBand="0" w:noVBand="1" w:val="04A0"/>
        <w:tblInd w:type="dxa" w:w="0"/>
      </w:tblPr>
      <w:tblGrid>
        <w:gridCol w:w="2610"/>
        <w:gridCol w:w="2610"/>
        <w:gridCol w:w="2610"/>
        <w:gridCol w:w="2610"/>
      </w:tblGrid>
      <w:tr>
        <w:trPr>
          <w:cantSplit/>
        </w:trPr>
        <w:tc>
          <w:tcPr>
            <w:tcW w:type="dxa" w:w="2610"/>
            <w:tcMar>
              <w:top w:w="28" w:type="dxa"/>
              <w:start w:w="35" w:type="dxa"/>
              <w:bottom w:w="28" w:type="dxa"/>
              <w:end w:w="35" w:type="dxa"/>
            </w:tcMar>
            <w:vAlign w:val="center"/>
            <w:shd w:fill="E9F3FA"/>
            <w:tcBorders>
              <w:top w:val="single" w:sz="10" w:color="1891F6"/>
              <w:bottom w:val="single" w:sz="5" w:color="D6E0EA"/>
              <w:left w:val="single" w:sz="5" w:color="D6E0EA"/>
              <w:right w:val="single" w:sz="5" w:color="D6E0EA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526984"/>
                <w:sz w:val="12"/>
              </w:rPr>
              <w:t>TARGET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1891F6"/>
                <w:sz w:val="22"/>
              </w:rPr>
              <w:t>UP TO 62%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 w:val="0"/>
                <w:i w:val="0"/>
                <w:color w:val="526984"/>
                <w:sz w:val="13"/>
              </w:rPr>
              <w:t>fewer defect escapes</w:t>
            </w:r>
          </w:p>
        </w:tc>
        <w:tc>
          <w:tcPr>
            <w:tcW w:type="dxa" w:w="2610"/>
            <w:tcMar>
              <w:top w:w="28" w:type="dxa"/>
              <w:start w:w="35" w:type="dxa"/>
              <w:bottom w:w="28" w:type="dxa"/>
              <w:end w:w="35" w:type="dxa"/>
            </w:tcMar>
            <w:vAlign w:val="center"/>
            <w:shd w:fill="EAF4FB"/>
            <w:tcBorders>
              <w:top w:val="single" w:sz="10" w:color="152C73"/>
              <w:bottom w:val="single" w:sz="5" w:color="D6E0EA"/>
              <w:left w:val="single" w:sz="5" w:color="D6E0EA"/>
              <w:right w:val="single" w:sz="5" w:color="D6E0EA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526984"/>
                <w:sz w:val="12"/>
              </w:rPr>
              <w:t>TARGET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152C73"/>
                <w:sz w:val="22"/>
              </w:rPr>
              <w:t>UP TO 38%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 w:val="0"/>
                <w:i w:val="0"/>
                <w:color w:val="526984"/>
                <w:sz w:val="13"/>
              </w:rPr>
              <w:t>less inspection labour</w:t>
            </w:r>
          </w:p>
        </w:tc>
        <w:tc>
          <w:tcPr>
            <w:tcW w:type="dxa" w:w="2610"/>
            <w:tcMar>
              <w:top w:w="28" w:type="dxa"/>
              <w:start w:w="35" w:type="dxa"/>
              <w:bottom w:w="28" w:type="dxa"/>
              <w:end w:w="35" w:type="dxa"/>
            </w:tcMar>
            <w:vAlign w:val="center"/>
            <w:shd w:fill="EDF6FD"/>
            <w:tcBorders>
              <w:top w:val="single" w:sz="10" w:color="0072CE"/>
              <w:bottom w:val="single" w:sz="5" w:color="D6E0EA"/>
              <w:left w:val="single" w:sz="5" w:color="D6E0EA"/>
              <w:right w:val="single" w:sz="5" w:color="D6E0EA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526984"/>
                <w:sz w:val="12"/>
              </w:rPr>
              <w:t>EDGE SPEED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0072CE"/>
                <w:sz w:val="22"/>
              </w:rPr>
              <w:t>&lt;10 MS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 w:val="0"/>
                <w:i w:val="0"/>
                <w:color w:val="526984"/>
                <w:sz w:val="13"/>
              </w:rPr>
              <w:t>ONNX/TensorRT inference</w:t>
            </w:r>
          </w:p>
        </w:tc>
        <w:tc>
          <w:tcPr>
            <w:tcW w:type="dxa" w:w="2610"/>
            <w:tcMar>
              <w:top w:w="28" w:type="dxa"/>
              <w:start w:w="35" w:type="dxa"/>
              <w:bottom w:w="28" w:type="dxa"/>
              <w:end w:w="35" w:type="dxa"/>
            </w:tcMar>
            <w:vAlign w:val="center"/>
            <w:shd w:fill="EEF2FA"/>
            <w:tcBorders>
              <w:top w:val="single" w:sz="10" w:color="4A66C7"/>
              <w:bottom w:val="single" w:sz="5" w:color="D6E0EA"/>
              <w:left w:val="single" w:sz="5" w:color="D6E0EA"/>
              <w:right w:val="single" w:sz="5" w:color="D6E0EA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526984"/>
                <w:sz w:val="12"/>
              </w:rPr>
              <w:t>PROTOTYPE AI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4A66C7"/>
                <w:sz w:val="22"/>
              </w:rPr>
              <w:t>0.964 / 0.971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 w:val="0"/>
                <w:i w:val="0"/>
                <w:color w:val="526984"/>
                <w:sz w:val="13"/>
              </w:rPr>
              <w:t>mAP / precision</w:t>
            </w:r>
          </w:p>
        </w:tc>
      </w:tr>
    </w:tbl>
    <w:tbl>
      <w:tblPr>
        <w:tblW w:type="dxa" w:w="10440"/>
        <w:jc w:val="center"/>
        <w:tblLayout w:type="fixed"/>
        <w:tblLook w:firstColumn="1" w:firstRow="1" w:lastColumn="0" w:lastRow="0" w:noHBand="0" w:noVBand="1" w:val="04A0"/>
        <w:tblInd w:type="dxa" w:w="0"/>
      </w:tblPr>
      <w:tblGrid>
        <w:gridCol w:w="10440"/>
      </w:tblGrid>
      <w:tr>
        <w:trPr>
          <w:cantSplit/>
        </w:trPr>
        <w:tc>
          <w:tcPr>
            <w:tcW w:type="dxa" w:w="10440"/>
            <w:tcMar>
              <w:top w:w="10" w:type="dxa"/>
              <w:start w:w="10" w:type="dxa"/>
              <w:bottom w:w="10" w:type="dxa"/>
              <w:end w:w="10" w:type="dxa"/>
            </w:tcMar>
            <w:tcBorders>
              <w:top w:val="single" w:sz="6" w:color="C7D5E2"/>
              <w:bottom w:val="single" w:sz="6" w:color="C7D5E2"/>
              <w:left w:val="single" w:sz="6" w:color="C7D5E2"/>
              <w:right w:val="single" w:sz="6" w:color="C7D5E2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92240" cy="2995376"/>
                  <wp:docPr id="1" name="Picture 1" descr="Quality Vision Agent dashboard showing real-time quality metrics, defect trends, defect types and governed recommendations across manufacturing plants." title="Quality Vision Agent product dashboard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uality_vision_marketing_her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0" cy="29953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20" w:line="240" w:lineRule="auto"/>
        <w:jc w:val="right"/>
      </w:pPr>
      <w:r>
        <w:rPr>
          <w:rFonts w:ascii="Aptos" w:hAnsi="Aptos" w:eastAsia="Aptos"/>
          <w:b w:val="0"/>
          <w:i/>
          <w:color w:val="526984"/>
          <w:sz w:val="12"/>
        </w:rPr>
        <w:t>Illustrative product experience: real-time quality KPIs, defect intelligence, semantic governance and multi-plant visibility</w:t>
      </w:r>
    </w:p>
    <w:tbl>
      <w:tblPr>
        <w:tblW w:type="dxa" w:w="10440"/>
        <w:jc w:val="center"/>
        <w:tblLayout w:type="fixed"/>
        <w:tblLook w:firstColumn="1" w:firstRow="1" w:lastColumn="0" w:lastRow="0" w:noHBand="0" w:noVBand="1" w:val="04A0"/>
        <w:tblInd w:type="dxa" w:w="0"/>
      </w:tblPr>
      <w:tblGrid>
        <w:gridCol w:w="10440"/>
      </w:tblGrid>
      <w:tr>
        <w:trPr>
          <w:cantSplit/>
        </w:trPr>
        <w:tc>
          <w:tcPr>
            <w:tcW w:type="dxa" w:w="10440"/>
            <w:shd w:fill="EAF4FB"/>
            <w:tcMar>
              <w:top w:w="42" w:type="dxa"/>
              <w:start w:w="85" w:type="dxa"/>
              <w:bottom w:w="42" w:type="dxa"/>
              <w:end w:w="85" w:type="dxa"/>
            </w:tcMar>
            <w:tcBorders>
              <w:top w:val="single" w:sz="6" w:color="A8D5F3"/>
              <w:bottom w:val="single" w:sz="6" w:color="A8D5F3"/>
              <w:left w:val="single" w:sz="14" w:color="152C73"/>
              <w:right w:val="single" w:sz="6" w:color="A8D5F3"/>
            </w:tcBorders>
          </w:tcPr>
          <w:p>
            <w:pPr>
              <w:spacing w:after="20"/>
            </w:pPr>
            <w:r>
              <w:rPr>
                <w:rFonts w:ascii="Aptos" w:hAnsi="Aptos" w:eastAsia="Aptos"/>
                <w:b/>
                <w:i w:val="0"/>
                <w:color w:val="152C73"/>
                <w:sz w:val="16"/>
              </w:rPr>
              <w:t xml:space="preserve">SOLUTION OVERVIEW  </w:t>
            </w:r>
            <w:r>
              <w:rPr>
                <w:rFonts w:ascii="Aptos" w:hAnsi="Aptos" w:eastAsia="Aptos"/>
                <w:b w:val="0"/>
                <w:i w:val="0"/>
                <w:color w:val="172033"/>
                <w:sz w:val="16"/>
              </w:rPr>
              <w:t>Quality Vision Agent unifies industrial cameras, NVIDIA Jetson edge inference, ONNX/TensorRT models, Databricks intelligence and MES/SAP QM workflows—turning every visual inspection into a traceable quality action and a continuous learning signal.</w:t>
            </w:r>
          </w:p>
        </w:tc>
      </w:tr>
    </w:tbl>
    <w:tbl>
      <w:tblPr>
        <w:tblW w:type="dxa" w:w="10440"/>
        <w:jc w:val="center"/>
        <w:tblLayout w:type="fixed"/>
        <w:tblLook w:firstColumn="1" w:firstRow="1" w:lastColumn="0" w:lastRow="0" w:noHBand="0" w:noVBand="1" w:val="04A0"/>
        <w:tblInd w:type="dxa" w:w="0"/>
      </w:tblPr>
      <w:tblGrid>
        <w:gridCol w:w="3480"/>
        <w:gridCol w:w="3480"/>
        <w:gridCol w:w="3480"/>
      </w:tblGrid>
      <w:tr>
        <w:trPr>
          <w:cantSplit/>
        </w:trPr>
        <w:tc>
          <w:tcPr>
            <w:tcW w:type="dxa" w:w="3480"/>
            <w:tcMar>
              <w:top w:w="48" w:type="dxa"/>
              <w:start w:w="60" w:type="dxa"/>
              <w:bottom w:w="44" w:type="dxa"/>
              <w:end w:w="60" w:type="dxa"/>
            </w:tcMar>
            <w:vAlign w:val="top"/>
            <w:shd w:fill="F5F7FA"/>
            <w:tcBorders>
              <w:top w:val="single" w:sz="6" w:color="D6E0EA"/>
              <w:bottom w:val="single" w:sz="6" w:color="D6E0EA"/>
              <w:left w:val="single" w:sz="6" w:color="D6E0EA"/>
              <w:right w:val="single" w:sz="6" w:color="D6E0EA"/>
            </w:tcBorders>
          </w:tcPr>
          <w:p>
            <w:pPr>
              <w:spacing w:line="240" w:lineRule="auto"/>
            </w:pPr>
          </w:p>
          <w:p>
            <w:pPr>
              <w:spacing w:before="0" w:after="40" w:line="240" w:lineRule="auto"/>
              <w:pBdr>
                <w:bottom w:val="single" w:sz="9" w:space="1" w:color="F05A47"/>
              </w:pBdr>
            </w:pPr>
            <w:r>
              <w:rPr>
                <w:rFonts w:ascii="Aptos" w:hAnsi="Aptos" w:eastAsia="Aptos"/>
                <w:b/>
                <w:i w:val="0"/>
                <w:color w:val="F05A47"/>
                <w:sz w:val="16"/>
              </w:rPr>
              <w:t>THE BUSINESS PROBLEMS</w:t>
            </w:r>
          </w:p>
          <w:p>
            <w:pPr>
              <w:spacing w:before="0" w:after="26" w:line="240" w:lineRule="auto"/>
              <w:ind w:left="173" w:hanging="158"/>
            </w:pPr>
            <w:r>
              <w:rPr>
                <w:rFonts w:ascii="Aptos" w:hAnsi="Aptos" w:eastAsia="Aptos"/>
                <w:b/>
                <w:i w:val="0"/>
                <w:color w:val="F05A47"/>
                <w:sz w:val="14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72033"/>
                <w:sz w:val="14"/>
              </w:rPr>
              <w:t>Manual inspection is inconsistent and difficult to scale.</w:t>
            </w:r>
          </w:p>
          <w:p>
            <w:pPr>
              <w:spacing w:before="0" w:after="26" w:line="240" w:lineRule="auto"/>
              <w:ind w:left="173" w:hanging="158"/>
            </w:pPr>
            <w:r>
              <w:rPr>
                <w:rFonts w:ascii="Aptos" w:hAnsi="Aptos" w:eastAsia="Aptos"/>
                <w:b/>
                <w:i w:val="0"/>
                <w:color w:val="F05A47"/>
                <w:sz w:val="14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72033"/>
                <w:sz w:val="14"/>
              </w:rPr>
              <w:t>Late defect detection increases scrap, rework, warranty risk and margin leakage.</w:t>
            </w:r>
          </w:p>
          <w:p>
            <w:pPr>
              <w:spacing w:before="0" w:after="26" w:line="240" w:lineRule="auto"/>
              <w:ind w:left="173" w:hanging="158"/>
            </w:pPr>
            <w:r>
              <w:rPr>
                <w:rFonts w:ascii="Aptos" w:hAnsi="Aptos" w:eastAsia="Aptos"/>
                <w:b/>
                <w:i w:val="0"/>
                <w:color w:val="F05A47"/>
                <w:sz w:val="14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72033"/>
                <w:sz w:val="14"/>
              </w:rPr>
              <w:t>Camera, line, MES and quality data remain disconnected.</w:t>
            </w:r>
          </w:p>
        </w:tc>
        <w:tc>
          <w:tcPr>
            <w:tcW w:type="dxa" w:w="3480"/>
            <w:tcMar>
              <w:top w:w="48" w:type="dxa"/>
              <w:start w:w="60" w:type="dxa"/>
              <w:bottom w:w="44" w:type="dxa"/>
              <w:end w:w="60" w:type="dxa"/>
            </w:tcMar>
            <w:vAlign w:val="top"/>
            <w:shd w:fill="EDF6FD"/>
            <w:tcBorders>
              <w:top w:val="single" w:sz="6" w:color="D6E0EA"/>
              <w:bottom w:val="single" w:sz="6" w:color="D6E0EA"/>
              <w:left w:val="single" w:sz="6" w:color="D6E0EA"/>
              <w:right w:val="single" w:sz="6" w:color="D6E0EA"/>
            </w:tcBorders>
          </w:tcPr>
          <w:p>
            <w:pPr>
              <w:spacing w:line="240" w:lineRule="auto"/>
            </w:pPr>
          </w:p>
          <w:p>
            <w:pPr>
              <w:spacing w:before="0" w:after="40" w:line="240" w:lineRule="auto"/>
              <w:pBdr>
                <w:bottom w:val="single" w:sz="9" w:space="1" w:color="0072CE"/>
              </w:pBdr>
            </w:pPr>
            <w:r>
              <w:rPr>
                <w:rFonts w:ascii="Aptos" w:hAnsi="Aptos" w:eastAsia="Aptos"/>
                <w:b/>
                <w:i w:val="0"/>
                <w:color w:val="0072CE"/>
                <w:sz w:val="16"/>
              </w:rPr>
              <w:t>HOW IT WORKS</w:t>
            </w:r>
          </w:p>
          <w:p>
            <w:pPr>
              <w:spacing w:before="0" w:after="15" w:line="240" w:lineRule="auto"/>
              <w:ind w:left="259" w:hanging="259"/>
            </w:pPr>
            <w:r>
              <w:rPr>
                <w:rFonts w:ascii="Aptos" w:hAnsi="Aptos" w:eastAsia="Aptos"/>
                <w:b/>
                <w:i w:val="0"/>
                <w:color w:val="0072CE"/>
                <w:sz w:val="14"/>
              </w:rPr>
              <w:t xml:space="preserve">1 </w:t>
            </w:r>
            <w:r>
              <w:rPr>
                <w:rFonts w:ascii="Aptos" w:hAnsi="Aptos" w:eastAsia="Aptos"/>
                <w:b/>
                <w:i w:val="0"/>
                <w:color w:val="152C73"/>
                <w:sz w:val="14"/>
              </w:rPr>
              <w:t xml:space="preserve">Capture: </w:t>
            </w:r>
            <w:r>
              <w:rPr>
                <w:rFonts w:ascii="Aptos" w:hAnsi="Aptos" w:eastAsia="Aptos"/>
                <w:b w:val="0"/>
                <w:i w:val="0"/>
                <w:color w:val="172033"/>
                <w:sz w:val="14"/>
              </w:rPr>
              <w:t>Industrial cameras stream frames to NVIDIA Jetson.</w:t>
            </w:r>
          </w:p>
          <w:p>
            <w:pPr>
              <w:spacing w:before="0" w:after="15" w:line="240" w:lineRule="auto"/>
              <w:ind w:left="259" w:hanging="259"/>
            </w:pPr>
            <w:r>
              <w:rPr>
                <w:rFonts w:ascii="Aptos" w:hAnsi="Aptos" w:eastAsia="Aptos"/>
                <w:b/>
                <w:i w:val="0"/>
                <w:color w:val="0072CE"/>
                <w:sz w:val="14"/>
              </w:rPr>
              <w:t xml:space="preserve">2 </w:t>
            </w:r>
            <w:r>
              <w:rPr>
                <w:rFonts w:ascii="Aptos" w:hAnsi="Aptos" w:eastAsia="Aptos"/>
                <w:b/>
                <w:i w:val="0"/>
                <w:color w:val="152C73"/>
                <w:sz w:val="14"/>
              </w:rPr>
              <w:t xml:space="preserve">Detect: </w:t>
            </w:r>
            <w:r>
              <w:rPr>
                <w:rFonts w:ascii="Aptos" w:hAnsi="Aptos" w:eastAsia="Aptos"/>
                <w:b w:val="0"/>
                <w:i w:val="0"/>
                <w:color w:val="172033"/>
                <w:sz w:val="14"/>
              </w:rPr>
              <w:t>ONNX-optimised models classify defect type and severity.</w:t>
            </w:r>
          </w:p>
          <w:p>
            <w:pPr>
              <w:spacing w:before="0" w:after="15" w:line="240" w:lineRule="auto"/>
              <w:ind w:left="259" w:hanging="259"/>
            </w:pPr>
            <w:r>
              <w:rPr>
                <w:rFonts w:ascii="Aptos" w:hAnsi="Aptos" w:eastAsia="Aptos"/>
                <w:b/>
                <w:i w:val="0"/>
                <w:color w:val="0072CE"/>
                <w:sz w:val="14"/>
              </w:rPr>
              <w:t xml:space="preserve">3 </w:t>
            </w:r>
            <w:r>
              <w:rPr>
                <w:rFonts w:ascii="Aptos" w:hAnsi="Aptos" w:eastAsia="Aptos"/>
                <w:b/>
                <w:i w:val="0"/>
                <w:color w:val="152C73"/>
                <w:sz w:val="14"/>
              </w:rPr>
              <w:t xml:space="preserve">Act: </w:t>
            </w:r>
            <w:r>
              <w:rPr>
                <w:rFonts w:ascii="Aptos" w:hAnsi="Aptos" w:eastAsia="Aptos"/>
                <w:b w:val="0"/>
                <w:i w:val="0"/>
                <w:color w:val="172033"/>
                <w:sz w:val="14"/>
              </w:rPr>
              <w:t>Accept, reject or re-inspect decisions are logged instantly.</w:t>
            </w:r>
          </w:p>
          <w:p>
            <w:pPr>
              <w:spacing w:before="0" w:after="15" w:line="240" w:lineRule="auto"/>
              <w:ind w:left="259" w:hanging="259"/>
            </w:pPr>
            <w:r>
              <w:rPr>
                <w:rFonts w:ascii="Aptos" w:hAnsi="Aptos" w:eastAsia="Aptos"/>
                <w:b/>
                <w:i w:val="0"/>
                <w:color w:val="0072CE"/>
                <w:sz w:val="14"/>
              </w:rPr>
              <w:t xml:space="preserve">4 </w:t>
            </w:r>
            <w:r>
              <w:rPr>
                <w:rFonts w:ascii="Aptos" w:hAnsi="Aptos" w:eastAsia="Aptos"/>
                <w:b/>
                <w:i w:val="0"/>
                <w:color w:val="152C73"/>
                <w:sz w:val="14"/>
              </w:rPr>
              <w:t xml:space="preserve">Integrate: </w:t>
            </w:r>
            <w:r>
              <w:rPr>
                <w:rFonts w:ascii="Aptos" w:hAnsi="Aptos" w:eastAsia="Aptos"/>
                <w:b w:val="0"/>
                <w:i w:val="0"/>
                <w:color w:val="172033"/>
                <w:sz w:val="14"/>
              </w:rPr>
              <w:t>MES/SAP QM workflows create traceable quality events.</w:t>
            </w:r>
          </w:p>
          <w:p>
            <w:pPr>
              <w:spacing w:before="0" w:after="15" w:line="240" w:lineRule="auto"/>
              <w:ind w:left="259" w:hanging="259"/>
            </w:pPr>
            <w:r>
              <w:rPr>
                <w:rFonts w:ascii="Aptos" w:hAnsi="Aptos" w:eastAsia="Aptos"/>
                <w:b/>
                <w:i w:val="0"/>
                <w:color w:val="0072CE"/>
                <w:sz w:val="14"/>
              </w:rPr>
              <w:t xml:space="preserve">5 </w:t>
            </w:r>
            <w:r>
              <w:rPr>
                <w:rFonts w:ascii="Aptos" w:hAnsi="Aptos" w:eastAsia="Aptos"/>
                <w:b/>
                <w:i w:val="0"/>
                <w:color w:val="152C73"/>
                <w:sz w:val="14"/>
              </w:rPr>
              <w:t xml:space="preserve">Learn: </w:t>
            </w:r>
            <w:r>
              <w:rPr>
                <w:rFonts w:ascii="Aptos" w:hAnsi="Aptos" w:eastAsia="Aptos"/>
                <w:b w:val="0"/>
                <w:i w:val="0"/>
                <w:color w:val="172033"/>
                <w:sz w:val="14"/>
              </w:rPr>
              <w:t>Federated retraining improves models across plants.</w:t>
            </w:r>
          </w:p>
        </w:tc>
        <w:tc>
          <w:tcPr>
            <w:tcW w:type="dxa" w:w="3480"/>
            <w:tcMar>
              <w:top w:w="48" w:type="dxa"/>
              <w:start w:w="60" w:type="dxa"/>
              <w:bottom w:w="44" w:type="dxa"/>
              <w:end w:w="60" w:type="dxa"/>
            </w:tcMar>
            <w:vAlign w:val="top"/>
            <w:shd w:fill="EAF4FB"/>
            <w:tcBorders>
              <w:top w:val="single" w:sz="6" w:color="D6E0EA"/>
              <w:bottom w:val="single" w:sz="6" w:color="D6E0EA"/>
              <w:left w:val="single" w:sz="6" w:color="D6E0EA"/>
              <w:right w:val="single" w:sz="6" w:color="D6E0EA"/>
            </w:tcBorders>
          </w:tcPr>
          <w:p>
            <w:pPr>
              <w:spacing w:line="240" w:lineRule="auto"/>
            </w:pPr>
          </w:p>
          <w:p>
            <w:pPr>
              <w:spacing w:before="0" w:after="40" w:line="240" w:lineRule="auto"/>
              <w:pBdr>
                <w:bottom w:val="single" w:sz="9" w:space="1" w:color="152C73"/>
              </w:pBdr>
            </w:pPr>
            <w:r>
              <w:rPr>
                <w:rFonts w:ascii="Aptos" w:hAnsi="Aptos" w:eastAsia="Aptos"/>
                <w:b/>
                <w:i w:val="0"/>
                <w:color w:val="152C73"/>
                <w:sz w:val="16"/>
              </w:rPr>
              <w:t>PLATFORM CAPABILITIES</w:t>
            </w:r>
          </w:p>
          <w:p>
            <w:pPr>
              <w:spacing w:before="0" w:after="17" w:line="240" w:lineRule="auto"/>
              <w:ind w:left="173" w:hanging="158"/>
            </w:pPr>
            <w:r>
              <w:rPr>
                <w:rFonts w:ascii="Aptos" w:hAnsi="Aptos" w:eastAsia="Aptos"/>
                <w:b/>
                <w:i w:val="0"/>
                <w:color w:val="152C73"/>
                <w:sz w:val="14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72033"/>
                <w:sz w:val="14"/>
              </w:rPr>
              <w:t>Millisecond edge inference supports in-line decisions.</w:t>
            </w:r>
          </w:p>
          <w:p>
            <w:pPr>
              <w:spacing w:before="0" w:after="17" w:line="240" w:lineRule="auto"/>
              <w:ind w:left="173" w:hanging="158"/>
            </w:pPr>
            <w:r>
              <w:rPr>
                <w:rFonts w:ascii="Aptos" w:hAnsi="Aptos" w:eastAsia="Aptos"/>
                <w:b/>
                <w:i w:val="0"/>
                <w:color w:val="152C73"/>
                <w:sz w:val="14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72033"/>
                <w:sz w:val="14"/>
              </w:rPr>
              <w:t>Closed-loop integration connects detection directly to quality action.</w:t>
            </w:r>
          </w:p>
          <w:p>
            <w:pPr>
              <w:spacing w:before="0" w:after="17" w:line="240" w:lineRule="auto"/>
              <w:ind w:left="173" w:hanging="158"/>
            </w:pPr>
            <w:r>
              <w:rPr>
                <w:rFonts w:ascii="Aptos" w:hAnsi="Aptos" w:eastAsia="Aptos"/>
                <w:b/>
                <w:i w:val="0"/>
                <w:color w:val="152C73"/>
                <w:sz w:val="14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72033"/>
                <w:sz w:val="14"/>
              </w:rPr>
              <w:t>Semantic governance can block unsafe or conflicting recommendations.</w:t>
            </w:r>
          </w:p>
          <w:p>
            <w:pPr>
              <w:spacing w:before="0" w:after="17" w:line="240" w:lineRule="auto"/>
              <w:ind w:left="173" w:hanging="158"/>
            </w:pPr>
            <w:r>
              <w:rPr>
                <w:rFonts w:ascii="Aptos" w:hAnsi="Aptos" w:eastAsia="Aptos"/>
                <w:b/>
                <w:i w:val="0"/>
                <w:color w:val="152C73"/>
                <w:sz w:val="14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72033"/>
                <w:sz w:val="14"/>
              </w:rPr>
              <w:t>Privacy-first federated learning keeps raw production images on-site.</w:t>
            </w:r>
          </w:p>
          <w:p>
            <w:pPr>
              <w:spacing w:before="0" w:after="17" w:line="240" w:lineRule="auto"/>
              <w:ind w:left="173" w:hanging="158"/>
            </w:pPr>
            <w:r>
              <w:rPr>
                <w:rFonts w:ascii="Aptos" w:hAnsi="Aptos" w:eastAsia="Aptos"/>
                <w:b/>
                <w:i w:val="0"/>
                <w:color w:val="152C73"/>
                <w:sz w:val="14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72033"/>
                <w:sz w:val="14"/>
              </w:rPr>
              <w:t>Model history, confidence and feature importance improve trust.</w:t>
            </w:r>
          </w:p>
        </w:tc>
      </w:tr>
    </w:tbl>
    <w:p>
      <w:pPr>
        <w:spacing w:before="20" w:after="20" w:line="240" w:lineRule="auto"/>
      </w:pPr>
      <w:r>
        <w:rPr>
          <w:rFonts w:ascii="Aptos" w:hAnsi="Aptos" w:eastAsia="Aptos"/>
          <w:b/>
          <w:i w:val="0"/>
          <w:color w:val="0072CE"/>
          <w:sz w:val="16"/>
        </w:rPr>
        <w:t>BUSINESS OUTCOMES</w:t>
      </w:r>
    </w:p>
    <w:tbl>
      <w:tblPr>
        <w:tblW w:type="dxa" w:w="10440"/>
        <w:jc w:val="center"/>
        <w:tblLayout w:type="fixed"/>
        <w:tblLook w:firstColumn="1" w:firstRow="1" w:lastColumn="0" w:lastRow="0" w:noHBand="0" w:noVBand="1" w:val="04A0"/>
        <w:tblInd w:type="dxa" w:w="0"/>
      </w:tblPr>
      <w:tblGrid>
        <w:gridCol w:w="2610"/>
        <w:gridCol w:w="2610"/>
        <w:gridCol w:w="2610"/>
        <w:gridCol w:w="2610"/>
      </w:tblGrid>
      <w:tr>
        <w:trPr>
          <w:cantSplit/>
        </w:trPr>
        <w:tc>
          <w:tcPr>
            <w:tcW w:type="dxa" w:w="2610"/>
            <w:tcMar>
              <w:top w:w="42" w:type="dxa"/>
              <w:start w:w="44" w:type="dxa"/>
              <w:bottom w:w="42" w:type="dxa"/>
              <w:end w:w="44" w:type="dxa"/>
            </w:tcMar>
            <w:shd w:fill="FFFFFF"/>
            <w:tcBorders>
              <w:top w:val="single" w:sz="6" w:color="D6E0EA"/>
              <w:bottom w:val="single" w:sz="6" w:color="D6E0EA"/>
              <w:left w:val="single" w:sz="6" w:color="D6E0EA"/>
              <w:right w:val="single" w:sz="6" w:color="D6E0EA"/>
            </w:tcBorders>
          </w:tcPr>
          <w:p>
            <w:pPr>
              <w:spacing w:before="0" w:after="14" w:line="240" w:lineRule="auto"/>
            </w:pPr>
            <w:r>
              <w:rPr>
                <w:rFonts w:ascii="Aptos" w:hAnsi="Aptos" w:eastAsia="Aptos"/>
                <w:b/>
                <w:i w:val="0"/>
                <w:color w:val="152C73"/>
                <w:sz w:val="14"/>
              </w:rPr>
              <w:t>01</w:t>
            </w:r>
          </w:p>
          <w:p>
            <w:pPr>
              <w:spacing w:before="0" w:after="14" w:line="240" w:lineRule="auto"/>
            </w:pPr>
            <w:r>
              <w:rPr>
                <w:rFonts w:ascii="Aptos" w:hAnsi="Aptos" w:eastAsia="Aptos"/>
                <w:b/>
                <w:i w:val="0"/>
                <w:color w:val="152C73"/>
                <w:sz w:val="14"/>
              </w:rPr>
              <w:t>Improve first-pass quality</w:t>
            </w:r>
          </w:p>
          <w:p>
            <w:pPr>
              <w:spacing w:before="0" w:after="14" w:line="226" w:lineRule="auto"/>
            </w:pPr>
            <w:r>
              <w:rPr>
                <w:rFonts w:ascii="Aptos" w:hAnsi="Aptos" w:eastAsia="Aptos"/>
                <w:b w:val="0"/>
                <w:i w:val="0"/>
                <w:color w:val="526984"/>
                <w:sz w:val="13"/>
              </w:rPr>
              <w:t>More consistent product output</w:t>
            </w:r>
          </w:p>
        </w:tc>
        <w:tc>
          <w:tcPr>
            <w:tcW w:type="dxa" w:w="2610"/>
            <w:tcMar>
              <w:top w:w="42" w:type="dxa"/>
              <w:start w:w="44" w:type="dxa"/>
              <w:bottom w:w="42" w:type="dxa"/>
              <w:end w:w="44" w:type="dxa"/>
            </w:tcMar>
            <w:shd w:fill="FFFFFF"/>
            <w:tcBorders>
              <w:top w:val="single" w:sz="6" w:color="D6E0EA"/>
              <w:bottom w:val="single" w:sz="6" w:color="D6E0EA"/>
              <w:left w:val="single" w:sz="6" w:color="D6E0EA"/>
              <w:right w:val="single" w:sz="6" w:color="D6E0EA"/>
            </w:tcBorders>
          </w:tcPr>
          <w:p>
            <w:pPr>
              <w:spacing w:before="0" w:after="14" w:line="240" w:lineRule="auto"/>
            </w:pPr>
            <w:r>
              <w:rPr>
                <w:rFonts w:ascii="Aptos" w:hAnsi="Aptos" w:eastAsia="Aptos"/>
                <w:b/>
                <w:i w:val="0"/>
                <w:color w:val="152C73"/>
                <w:sz w:val="14"/>
              </w:rPr>
              <w:t>02</w:t>
            </w:r>
          </w:p>
          <w:p>
            <w:pPr>
              <w:spacing w:before="0" w:after="14" w:line="240" w:lineRule="auto"/>
            </w:pPr>
            <w:r>
              <w:rPr>
                <w:rFonts w:ascii="Aptos" w:hAnsi="Aptos" w:eastAsia="Aptos"/>
                <w:b/>
                <w:i w:val="0"/>
                <w:color w:val="152C73"/>
                <w:sz w:val="14"/>
              </w:rPr>
              <w:t>Reduce quality cost</w:t>
            </w:r>
          </w:p>
          <w:p>
            <w:pPr>
              <w:spacing w:before="0" w:after="14" w:line="226" w:lineRule="auto"/>
            </w:pPr>
            <w:r>
              <w:rPr>
                <w:rFonts w:ascii="Aptos" w:hAnsi="Aptos" w:eastAsia="Aptos"/>
                <w:b w:val="0"/>
                <w:i w:val="0"/>
                <w:color w:val="526984"/>
                <w:sz w:val="13"/>
              </w:rPr>
              <w:t>Less scrap, rework and manual inspection</w:t>
            </w:r>
          </w:p>
        </w:tc>
        <w:tc>
          <w:tcPr>
            <w:tcW w:type="dxa" w:w="2610"/>
            <w:tcMar>
              <w:top w:w="42" w:type="dxa"/>
              <w:start w:w="44" w:type="dxa"/>
              <w:bottom w:w="42" w:type="dxa"/>
              <w:end w:w="44" w:type="dxa"/>
            </w:tcMar>
            <w:shd w:fill="FFFFFF"/>
            <w:tcBorders>
              <w:top w:val="single" w:sz="6" w:color="D6E0EA"/>
              <w:bottom w:val="single" w:sz="6" w:color="D6E0EA"/>
              <w:left w:val="single" w:sz="6" w:color="D6E0EA"/>
              <w:right w:val="single" w:sz="6" w:color="D6E0EA"/>
            </w:tcBorders>
          </w:tcPr>
          <w:p>
            <w:pPr>
              <w:spacing w:before="0" w:after="14" w:line="240" w:lineRule="auto"/>
            </w:pPr>
            <w:r>
              <w:rPr>
                <w:rFonts w:ascii="Aptos" w:hAnsi="Aptos" w:eastAsia="Aptos"/>
                <w:b/>
                <w:i w:val="0"/>
                <w:color w:val="152C73"/>
                <w:sz w:val="14"/>
              </w:rPr>
              <w:t>03</w:t>
            </w:r>
          </w:p>
          <w:p>
            <w:pPr>
              <w:spacing w:before="0" w:after="14" w:line="240" w:lineRule="auto"/>
            </w:pPr>
            <w:r>
              <w:rPr>
                <w:rFonts w:ascii="Aptos" w:hAnsi="Aptos" w:eastAsia="Aptos"/>
                <w:b/>
                <w:i w:val="0"/>
                <w:color w:val="152C73"/>
                <w:sz w:val="14"/>
              </w:rPr>
              <w:t>Accelerate response</w:t>
            </w:r>
          </w:p>
          <w:p>
            <w:pPr>
              <w:spacing w:before="0" w:after="14" w:line="226" w:lineRule="auto"/>
            </w:pPr>
            <w:r>
              <w:rPr>
                <w:rFonts w:ascii="Aptos" w:hAnsi="Aptos" w:eastAsia="Aptos"/>
                <w:b w:val="0"/>
                <w:i w:val="0"/>
                <w:color w:val="526984"/>
                <w:sz w:val="13"/>
              </w:rPr>
              <w:t>Faster NCR, containment and root-cause action</w:t>
            </w:r>
          </w:p>
        </w:tc>
        <w:tc>
          <w:tcPr>
            <w:tcW w:type="dxa" w:w="2610"/>
            <w:tcMar>
              <w:top w:w="42" w:type="dxa"/>
              <w:start w:w="44" w:type="dxa"/>
              <w:bottom w:w="42" w:type="dxa"/>
              <w:end w:w="44" w:type="dxa"/>
            </w:tcMar>
            <w:shd w:fill="FFFFFF"/>
            <w:tcBorders>
              <w:top w:val="single" w:sz="6" w:color="D6E0EA"/>
              <w:bottom w:val="single" w:sz="6" w:color="D6E0EA"/>
              <w:left w:val="single" w:sz="6" w:color="D6E0EA"/>
              <w:right w:val="single" w:sz="6" w:color="D6E0EA"/>
            </w:tcBorders>
          </w:tcPr>
          <w:p>
            <w:pPr>
              <w:spacing w:before="0" w:after="14" w:line="240" w:lineRule="auto"/>
            </w:pPr>
            <w:r>
              <w:rPr>
                <w:rFonts w:ascii="Aptos" w:hAnsi="Aptos" w:eastAsia="Aptos"/>
                <w:b/>
                <w:i w:val="0"/>
                <w:color w:val="152C73"/>
                <w:sz w:val="14"/>
              </w:rPr>
              <w:t>04</w:t>
            </w:r>
          </w:p>
          <w:p>
            <w:pPr>
              <w:spacing w:before="0" w:after="14" w:line="240" w:lineRule="auto"/>
            </w:pPr>
            <w:r>
              <w:rPr>
                <w:rFonts w:ascii="Aptos" w:hAnsi="Aptos" w:eastAsia="Aptos"/>
                <w:b/>
                <w:i w:val="0"/>
                <w:color w:val="152C73"/>
                <w:sz w:val="14"/>
              </w:rPr>
              <w:t>Scale across plants</w:t>
            </w:r>
          </w:p>
          <w:p>
            <w:pPr>
              <w:spacing w:before="0" w:after="14" w:line="226" w:lineRule="auto"/>
            </w:pPr>
            <w:r>
              <w:rPr>
                <w:rFonts w:ascii="Aptos" w:hAnsi="Aptos" w:eastAsia="Aptos"/>
                <w:b w:val="0"/>
                <w:i w:val="0"/>
                <w:color w:val="526984"/>
                <w:sz w:val="13"/>
              </w:rPr>
              <w:t>Standardised quality intelligence and learning</w:t>
            </w:r>
          </w:p>
        </w:tc>
      </w:tr>
    </w:tbl>
    <w:tbl>
      <w:tblPr>
        <w:tblW w:type="dxa" w:w="10440"/>
        <w:jc w:val="center"/>
        <w:tblLayout w:type="fixed"/>
        <w:tblLook w:firstColumn="1" w:firstRow="1" w:lastColumn="0" w:lastRow="0" w:noHBand="0" w:noVBand="1" w:val="04A0"/>
        <w:tblInd w:type="dxa" w:w="0"/>
      </w:tblPr>
      <w:tblGrid>
        <w:gridCol w:w="7093"/>
        <w:gridCol w:w="3347"/>
      </w:tblGrid>
      <w:tr>
        <w:trPr>
          <w:cantSplit/>
        </w:trPr>
        <w:tc>
          <w:tcPr>
            <w:tcW w:type="dxa" w:w="3346"/>
            <w:gridSpan w:val="2"/>
            <w:tcBorders>
              <w:top w:val="single" w:sz="8" w:color="1891F6"/>
              <w:bottom w:val="single" w:sz="6" w:color="D6E0EA"/>
              <w:left w:val="single" w:sz="6" w:color="D6E0EA"/>
              <w:right w:val="single" w:sz="6" w:color="D6E0EA"/>
              <w:insideH w:val="nil"/>
              <w:insideV w:val="nil"/>
            </w:tcBorders>
            <w:tcMar>
              <w:top w:w="28" w:type="dxa"/>
              <w:start w:w="55" w:type="dxa"/>
              <w:bottom w:w="26" w:type="dxa"/>
              <w:end w:w="55" w:type="dxa"/>
            </w:tcMar>
            <w:shd w:fill="F3F8FC"/>
          </w:tcPr>
          <w:p>
            <w:pPr>
              <w:spacing w:after="24"/>
            </w:pPr>
            <w:r>
              <w:rPr>
                <w:rFonts w:ascii="Aptos" w:hAnsi="Aptos" w:eastAsia="Aptos"/>
                <w:b/>
                <w:i w:val="0"/>
                <w:color w:val="152C73"/>
                <w:sz w:val="14"/>
              </w:rPr>
              <w:t xml:space="preserve">WHO BENEFITS?  </w:t>
            </w:r>
            <w:r>
              <w:rPr>
                <w:rFonts w:ascii="Aptos" w:hAnsi="Aptos" w:eastAsia="Aptos"/>
                <w:b w:val="0"/>
                <w:i w:val="0"/>
                <w:color w:val="172033"/>
                <w:sz w:val="14"/>
              </w:rPr>
              <w:t>COO / VP Manufacturing  •  Head of Quality  •  Plant Managers  •  Quality Engineers  •  IT/OT &amp; AI Teams</w:t>
            </w:r>
          </w:p>
          <w:p>
            <w:pPr>
              <w:spacing w:after="24"/>
            </w:pPr>
            <w:r>
              <w:rPr>
                <w:rFonts w:ascii="Aptos" w:hAnsi="Aptos" w:eastAsia="Aptos"/>
                <w:b/>
                <w:i w:val="0"/>
                <w:color w:val="0072CE"/>
                <w:sz w:val="14"/>
              </w:rPr>
              <w:t xml:space="preserve">INTEGRATIONS &amp; DEPLOYMENT  </w:t>
            </w:r>
            <w:r>
              <w:rPr>
                <w:rFonts w:ascii="Aptos" w:hAnsi="Aptos" w:eastAsia="Aptos"/>
                <w:b w:val="0"/>
                <w:i w:val="0"/>
                <w:color w:val="172033"/>
                <w:sz w:val="14"/>
              </w:rPr>
              <w:t>Industrial cameras  •  NVIDIA Jetson  •  ONNX/TensorRT  •  PLC/SCADA  •  MES  •  SAP QM  •  QMS  •  Databricks</w:t>
            </w:r>
          </w:p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1891F6"/>
                <w:sz w:val="14"/>
              </w:rPr>
              <w:t xml:space="preserve">ENTERPRISE-GRADE SECURITY &amp; COMPLIANCE  </w:t>
            </w:r>
            <w:r>
              <w:rPr>
                <w:rFonts w:ascii="Aptos" w:hAnsi="Aptos" w:eastAsia="Aptos"/>
                <w:b w:val="0"/>
                <w:i w:val="0"/>
                <w:color w:val="172033"/>
                <w:sz w:val="14"/>
              </w:rPr>
              <w:t>Role-based access  •  Governance and lineage  •  Audit logs  •  Plant-level data isolation  •  Privacy-first federated learning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color w:val="152C73"/>
                <w:sz w:val="14"/>
              </w:rPr>
              <w:t xml:space="preserve">PARTNER ECOSYSTEM  </w:t>
            </w:r>
            <w:r>
              <w:rPr>
                <w:rFonts w:ascii="Aptos" w:hAnsi="Aptos"/>
                <w:color w:val="172033"/>
                <w:sz w:val="14"/>
              </w:rPr>
              <w:t>Databricks intelligence, NVIDIA edge infrastructure, and major MES, quality and manufacturing platforms</w:t>
            </w:r>
          </w:p>
          <w:p>
            <w:pPr>
              <w:spacing w:before="20" w:after="0" w:line="240" w:lineRule="auto"/>
            </w:pPr>
            <w:r>
              <w:rPr>
                <w:rFonts w:ascii="Aptos" w:hAnsi="Aptos" w:eastAsia="Aptos"/>
                <w:b/>
                <w:i w:val="0"/>
                <w:color w:val="152C73"/>
                <w:sz w:val="14"/>
              </w:rPr>
              <w:t xml:space="preserve">RESOURCES  </w:t>
            </w:r>
            <w:hyperlink r:id="rId11">
              <w:r>
                <w:rPr>
                  <w:rFonts w:ascii="Aptos" w:hAnsi="Aptos" w:eastAsia="Aptos"/>
                  <w:color w:val="0072CE"/>
                  <w:sz w:val="14"/>
                  <w:szCs w:val="14"/>
                  <w:u w:val="single"/>
                </w:rPr>
                <w:t>Request Product Walkthrough</w:t>
              </w:r>
            </w:hyperlink>
            <w:r>
              <w:rPr>
                <w:rFonts w:ascii="Aptos" w:hAnsi="Aptos" w:eastAsia="Aptos"/>
                <w:b w:val="0"/>
                <w:i w:val="0"/>
                <w:color w:val="526984"/>
                <w:sz w:val="14"/>
              </w:rPr>
              <w:t xml:space="preserve">  |  </w:t>
            </w:r>
            <w:hyperlink r:id="rId11">
              <w:r>
                <w:rPr>
                  <w:rFonts w:ascii="Aptos" w:hAnsi="Aptos" w:eastAsia="Aptos"/>
                  <w:color w:val="0072CE"/>
                  <w:sz w:val="14"/>
                  <w:szCs w:val="14"/>
                  <w:u w:val="single"/>
                </w:rPr>
                <w:t>Request Architecture &amp; Integration Overview</w:t>
              </w:r>
            </w:hyperlink>
            <w:r>
              <w:rPr>
                <w:rFonts w:ascii="Aptos" w:hAnsi="Aptos" w:eastAsia="Aptos"/>
                <w:b w:val="0"/>
                <w:i w:val="0"/>
                <w:color w:val="526984"/>
                <w:sz w:val="14"/>
              </w:rPr>
              <w:t xml:space="preserve">  |  </w:t>
            </w:r>
            <w:hyperlink r:id="rId11">
              <w:r>
                <w:rPr>
                  <w:rFonts w:ascii="Aptos" w:hAnsi="Aptos" w:eastAsia="Aptos"/>
                  <w:color w:val="0072CE"/>
                  <w:sz w:val="14"/>
                  <w:szCs w:val="14"/>
                  <w:u w:val="single"/>
                </w:rPr>
                <w:t>Request Detailed Solution Brief</w:t>
              </w:r>
            </w:hyperlink>
            <w:r>
              <w:rPr>
                <w:rFonts w:ascii="Aptos" w:hAnsi="Aptos" w:eastAsia="Aptos"/>
                <w:b w:val="0"/>
                <w:i/>
                <w:color w:val="526984"/>
                <w:sz w:val="13"/>
              </w:rPr>
              <w:t xml:space="preserve">  (available on request)</w:t>
            </w:r>
          </w:p>
        </w:tc>
      </w:tr>
    </w:tbl>
    <w:tbl>
      <w:tblPr>
        <w:tblW w:type="dxa" w:w="10439"/>
        <w:jc w:val="center"/>
        <w:tblLayout w:type="fixed"/>
        <w:tblLook w:firstColumn="1" w:firstRow="1" w:lastColumn="0" w:lastRow="0" w:noHBand="0" w:noVBand="1" w:val="04A0"/>
        <w:tblInd w:type="dxa" w:w="0"/>
      </w:tblPr>
      <w:tblGrid>
        <w:gridCol w:w="6611"/>
        <w:gridCol w:w="3829"/>
      </w:tblGrid>
      <w:tr>
        <w:trPr>
          <w:cantSplit/>
        </w:trPr>
        <w:tc>
          <w:tcPr>
            <w:tcW w:type="dxa" w:w="6611"/>
            <w:shd w:fill="152C73"/>
            <w:tcMar>
              <w:top w:w="50" w:type="dxa"/>
              <w:start w:w="70" w:type="dxa"/>
              <w:bottom w:w="48" w:type="dxa"/>
              <w:end w:w="65" w:type="dxa"/>
            </w:tcMar>
            <w:tcBorders>
              <w:top w:val="single" w:sz="10" w:color="1891F6"/>
              <w:bottom w:val="single" w:sz="8" w:color="152C73"/>
              <w:left w:val="single" w:sz="8" w:color="152C73"/>
              <w:right w:val="single" w:sz="3" w:color="FFFFFF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READY TO MODERNISE VISUAL QUALITY INSPECTION?</w:t>
            </w:r>
          </w:p>
          <w:p>
            <w:pPr>
              <w:spacing w:after="0" w:line="228" w:lineRule="auto"/>
            </w:pPr>
            <w:r>
              <w:rPr>
                <w:rFonts w:ascii="Aptos" w:hAnsi="Aptos" w:eastAsia="Aptos"/>
                <w:b w:val="0"/>
                <w:i w:val="0"/>
                <w:color w:val="DDEBFA"/>
                <w:sz w:val="14"/>
              </w:rPr>
              <w:t>Explore a guided walkthrough tailored to your production lines, quality workflows and deployment environment.</w:t>
            </w:r>
          </w:p>
        </w:tc>
        <w:tc>
          <w:tcPr>
            <w:tcW w:type="dxa" w:w="3828"/>
            <w:shd w:fill="1891F6"/>
            <w:tcMar>
              <w:top w:w="38" w:type="dxa"/>
              <w:start w:w="62" w:type="dxa"/>
              <w:bottom w:w="36" w:type="dxa"/>
              <w:end w:w="62" w:type="dxa"/>
            </w:tcMar>
            <w:tcBorders>
              <w:top w:val="single" w:sz="10" w:color="1891F6"/>
              <w:bottom w:val="single" w:sz="8" w:color="1891F6"/>
              <w:left w:val="single" w:sz="3" w:color="FFFFFF"/>
              <w:right w:val="single" w:sz="8" w:color="1891F6"/>
            </w:tcBorders>
            <w:vAlign w:val="center"/>
          </w:tcPr>
          <w:p>
            <w:pPr>
              <w:spacing w:after="30"/>
              <w:jc w:val="center"/>
            </w:pPr>
            <w:hyperlink r:id="rId11">
              <w:r>
                <w:rPr>
                  <w:rFonts w:ascii="Aptos" w:hAnsi="Aptos" w:eastAsia="Aptos"/>
                  <w:color w:val="FFFFFF"/>
                  <w:sz w:val="17"/>
                  <w:szCs w:val="17"/>
                  <w:b/>
                </w:rPr>
                <w:t>REQUEST A GUIDED DEMO  →</w:t>
              </w:r>
            </w:hyperlink>
          </w:p>
          <w:p>
            <w:pPr>
              <w:spacing w:after="0"/>
              <w:jc w:val="center"/>
            </w:pPr>
            <w:hyperlink r:id="rId11">
              <w:r>
                <w:rPr>
                  <w:rFonts w:ascii="Aptos" w:hAnsi="Aptos" w:eastAsia="Aptos"/>
                  <w:color w:val="FFFFFF"/>
                  <w:sz w:val="13"/>
                  <w:szCs w:val="13"/>
                  <w:u w:val="single"/>
                </w:rPr>
                <w:t>Discuss a Pilot Opportunity</w:t>
              </w:r>
            </w:hyperlink>
            <w:r>
              <w:rPr>
                <w:rFonts w:ascii="Aptos" w:hAnsi="Aptos" w:eastAsia="Aptos"/>
                <w:b w:val="0"/>
                <w:i w:val="0"/>
                <w:color w:val="FFFFFF"/>
                <w:sz w:val="13"/>
              </w:rPr>
              <w:t xml:space="preserve">  •  </w:t>
            </w:r>
            <w:hyperlink r:id="rId11">
              <w:r>
                <w:rPr>
                  <w:rFonts w:ascii="Aptos" w:hAnsi="Aptos" w:eastAsia="Aptos"/>
                  <w:color w:val="FFFFFF"/>
                  <w:sz w:val="13"/>
                  <w:szCs w:val="13"/>
                  <w:u w:val="single"/>
                </w:rPr>
                <w:t>Speak with an Expert</w:t>
              </w:r>
            </w:hyperlink>
          </w:p>
        </w:tc>
      </w:tr>
    </w:tbl>
    <w:p>
      <w:pPr>
        <w:spacing w:before="20" w:after="0" w:line="240" w:lineRule="auto"/>
        <w:jc w:val="center"/>
      </w:pPr>
      <w:r>
        <w:rPr>
          <w:rFonts w:ascii="Aptos" w:hAnsi="Aptos" w:eastAsia="Aptos"/>
          <w:b w:val="0"/>
          <w:i/>
          <w:color w:val="526984"/>
          <w:sz w:val="11"/>
        </w:rPr>
        <w:t>Targets and prototype model metrics are illustrative and should be validated for each client environment, product mix and deployment scope.</w:t>
      </w:r>
    </w:p>
    <w:sectPr w:rsidR="00FC693F" w:rsidRPr="0006063C" w:rsidSect="00034616">
      <w:pgSz w:w="11909" w:h="16834"/>
      <w:pgMar w:top="403" w:right="648" w:bottom="389" w:left="648" w:header="115" w:footer="11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www.infocepts.ai/contact-u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