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440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6887"/>
        <w:gridCol w:w="3553"/>
      </w:tblGrid>
      <w:tr>
        <w:trPr>
          <w:cantSplit/>
        </w:trPr>
        <w:tc>
          <w:tcPr>
            <w:tcW w:type="dxa" w:w="6886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8" w:type="dxa"/>
              <w:end w:w="8" w:type="dxa"/>
            </w:tcMar>
            <w:vAlign w:val="center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17320" cy="3310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focepts_logo_croppe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310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53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6" w:type="dxa"/>
              <w:start w:w="8" w:type="dxa"/>
              <w:bottom w:w="8" w:type="dxa"/>
              <w:end w:w="0" w:type="dxa"/>
            </w:tcMar>
            <w:vAlign w:val="center"/>
          </w:tcPr>
          <w:p>
            <w:pPr/>
          </w:p>
        </w:tc>
      </w:tr>
    </w:tbl>
    <w:tbl>
      <w:tblPr>
        <w:tblW w:type="dxa" w:w="10440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fill="152C7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/>
          </w:p>
        </w:tc>
      </w:tr>
    </w:tbl>
    <w:tbl>
      <w:tblPr>
        <w:tblW w:type="dxa" w:w="10440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7851"/>
        <w:gridCol w:w="2589"/>
      </w:tblGrid>
      <w:tr>
        <w:trPr>
          <w:cantSplit/>
        </w:trPr>
        <w:tc>
          <w:tcPr>
            <w:tcW w:type="dxa" w:w="785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28" w:type="dxa"/>
              <w:start w:w="15" w:type="dxa"/>
              <w:bottom w:w="12" w:type="dxa"/>
              <w:end w:w="1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52C73"/>
                <w:sz w:val="39"/>
              </w:rPr>
              <w:t>QUALITY VISION AGENT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526984"/>
                <w:sz w:val="18"/>
              </w:rPr>
              <w:t>Detect defects in milliseconds, automate quality actions, and continuously improve inspection models across plants-without moving sensitive production images off-site.</w:t>
            </w:r>
          </w:p>
        </w:tc>
        <w:tc>
          <w:tcPr>
            <w:tcW w:type="dxa" w:w="2589"/>
            <w:tcBorders>
              <w:top w:val="single" w:sz="6" w:color="A8D5F3"/>
              <w:bottom w:val="single" w:sz="6" w:color="A8D5F3"/>
              <w:left w:val="single" w:sz="6" w:color="A8D5F3"/>
              <w:right w:val="single" w:sz="6" w:color="A8D5F3"/>
              <w:insideH w:val="nil"/>
              <w:insideV w:val="nil"/>
            </w:tcBorders>
            <w:tcMar>
              <w:top w:w="28" w:type="dxa"/>
              <w:start w:w="15" w:type="dxa"/>
              <w:bottom w:w="12" w:type="dxa"/>
              <w:end w:w="15" w:type="dxa"/>
            </w:tcMar>
            <w:shd w:fill="EAF4FB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52C73"/>
                <w:sz w:val="16"/>
              </w:rPr>
              <w:t>EDGE AI + CLOSED-LOOP QUALITY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>From inspection to action</w:t>
            </w:r>
          </w:p>
        </w:tc>
      </w:tr>
    </w:tbl>
    <w:tbl>
      <w:tblPr>
        <w:tblW w:type="dxa" w:w="10440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2610"/>
        <w:gridCol w:w="2610"/>
        <w:gridCol w:w="2610"/>
        <w:gridCol w:w="2610"/>
      </w:tblGrid>
      <w:tr>
        <w:trPr>
          <w:cantSplit/>
        </w:trPr>
        <w:tc>
          <w:tcPr>
            <w:tcW w:type="dxa" w:w="2610"/>
            <w:tcMar>
              <w:top w:w="28" w:type="dxa"/>
              <w:start w:w="35" w:type="dxa"/>
              <w:bottom w:w="28" w:type="dxa"/>
              <w:end w:w="35" w:type="dxa"/>
            </w:tcMar>
            <w:vAlign w:val="center"/>
            <w:shd w:fill="E9F3FA"/>
            <w:tcBorders>
              <w:top w:val="single" w:sz="10" w:color="1891F6"/>
              <w:bottom w:val="single" w:sz="5" w:color="D6E0EA"/>
              <w:left w:val="single" w:sz="5" w:color="D6E0EA"/>
              <w:right w:val="single" w:sz="5" w:color="D6E0E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526984"/>
                <w:sz w:val="12"/>
              </w:rPr>
              <w:t>TARGET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891F6"/>
                <w:sz w:val="22"/>
              </w:rPr>
              <w:t>UP TO 62%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526984"/>
                <w:sz w:val="13"/>
              </w:rPr>
              <w:t>fewer defect escapes</w:t>
            </w:r>
          </w:p>
        </w:tc>
        <w:tc>
          <w:tcPr>
            <w:tcW w:type="dxa" w:w="2610"/>
            <w:tcMar>
              <w:top w:w="28" w:type="dxa"/>
              <w:start w:w="35" w:type="dxa"/>
              <w:bottom w:w="28" w:type="dxa"/>
              <w:end w:w="35" w:type="dxa"/>
            </w:tcMar>
            <w:vAlign w:val="center"/>
            <w:shd w:fill="EAF4FB"/>
            <w:tcBorders>
              <w:top w:val="single" w:sz="10" w:color="152C73"/>
              <w:bottom w:val="single" w:sz="5" w:color="D6E0EA"/>
              <w:left w:val="single" w:sz="5" w:color="D6E0EA"/>
              <w:right w:val="single" w:sz="5" w:color="D6E0E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526984"/>
                <w:sz w:val="12"/>
              </w:rPr>
              <w:t>TARGET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52C73"/>
                <w:sz w:val="22"/>
              </w:rPr>
              <w:t>UP TO 38%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526984"/>
                <w:sz w:val="13"/>
              </w:rPr>
              <w:t>less inspection labour</w:t>
            </w:r>
          </w:p>
        </w:tc>
        <w:tc>
          <w:tcPr>
            <w:tcW w:type="dxa" w:w="2610"/>
            <w:tcMar>
              <w:top w:w="28" w:type="dxa"/>
              <w:start w:w="35" w:type="dxa"/>
              <w:bottom w:w="28" w:type="dxa"/>
              <w:end w:w="35" w:type="dxa"/>
            </w:tcMar>
            <w:vAlign w:val="center"/>
            <w:shd w:fill="EDF6FD"/>
            <w:tcBorders>
              <w:top w:val="single" w:sz="10" w:color="0072CE"/>
              <w:bottom w:val="single" w:sz="5" w:color="D6E0EA"/>
              <w:left w:val="single" w:sz="5" w:color="D6E0EA"/>
              <w:right w:val="single" w:sz="5" w:color="D6E0E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526984"/>
                <w:sz w:val="12"/>
              </w:rPr>
              <w:t>EDGE SPEED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0072CE"/>
                <w:sz w:val="22"/>
              </w:rPr>
              <w:t>&lt;10 MS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526984"/>
                <w:sz w:val="13"/>
              </w:rPr>
              <w:t>ONNX/TensorRT inference</w:t>
            </w:r>
          </w:p>
        </w:tc>
        <w:tc>
          <w:tcPr>
            <w:tcW w:type="dxa" w:w="2610"/>
            <w:tcMar>
              <w:top w:w="28" w:type="dxa"/>
              <w:start w:w="35" w:type="dxa"/>
              <w:bottom w:w="28" w:type="dxa"/>
              <w:end w:w="35" w:type="dxa"/>
            </w:tcMar>
            <w:vAlign w:val="center"/>
            <w:shd w:fill="EEF2FA"/>
            <w:tcBorders>
              <w:top w:val="single" w:sz="10" w:color="4A66C7"/>
              <w:bottom w:val="single" w:sz="5" w:color="D6E0EA"/>
              <w:left w:val="single" w:sz="5" w:color="D6E0EA"/>
              <w:right w:val="single" w:sz="5" w:color="D6E0E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526984"/>
                <w:sz w:val="12"/>
              </w:rPr>
              <w:t>PROTOTYPE AI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4A66C7"/>
                <w:sz w:val="22"/>
              </w:rPr>
              <w:t>0.964 / 0.971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526984"/>
                <w:sz w:val="13"/>
              </w:rPr>
              <w:t>mAP / precision</w:t>
            </w:r>
          </w:p>
        </w:tc>
      </w:tr>
    </w:tbl>
    <w:tbl>
      <w:tblPr>
        <w:tblW w:type="dxa" w:w="10440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10440"/>
      </w:tblGrid>
      <w:tr>
        <w:trPr>
          <w:cantSplit/>
        </w:trPr>
        <w:tc>
          <w:tcPr>
            <w:tcW w:type="dxa" w:w="10440"/>
            <w:tcMar>
              <w:top w:w="10" w:type="dxa"/>
              <w:start w:w="10" w:type="dxa"/>
              <w:bottom w:w="10" w:type="dxa"/>
              <w:end w:w="10" w:type="dxa"/>
            </w:tcMar>
            <w:tcBorders>
              <w:top w:val="single" w:sz="6" w:color="C7D5E2"/>
              <w:bottom w:val="single" w:sz="6" w:color="C7D5E2"/>
              <w:left w:val="single" w:sz="6" w:color="C7D5E2"/>
              <w:right w:val="single" w:sz="6" w:color="C7D5E2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92240" cy="2995376"/>
                  <wp:docPr id="1" name="Picture 1" descr="Quality Vision Agent dashboard showing real-time quality metrics, defect trends, defect types and governed recommendations across manufacturing plants." title="Quality Vision Agent product dashboar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lity_vision_marketing_her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995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20" w:line="240" w:lineRule="auto"/>
        <w:jc w:val="right"/>
      </w:pPr>
      <w:r>
        <w:rPr>
          <w:rFonts w:ascii="Aptos" w:hAnsi="Aptos" w:eastAsia="Aptos"/>
          <w:b w:val="0"/>
          <w:i/>
          <w:color w:val="526984"/>
          <w:sz w:val="12"/>
        </w:rPr>
        <w:t>Illustrative product experience: real-time quality KPIs, defect intelligence, semantic governance and multi-plant visibility</w:t>
      </w:r>
    </w:p>
    <w:tbl>
      <w:tblPr>
        <w:tblW w:type="dxa" w:w="10440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10440"/>
      </w:tblGrid>
      <w:tr>
        <w:trPr>
          <w:cantSplit/>
        </w:trPr>
        <w:tc>
          <w:tcPr>
            <w:tcW w:type="dxa" w:w="10440"/>
            <w:shd w:fill="EAF4FB"/>
            <w:tcMar>
              <w:top w:w="42" w:type="dxa"/>
              <w:start w:w="85" w:type="dxa"/>
              <w:bottom w:w="42" w:type="dxa"/>
              <w:end w:w="85" w:type="dxa"/>
            </w:tcMar>
            <w:tcBorders>
              <w:top w:val="single" w:sz="6" w:color="A8D5F3"/>
              <w:bottom w:val="single" w:sz="6" w:color="A8D5F3"/>
              <w:left w:val="single" w:sz="14" w:color="152C73"/>
              <w:right w:val="single" w:sz="6" w:color="A8D5F3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i w:val="0"/>
                <w:color w:val="152C73"/>
                <w:sz w:val="16"/>
              </w:rPr>
              <w:t xml:space="preserve">SOLUTION OVERVIEW 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6"/>
              </w:rPr>
              <w:t>Quality Vision Agent combines industrial cameras, NVIDIA Jetson edge inference, ONNX/TensorRT models, MES logging and SAP QM workflows-turning each visual inspection into a traceable quality action while supporting federated retraining across plants.</w:t>
            </w:r>
          </w:p>
        </w:tc>
      </w:tr>
    </w:tbl>
    <w:tbl>
      <w:tblPr>
        <w:tblW w:type="dxa" w:w="10440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3480"/>
        <w:gridCol w:w="3480"/>
        <w:gridCol w:w="3480"/>
      </w:tblGrid>
      <w:tr>
        <w:trPr>
          <w:cantSplit/>
        </w:trPr>
        <w:tc>
          <w:tcPr>
            <w:tcW w:type="dxa" w:w="3480"/>
            <w:tcMar>
              <w:top w:w="48" w:type="dxa"/>
              <w:start w:w="60" w:type="dxa"/>
              <w:bottom w:w="44" w:type="dxa"/>
              <w:end w:w="60" w:type="dxa"/>
            </w:tcMar>
            <w:vAlign w:val="top"/>
            <w:shd w:fill="F5F7FA"/>
            <w:tcBorders>
              <w:top w:val="single" w:sz="6" w:color="D6E0EA"/>
              <w:bottom w:val="single" w:sz="6" w:color="D6E0EA"/>
              <w:left w:val="single" w:sz="6" w:color="D6E0EA"/>
              <w:right w:val="single" w:sz="6" w:color="D6E0EA"/>
            </w:tcBorders>
          </w:tcPr>
          <w:p>
            <w:pPr>
              <w:spacing w:line="240" w:lineRule="auto"/>
            </w:pPr>
          </w:p>
          <w:p>
            <w:pPr>
              <w:spacing w:before="0" w:after="40" w:line="240" w:lineRule="auto"/>
              <w:pBdr>
                <w:bottom w:val="single" w:sz="9" w:space="1" w:color="F05A47"/>
              </w:pBdr>
            </w:pPr>
            <w:r>
              <w:rPr>
                <w:rFonts w:ascii="Aptos" w:hAnsi="Aptos" w:eastAsia="Aptos"/>
                <w:b/>
                <w:i w:val="0"/>
                <w:color w:val="F05A47"/>
                <w:sz w:val="16"/>
              </w:rPr>
              <w:t>THE BUSINESS PROBLEMS</w:t>
            </w:r>
          </w:p>
          <w:p>
            <w:pPr>
              <w:spacing w:before="0" w:after="26" w:line="240" w:lineRule="auto"/>
              <w:ind w:left="173" w:hanging="158"/>
            </w:pPr>
            <w:r>
              <w:rPr>
                <w:rFonts w:ascii="Aptos" w:hAnsi="Aptos" w:eastAsia="Aptos"/>
                <w:b/>
                <w:i w:val="0"/>
                <w:color w:val="F05A47"/>
                <w:sz w:val="14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Manual visual inspection requires significant labour and is difficult to scale consistently.</w:t>
            </w:r>
          </w:p>
          <w:p>
            <w:pPr>
              <w:spacing w:before="0" w:after="26" w:line="240" w:lineRule="auto"/>
              <w:ind w:left="173" w:hanging="158"/>
            </w:pPr>
            <w:r>
              <w:rPr>
                <w:rFonts w:ascii="Aptos" w:hAnsi="Aptos" w:eastAsia="Aptos"/>
                <w:b/>
                <w:i w:val="0"/>
                <w:color w:val="F05A47"/>
                <w:sz w:val="14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Defect escapes, re-inspection and rejected parts increase quality cost and response effort.</w:t>
            </w:r>
          </w:p>
          <w:p>
            <w:pPr>
              <w:spacing w:before="0" w:after="26" w:line="240" w:lineRule="auto"/>
              <w:ind w:left="173" w:hanging="158"/>
            </w:pPr>
            <w:r>
              <w:rPr>
                <w:rFonts w:ascii="Aptos" w:hAnsi="Aptos" w:eastAsia="Aptos"/>
                <w:b/>
                <w:i w:val="0"/>
                <w:color w:val="F05A47"/>
                <w:sz w:val="14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Quality performance varies by production line and needs real-time plant-wide visibility.</w:t>
            </w:r>
          </w:p>
        </w:tc>
        <w:tc>
          <w:tcPr>
            <w:tcW w:type="dxa" w:w="3480"/>
            <w:tcMar>
              <w:top w:w="48" w:type="dxa"/>
              <w:start w:w="60" w:type="dxa"/>
              <w:bottom w:w="44" w:type="dxa"/>
              <w:end w:w="60" w:type="dxa"/>
            </w:tcMar>
            <w:vAlign w:val="top"/>
            <w:shd w:fill="EDF6FD"/>
            <w:tcBorders>
              <w:top w:val="single" w:sz="6" w:color="D6E0EA"/>
              <w:bottom w:val="single" w:sz="6" w:color="D6E0EA"/>
              <w:left w:val="single" w:sz="6" w:color="D6E0EA"/>
              <w:right w:val="single" w:sz="6" w:color="D6E0EA"/>
            </w:tcBorders>
          </w:tcPr>
          <w:p>
            <w:pPr>
              <w:spacing w:line="240" w:lineRule="auto"/>
            </w:pPr>
          </w:p>
          <w:p>
            <w:pPr>
              <w:spacing w:before="0" w:after="40" w:line="240" w:lineRule="auto"/>
              <w:pBdr>
                <w:bottom w:val="single" w:sz="9" w:space="1" w:color="0072CE"/>
              </w:pBdr>
            </w:pPr>
            <w:r>
              <w:rPr>
                <w:rFonts w:ascii="Aptos" w:hAnsi="Aptos" w:eastAsia="Aptos"/>
                <w:b/>
                <w:i w:val="0"/>
                <w:color w:val="0072CE"/>
                <w:sz w:val="16"/>
              </w:rPr>
              <w:t>HOW IT WORKS</w:t>
            </w:r>
          </w:p>
          <w:p>
            <w:pPr>
              <w:spacing w:before="0" w:after="15" w:line="240" w:lineRule="auto"/>
              <w:ind w:left="259" w:hanging="259"/>
            </w:pPr>
            <w:r>
              <w:rPr>
                <w:rFonts w:ascii="Aptos" w:hAnsi="Aptos" w:eastAsia="Aptos"/>
                <w:b/>
                <w:i w:val="0"/>
                <w:color w:val="0072CE"/>
                <w:sz w:val="14"/>
              </w:rPr>
              <w:t xml:space="preserve">1 </w:t>
            </w: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Capture: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Industrial cameras stream frames to NVIDIA Jetson.</w:t>
            </w:r>
          </w:p>
          <w:p>
            <w:pPr>
              <w:spacing w:before="0" w:after="15" w:line="240" w:lineRule="auto"/>
              <w:ind w:left="259" w:hanging="259"/>
            </w:pPr>
            <w:r>
              <w:rPr>
                <w:rFonts w:ascii="Aptos" w:hAnsi="Aptos" w:eastAsia="Aptos"/>
                <w:b/>
                <w:i w:val="0"/>
                <w:color w:val="0072CE"/>
                <w:sz w:val="14"/>
              </w:rPr>
              <w:t xml:space="preserve">2 </w:t>
            </w: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Detect: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ONNX-optimised models classify defect type and severity.</w:t>
            </w:r>
          </w:p>
          <w:p>
            <w:pPr>
              <w:spacing w:before="0" w:after="15" w:line="240" w:lineRule="auto"/>
              <w:ind w:left="259" w:hanging="259"/>
            </w:pPr>
            <w:r>
              <w:rPr>
                <w:rFonts w:ascii="Aptos" w:hAnsi="Aptos" w:eastAsia="Aptos"/>
                <w:b/>
                <w:i w:val="0"/>
                <w:color w:val="0072CE"/>
                <w:sz w:val="14"/>
              </w:rPr>
              <w:t xml:space="preserve">3 </w:t>
            </w: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Act: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Accept, reject or re-inspect decisions are logged instantly.</w:t>
            </w:r>
          </w:p>
          <w:p>
            <w:pPr>
              <w:spacing w:before="0" w:after="15" w:line="240" w:lineRule="auto"/>
              <w:ind w:left="259" w:hanging="259"/>
            </w:pPr>
            <w:r>
              <w:rPr>
                <w:rFonts w:ascii="Aptos" w:hAnsi="Aptos" w:eastAsia="Aptos"/>
                <w:b/>
                <w:i w:val="0"/>
                <w:color w:val="0072CE"/>
                <w:sz w:val="14"/>
              </w:rPr>
              <w:t xml:space="preserve">4 </w:t>
            </w: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Integrate: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MES/SAP QM workflows create traceable quality events.</w:t>
            </w:r>
          </w:p>
          <w:p>
            <w:pPr>
              <w:spacing w:before="0" w:after="15" w:line="240" w:lineRule="auto"/>
              <w:ind w:left="259" w:hanging="259"/>
            </w:pPr>
            <w:r>
              <w:rPr>
                <w:rFonts w:ascii="Aptos" w:hAnsi="Aptos" w:eastAsia="Aptos"/>
                <w:b/>
                <w:i w:val="0"/>
                <w:color w:val="0072CE"/>
                <w:sz w:val="14"/>
              </w:rPr>
              <w:t xml:space="preserve">5 </w:t>
            </w: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Learn: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Federated retraining improves models across plants.</w:t>
            </w:r>
          </w:p>
        </w:tc>
        <w:tc>
          <w:tcPr>
            <w:tcW w:type="dxa" w:w="3480"/>
            <w:tcMar>
              <w:top w:w="48" w:type="dxa"/>
              <w:start w:w="60" w:type="dxa"/>
              <w:bottom w:w="44" w:type="dxa"/>
              <w:end w:w="60" w:type="dxa"/>
            </w:tcMar>
            <w:vAlign w:val="top"/>
            <w:shd w:fill="EAF4FB"/>
            <w:tcBorders>
              <w:top w:val="single" w:sz="6" w:color="D6E0EA"/>
              <w:bottom w:val="single" w:sz="6" w:color="D6E0EA"/>
              <w:left w:val="single" w:sz="6" w:color="D6E0EA"/>
              <w:right w:val="single" w:sz="6" w:color="D6E0EA"/>
            </w:tcBorders>
          </w:tcPr>
          <w:p>
            <w:pPr>
              <w:spacing w:line="240" w:lineRule="auto"/>
            </w:pPr>
          </w:p>
          <w:p>
            <w:pPr>
              <w:spacing w:before="0" w:after="40" w:line="240" w:lineRule="auto"/>
              <w:pBdr>
                <w:bottom w:val="single" w:sz="9" w:space="1" w:color="152C73"/>
              </w:pBdr>
            </w:pPr>
            <w:r>
              <w:rPr>
                <w:rFonts w:ascii="Aptos" w:hAnsi="Aptos" w:eastAsia="Aptos"/>
                <w:b/>
                <w:i w:val="0"/>
                <w:color w:val="152C73"/>
                <w:sz w:val="16"/>
              </w:rPr>
              <w:t>PLATFORM CAPABILITIES</w:t>
            </w:r>
          </w:p>
          <w:p>
            <w:pPr>
              <w:spacing w:before="0" w:after="17" w:line="240" w:lineRule="auto"/>
              <w:ind w:left="173" w:hanging="158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ONNX/TensorRT edge inference supports decisions in under 10 milliseconds.</w:t>
            </w:r>
          </w:p>
          <w:p>
            <w:pPr>
              <w:spacing w:before="0" w:after="17" w:line="240" w:lineRule="auto"/>
              <w:ind w:left="173" w:hanging="158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Defect classification triggers accept, reject or re-inspect actions and MES/SAP QM records.</w:t>
            </w:r>
          </w:p>
          <w:p>
            <w:pPr>
              <w:spacing w:before="0" w:after="17" w:line="240" w:lineRule="auto"/>
              <w:ind w:left="173" w:hanging="158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The semantic layer can block recommendations when a conflict is detected.</w:t>
            </w:r>
          </w:p>
          <w:p>
            <w:pPr>
              <w:spacing w:before="0" w:after="17" w:line="240" w:lineRule="auto"/>
              <w:ind w:left="173" w:hanging="158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Federated retraining keeps raw images at the plant and aggregates gradients only.</w:t>
            </w:r>
          </w:p>
          <w:p>
            <w:pPr>
              <w:spacing w:before="0" w:after="17" w:line="240" w:lineRule="auto"/>
              <w:ind w:left="173" w:hanging="158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Model version, mAP, precision, feature importance and training history remain visible.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i w:val="0"/>
          <w:color w:val="0072CE"/>
          <w:sz w:val="16"/>
        </w:rPr>
        <w:t>BUSINESS OUTCOMES</w:t>
      </w:r>
    </w:p>
    <w:tbl>
      <w:tblPr>
        <w:tblW w:type="dxa" w:w="10440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2610"/>
        <w:gridCol w:w="2610"/>
        <w:gridCol w:w="2610"/>
        <w:gridCol w:w="2610"/>
      </w:tblGrid>
      <w:tr>
        <w:trPr>
          <w:cantSplit/>
        </w:trPr>
        <w:tc>
          <w:tcPr>
            <w:tcW w:type="dxa" w:w="2610"/>
            <w:tcMar>
              <w:top w:w="42" w:type="dxa"/>
              <w:start w:w="44" w:type="dxa"/>
              <w:bottom w:w="42" w:type="dxa"/>
              <w:end w:w="44" w:type="dxa"/>
            </w:tcMar>
            <w:shd w:fill="FFFFFF"/>
            <w:tcBorders>
              <w:top w:val="single" w:sz="6" w:color="D6E0EA"/>
              <w:bottom w:val="single" w:sz="6" w:color="D6E0EA"/>
              <w:left w:val="single" w:sz="6" w:color="D6E0EA"/>
              <w:right w:val="single" w:sz="6" w:color="D6E0EA"/>
            </w:tcBorders>
          </w:tcPr>
          <w:p>
            <w:pPr>
              <w:spacing w:before="0" w:after="14" w:line="240" w:lineRule="auto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>01</w:t>
            </w:r>
          </w:p>
          <w:p>
            <w:pPr>
              <w:spacing w:before="0" w:after="14" w:line="240" w:lineRule="auto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>Improve plant and line quality</w:t>
            </w:r>
          </w:p>
          <w:p>
            <w:pPr>
              <w:spacing w:before="0" w:after="14" w:line="226" w:lineRule="auto"/>
            </w:pPr>
            <w:r>
              <w:rPr>
                <w:rFonts w:ascii="Aptos" w:hAnsi="Aptos" w:eastAsia="Aptos"/>
                <w:b w:val="0"/>
                <w:i w:val="0"/>
                <w:color w:val="526984"/>
                <w:sz w:val="13"/>
              </w:rPr>
              <w:t>Track quality rate, defects and escapes in real time</w:t>
            </w:r>
          </w:p>
        </w:tc>
        <w:tc>
          <w:tcPr>
            <w:tcW w:type="dxa" w:w="2610"/>
            <w:tcMar>
              <w:top w:w="42" w:type="dxa"/>
              <w:start w:w="44" w:type="dxa"/>
              <w:bottom w:w="42" w:type="dxa"/>
              <w:end w:w="44" w:type="dxa"/>
            </w:tcMar>
            <w:shd w:fill="FFFFFF"/>
            <w:tcBorders>
              <w:top w:val="single" w:sz="6" w:color="D6E0EA"/>
              <w:bottom w:val="single" w:sz="6" w:color="D6E0EA"/>
              <w:left w:val="single" w:sz="6" w:color="D6E0EA"/>
              <w:right w:val="single" w:sz="6" w:color="D6E0EA"/>
            </w:tcBorders>
          </w:tcPr>
          <w:p>
            <w:pPr>
              <w:spacing w:before="0" w:after="14" w:line="240" w:lineRule="auto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>02</w:t>
            </w:r>
          </w:p>
          <w:p>
            <w:pPr>
              <w:spacing w:before="0" w:after="14" w:line="240" w:lineRule="auto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>Reduce defect escapes and labour</w:t>
            </w:r>
          </w:p>
          <w:p>
            <w:pPr>
              <w:spacing w:before="0" w:after="14" w:line="226" w:lineRule="auto"/>
            </w:pPr>
            <w:r>
              <w:rPr>
                <w:rFonts w:ascii="Aptos" w:hAnsi="Aptos" w:eastAsia="Aptos"/>
                <w:b w:val="0"/>
                <w:i w:val="0"/>
                <w:color w:val="526984"/>
                <w:sz w:val="13"/>
              </w:rPr>
              <w:t>Work toward the targets shown in the agent</w:t>
            </w:r>
          </w:p>
        </w:tc>
        <w:tc>
          <w:tcPr>
            <w:tcW w:type="dxa" w:w="2610"/>
            <w:tcMar>
              <w:top w:w="42" w:type="dxa"/>
              <w:start w:w="44" w:type="dxa"/>
              <w:bottom w:w="42" w:type="dxa"/>
              <w:end w:w="44" w:type="dxa"/>
            </w:tcMar>
            <w:shd w:fill="FFFFFF"/>
            <w:tcBorders>
              <w:top w:val="single" w:sz="6" w:color="D6E0EA"/>
              <w:bottom w:val="single" w:sz="6" w:color="D6E0EA"/>
              <w:left w:val="single" w:sz="6" w:color="D6E0EA"/>
              <w:right w:val="single" w:sz="6" w:color="D6E0EA"/>
            </w:tcBorders>
          </w:tcPr>
          <w:p>
            <w:pPr>
              <w:spacing w:before="0" w:after="14" w:line="240" w:lineRule="auto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>03</w:t>
            </w:r>
          </w:p>
          <w:p>
            <w:pPr>
              <w:spacing w:before="0" w:after="14" w:line="240" w:lineRule="auto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>Accelerate quality action</w:t>
            </w:r>
          </w:p>
          <w:p>
            <w:pPr>
              <w:spacing w:before="0" w:after="14" w:line="226" w:lineRule="auto"/>
            </w:pPr>
            <w:r>
              <w:rPr>
                <w:rFonts w:ascii="Aptos" w:hAnsi="Aptos" w:eastAsia="Aptos"/>
                <w:b w:val="0"/>
                <w:i w:val="0"/>
                <w:color w:val="526984"/>
                <w:sz w:val="13"/>
              </w:rPr>
              <w:t>Faster accept, reject, re-inspect and non-conformance handling</w:t>
            </w:r>
          </w:p>
        </w:tc>
        <w:tc>
          <w:tcPr>
            <w:tcW w:type="dxa" w:w="2610"/>
            <w:tcMar>
              <w:top w:w="42" w:type="dxa"/>
              <w:start w:w="44" w:type="dxa"/>
              <w:bottom w:w="42" w:type="dxa"/>
              <w:end w:w="44" w:type="dxa"/>
            </w:tcMar>
            <w:shd w:fill="FFFFFF"/>
            <w:tcBorders>
              <w:top w:val="single" w:sz="6" w:color="D6E0EA"/>
              <w:bottom w:val="single" w:sz="6" w:color="D6E0EA"/>
              <w:left w:val="single" w:sz="6" w:color="D6E0EA"/>
              <w:right w:val="single" w:sz="6" w:color="D6E0EA"/>
            </w:tcBorders>
          </w:tcPr>
          <w:p>
            <w:pPr>
              <w:spacing w:before="0" w:after="14" w:line="240" w:lineRule="auto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>04</w:t>
            </w:r>
          </w:p>
          <w:p>
            <w:pPr>
              <w:spacing w:before="0" w:after="14" w:line="240" w:lineRule="auto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>Learn across plants</w:t>
            </w:r>
          </w:p>
          <w:p>
            <w:pPr>
              <w:spacing w:before="0" w:after="14" w:line="226" w:lineRule="auto"/>
            </w:pPr>
            <w:r>
              <w:rPr>
                <w:rFonts w:ascii="Aptos" w:hAnsi="Aptos" w:eastAsia="Aptos"/>
                <w:b w:val="0"/>
                <w:i w:val="0"/>
                <w:color w:val="526984"/>
                <w:sz w:val="13"/>
              </w:rPr>
              <w:t>Federated retraining without moving raw images off-site</w:t>
            </w:r>
          </w:p>
        </w:tc>
      </w:tr>
    </w:tbl>
    <w:tbl>
      <w:tblPr>
        <w:tblW w:type="dxa" w:w="10440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7093"/>
        <w:gridCol w:w="3347"/>
      </w:tblGrid>
      <w:tr>
        <w:trPr>
          <w:cantSplit/>
        </w:trPr>
        <w:tc>
          <w:tcPr>
            <w:tcW w:type="dxa" w:w="3346"/>
            <w:gridSpan w:val="2"/>
            <w:tcBorders>
              <w:top w:val="single" w:sz="8" w:color="1891F6"/>
              <w:bottom w:val="single" w:sz="6" w:color="D6E0EA"/>
              <w:left w:val="single" w:sz="6" w:color="D6E0EA"/>
              <w:right w:val="single" w:sz="6" w:color="D6E0EA"/>
              <w:insideH w:val="nil"/>
              <w:insideV w:val="nil"/>
            </w:tcBorders>
            <w:tcMar>
              <w:top w:w="28" w:type="dxa"/>
              <w:start w:w="55" w:type="dxa"/>
              <w:bottom w:w="26" w:type="dxa"/>
              <w:end w:w="55" w:type="dxa"/>
            </w:tcMar>
            <w:shd w:fill="F3F8FC"/>
          </w:tcPr>
          <w:p>
            <w:pPr>
              <w:spacing w:after="24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WHO BENEFITS? 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COO / VP Manufacturing  •  Head of Quality  •  Plant Managers  •  Quality Engineers  •  IT/OT &amp; AI Teams</w:t>
            </w:r>
          </w:p>
          <w:p>
            <w:pPr>
              <w:spacing w:after="24"/>
            </w:pPr>
            <w:r>
              <w:rPr>
                <w:rFonts w:ascii="Aptos" w:hAnsi="Aptos" w:eastAsia="Aptos"/>
                <w:b/>
                <w:i w:val="0"/>
                <w:color w:val="0072CE"/>
                <w:sz w:val="14"/>
              </w:rPr>
              <w:t xml:space="preserve">INTEGRATIONS &amp; DEPLOYMENT 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Industrial cameras  •  NVIDIA Jetson  •  ONNX/TensorRT  •  MES  •  SAP QM</w:t>
            </w:r>
          </w:p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1891F6"/>
                <w:sz w:val="14"/>
              </w:rPr>
              <w:t xml:space="preserve">PRIVACY &amp; MODEL GOVERNANCE 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Raw images remain at the plant  •  Gradient aggregation only  •  Deployed and archived model history  •  Semantic conflict blocking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52C73"/>
                <w:sz w:val="14"/>
              </w:rPr>
              <w:t xml:space="preserve">TECHNOLOGY ECOSYSTEM  </w:t>
            </w:r>
            <w:r>
              <w:rPr>
                <w:rFonts w:ascii="Aptos" w:hAnsi="Aptos"/>
                <w:color w:val="172033"/>
                <w:sz w:val="14"/>
              </w:rPr>
              <w:t>Industrial cameras, NVIDIA Jetson, ONNX/TensorRT, MES and SAP QM-exactly as shown in the agent screens</w:t>
            </w:r>
          </w:p>
          <w:p>
            <w:pPr>
              <w:spacing w:before="20" w:after="0" w:line="240" w:lineRule="auto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RESOURCES  </w:t>
            </w:r>
            <w:hyperlink r:id="rId11">
              <w:r>
                <w:rPr>
                  <w:rFonts w:ascii="Aptos" w:hAnsi="Aptos" w:eastAsia="Aptos"/>
                  <w:color w:val="0072CE"/>
                  <w:sz w:val="14"/>
                  <w:szCs w:val="14"/>
                  <w:u w:val="single"/>
                </w:rPr>
                <w:t>Request Product Walkthrough</w:t>
              </w:r>
            </w:hyperlink>
            <w:r>
              <w:rPr>
                <w:rFonts w:ascii="Aptos" w:hAnsi="Aptos" w:eastAsia="Aptos"/>
                <w:b w:val="0"/>
                <w:i w:val="0"/>
                <w:color w:val="526984"/>
                <w:sz w:val="14"/>
              </w:rPr>
              <w:t xml:space="preserve">  |  </w:t>
            </w:r>
            <w:hyperlink r:id="rId11">
              <w:r>
                <w:rPr>
                  <w:rFonts w:ascii="Aptos" w:hAnsi="Aptos" w:eastAsia="Aptos"/>
                  <w:color w:val="0072CE"/>
                  <w:sz w:val="14"/>
                  <w:szCs w:val="14"/>
                  <w:u w:val="single"/>
                </w:rPr>
                <w:t>Request Architecture &amp; Integration Overview</w:t>
              </w:r>
            </w:hyperlink>
            <w:r>
              <w:rPr>
                <w:rFonts w:ascii="Aptos" w:hAnsi="Aptos" w:eastAsia="Aptos"/>
                <w:b w:val="0"/>
                <w:i w:val="0"/>
                <w:color w:val="526984"/>
                <w:sz w:val="14"/>
              </w:rPr>
              <w:t xml:space="preserve">  |  </w:t>
            </w:r>
            <w:hyperlink r:id="rId11">
              <w:r>
                <w:rPr>
                  <w:rFonts w:ascii="Aptos" w:hAnsi="Aptos" w:eastAsia="Aptos"/>
                  <w:color w:val="0072CE"/>
                  <w:sz w:val="14"/>
                  <w:szCs w:val="14"/>
                  <w:u w:val="single"/>
                </w:rPr>
                <w:t>Request Detailed Solution Brief</w:t>
              </w:r>
            </w:hyperlink>
            <w:r>
              <w:rPr>
                <w:rFonts w:ascii="Aptos" w:hAnsi="Aptos" w:eastAsia="Aptos"/>
                <w:b w:val="0"/>
                <w:i/>
                <w:color w:val="526984"/>
                <w:sz w:val="13"/>
              </w:rPr>
              <w:t xml:space="preserve">  (available on request)</w:t>
            </w:r>
          </w:p>
        </w:tc>
      </w:tr>
    </w:tbl>
    <w:tbl>
      <w:tblPr>
        <w:tblW w:type="dxa" w:w="10439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6611"/>
        <w:gridCol w:w="3829"/>
      </w:tblGrid>
      <w:tr>
        <w:trPr>
          <w:cantSplit/>
        </w:trPr>
        <w:tc>
          <w:tcPr>
            <w:tcW w:type="dxa" w:w="6611"/>
            <w:shd w:fill="152C73"/>
            <w:tcMar>
              <w:top w:w="50" w:type="dxa"/>
              <w:start w:w="70" w:type="dxa"/>
              <w:bottom w:w="48" w:type="dxa"/>
              <w:end w:w="65" w:type="dxa"/>
            </w:tcMar>
            <w:tcBorders>
              <w:top w:val="single" w:sz="10" w:color="1891F6"/>
              <w:bottom w:val="single" w:sz="8" w:color="152C73"/>
              <w:left w:val="single" w:sz="8" w:color="152C73"/>
              <w:right w:val="single" w:sz="3" w:color="FFFFFF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READY TO MODERNISE VISUAL QUALITY INSPECTION?</w:t>
            </w:r>
          </w:p>
          <w:p>
            <w:pPr>
              <w:spacing w:after="0" w:line="228" w:lineRule="auto"/>
            </w:pPr>
            <w:r>
              <w:rPr>
                <w:rFonts w:ascii="Aptos" w:hAnsi="Aptos" w:eastAsia="Aptos"/>
                <w:b w:val="0"/>
                <w:i w:val="0"/>
                <w:color w:val="DDEBFA"/>
                <w:sz w:val="14"/>
              </w:rPr>
              <w:t>Explore a guided walkthrough tailored to your production lines, quality workflows and deployment environment.</w:t>
            </w:r>
          </w:p>
        </w:tc>
        <w:tc>
          <w:tcPr>
            <w:tcW w:type="dxa" w:w="3828"/>
            <w:shd w:fill="1891F6"/>
            <w:tcMar>
              <w:top w:w="38" w:type="dxa"/>
              <w:start w:w="62" w:type="dxa"/>
              <w:bottom w:w="36" w:type="dxa"/>
              <w:end w:w="62" w:type="dxa"/>
            </w:tcMar>
            <w:tcBorders>
              <w:top w:val="single" w:sz="10" w:color="1891F6"/>
              <w:bottom w:val="single" w:sz="8" w:color="1891F6"/>
              <w:left w:val="single" w:sz="3" w:color="FFFFFF"/>
              <w:right w:val="single" w:sz="8" w:color="1891F6"/>
            </w:tcBorders>
            <w:vAlign w:val="center"/>
          </w:tcPr>
          <w:p>
            <w:pPr>
              <w:spacing w:after="30"/>
              <w:jc w:val="center"/>
            </w:pPr>
            <w:hyperlink r:id="rId11">
              <w:r>
                <w:rPr>
                  <w:rFonts w:ascii="Aptos" w:hAnsi="Aptos" w:eastAsia="Aptos"/>
                  <w:color w:val="FFFFFF"/>
                  <w:sz w:val="17"/>
                  <w:szCs w:val="17"/>
                  <w:b/>
                </w:rPr>
                <w:t>REQUEST A GUIDED DEMO  →</w:t>
              </w:r>
            </w:hyperlink>
          </w:p>
          <w:p>
            <w:pPr>
              <w:spacing w:after="0"/>
              <w:jc w:val="center"/>
            </w:pPr>
            <w:hyperlink r:id="rId11">
              <w:r>
                <w:rPr>
                  <w:rFonts w:ascii="Aptos" w:hAnsi="Aptos" w:eastAsia="Aptos"/>
                  <w:color w:val="FFFFFF"/>
                  <w:sz w:val="13"/>
                  <w:szCs w:val="13"/>
                  <w:u w:val="single"/>
                </w:rPr>
                <w:t>Discuss a Pilot Opportunity</w:t>
              </w:r>
            </w:hyperlink>
            <w:r>
              <w:rPr>
                <w:rFonts w:ascii="Aptos" w:hAnsi="Aptos" w:eastAsia="Aptos"/>
                <w:b w:val="0"/>
                <w:i w:val="0"/>
                <w:color w:val="FFFFFF"/>
                <w:sz w:val="13"/>
              </w:rPr>
              <w:t xml:space="preserve">  •  </w:t>
            </w:r>
            <w:hyperlink r:id="rId11">
              <w:r>
                <w:rPr>
                  <w:rFonts w:ascii="Aptos" w:hAnsi="Aptos" w:eastAsia="Aptos"/>
                  <w:color w:val="FFFFFF"/>
                  <w:sz w:val="13"/>
                  <w:szCs w:val="13"/>
                  <w:u w:val="single"/>
                </w:rPr>
                <w:t>Speak with an Expert</w:t>
              </w:r>
            </w:hyperlink>
          </w:p>
        </w:tc>
      </w:tr>
    </w:tbl>
    <w:p>
      <w:pPr>
        <w:spacing w:before="20" w:after="0" w:line="240" w:lineRule="auto"/>
        <w:jc w:val="center"/>
      </w:pPr>
      <w:r>
        <w:rPr>
          <w:rFonts w:ascii="Aptos" w:hAnsi="Aptos" w:eastAsia="Aptos"/>
          <w:b w:val="0"/>
          <w:i/>
          <w:color w:val="526984"/>
          <w:sz w:val="11"/>
        </w:rPr>
        <w:t>Targets and prototype model metrics are illustrative and should be validated for each client environment, product mix and deployment scope.</w:t>
      </w:r>
    </w:p>
    <w:sectPr w:rsidR="00FC693F" w:rsidRPr="0006063C" w:rsidSect="00034616">
      <w:pgSz w:w="11909" w:h="16834"/>
      <w:pgMar w:top="403" w:right="648" w:bottom="389" w:left="648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www.infocepts.ai/contact-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