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A5276"/>
          <w:sz w:val="52"/>
          <w:szCs w:val="52"/>
        </w:rPr>
        <w:t xml:space="preserve">AKB1 BLOOMBERG TERMINAL</w:t>
      </w:r>
    </w:p>
    <w:p>
      <w:pPr>
        <w:spacing w:after="200"/>
        <w:jc w:val="center"/>
      </w:pPr>
      <w:r>
        <w:rPr>
          <w:rFonts w:ascii="Arial" w:cs="Arial" w:eastAsia="Arial" w:hAnsi="Arial"/>
          <w:color w:val="555555"/>
          <w:sz w:val="32"/>
          <w:szCs w:val="32"/>
        </w:rPr>
        <w:t xml:space="preserve">Deployment &amp; Architecture Documentation</w:t>
      </w:r>
    </w:p>
    <w:p>
      <w:pPr>
        <w:spacing w:after="100"/>
        <w:jc w:val="center"/>
      </w:pPr>
      <w:r>
        <w:rPr>
          <w:rFonts w:ascii="Arial" w:cs="Arial" w:eastAsia="Arial" w:hAnsi="Arial"/>
          <w:color w:val="E3B341"/>
          <w:sz w:val="24"/>
          <w:szCs w:val="24"/>
        </w:rPr>
        <w:t xml:space="preserve">Version 2.0</w:t>
      </w:r>
    </w:p>
    <w:p>
      <w:pPr>
        <w:spacing w:before="600"/>
        <w:jc w:val="center"/>
      </w:pPr>
      <w:r>
        <w:rPr>
          <w:rFonts w:ascii="Arial" w:cs="Arial" w:eastAsia="Arial" w:hAnsi="Arial"/>
          <w:color w:val="555555"/>
          <w:sz w:val="24"/>
          <w:szCs w:val="24"/>
        </w:rPr>
        <w:t xml:space="preserve">Prepared for: Adi Kompalli</w:t>
      </w:r>
    </w:p>
    <w:p>
      <w:pPr>
        <w:jc w:val="center"/>
      </w:pPr>
      <w:r>
        <w:rPr>
          <w:rFonts w:ascii="Arial" w:cs="Arial" w:eastAsia="Arial" w:hAnsi="Arial"/>
          <w:color w:val="555555"/>
          <w:sz w:val="22"/>
          <w:szCs w:val="22"/>
        </w:rPr>
        <w:t xml:space="preserve">Date: March 12, 2026</w:t>
      </w:r>
    </w:p>
    <w:p>
      <w:pPr>
        <w:spacing w:before="200"/>
        <w:jc w:val="center"/>
      </w:pPr>
      <w:r>
        <w:rPr>
          <w:rFonts w:ascii="Arial" w:cs="Arial" w:eastAsia="Arial" w:hAnsi="Arial"/>
          <w:color w:val="C0392B"/>
          <w:sz w:val="20"/>
          <w:szCs w:val="20"/>
        </w:rPr>
        <w:t xml:space="preserve">Classification: Internal</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pPr>
      <w:r>
        <w:rPr>
          <w:rFonts w:ascii="Arial" w:cs="Arial" w:eastAsia="Arial" w:hAnsi="Arial"/>
          <w:color w:val="000000"/>
          <w:sz w:val="22"/>
          <w:szCs w:val="22"/>
        </w:rPr>
        <w:t xml:space="preserve">The AKB1 Bloomberg Terminal is a Bloomberg-style command center web application purpose-built for elite program delivery leaders, Release Train Engineers (RTEs), and CTOs. The application provides 11 interactive tool modules, 9 KPI calculators with industry benchmarks, a streaming Claude AI assistant, and a curated prompt engineering toolkit. The platform operates as a single-page application (SPA) built on React 18 and bundled with Vite, delivering a fully client-side experience with a single external dependency on the Anthropic API for the Claude AI chat feature.</w:t>
      </w:r>
    </w:p>
    <w:p>
      <w:pPr>
        <w:spacing w:after="120"/>
      </w:pPr>
      <w:r>
        <w:rPr>
          <w:rFonts w:ascii="Arial" w:cs="Arial" w:eastAsia="Arial" w:hAnsi="Arial"/>
          <w:color w:val="000000"/>
          <w:sz w:val="22"/>
          <w:szCs w:val="22"/>
        </w:rPr>
        <w:t xml:space="preserve">This document covers the complete deployment lifecycle: architecture, tech stack, implementation details, frontend and backend changes, deployment strategy for the Railway platform, and five sample use-case scenarios for each of the twelve modules.</w:t>
      </w:r>
    </w:p>
    <w:p>
      <w:r>
        <w:br w:type="page"/>
      </w:r>
    </w:p>
    <w:p>
      <w:pPr>
        <w:pStyle w:val="Heading1"/>
      </w:pPr>
      <w:r>
        <w:t xml:space="preserve">2. Tech Stack &amp; Tools</w:t>
      </w:r>
    </w:p>
    <w:p>
      <w:pPr>
        <w:pStyle w:val="Heading2"/>
      </w:pPr>
      <w:r>
        <w:t xml:space="preserve">2.1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React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v18.3.1 with JSX runtime — core UI framework</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Vite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Production build tool — generates hashed bundles (index-Bkhseska.js, index-BxnZz2Gu.css)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Framer Motion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Animation library — page transitions, micro-interactions, spring physics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React Query</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Server state management and caching layer for API calls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CSS Custom Properties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Theming system — Bloomberg dark mode + light home mode via CSS variables</w:t>
            </w:r>
          </w:p>
        </w:tc>
      </w:tr>
    </w:tbl>
    <w:p>
      <w:pPr>
        <w:spacing w:after="100"/>
      </w:pPr>
    </w:p>
    <w:p>
      <w:pPr>
        <w:pStyle w:val="Heading2"/>
      </w:pPr>
      <w:r>
        <w:t xml:space="preserve">2.2 State Management</w:t>
      </w:r>
    </w:p>
    <w:p>
      <w:pPr>
        <w:spacing w:after="120"/>
      </w:pPr>
      <w:r>
        <w:rPr>
          <w:rFonts w:ascii="Arial" w:cs="Arial" w:eastAsia="Arial" w:hAnsi="Arial"/>
          <w:color w:val="000000"/>
          <w:sz w:val="22"/>
          <w:szCs w:val="22"/>
        </w:rPr>
        <w:t xml:space="preserve">The application uses React Context (10 createContext instances) and useReducer hooks for state management. There are no external state management libraries (no Redux, Zustand, or Jotai). All state is in-memory and ephemeral — data does not persist between browser sessions. There is no localStorage or sessionStorage usage.</w:t>
      </w:r>
    </w:p>
    <w:p>
      <w:pPr>
        <w:pStyle w:val="Heading2"/>
      </w:pPr>
      <w:r>
        <w:t xml:space="preserve">2.3 External Dependencies</w:t>
      </w:r>
    </w:p>
    <w:p>
      <w:pPr>
        <w:spacing w:after="120"/>
      </w:pPr>
      <w:r>
        <w:rPr>
          <w:rFonts w:ascii="Arial" w:cs="Arial" w:eastAsia="Arial" w:hAnsi="Arial"/>
          <w:color w:val="000000"/>
          <w:sz w:val="22"/>
          <w:szCs w:val="22"/>
        </w:rPr>
        <w:t xml:space="preserve">The only external runtime dependency is the Anthropic API for the Claude AI Chat module. All other modules (KPI Engine, Risk Matrix, Sprint Planner, etc.) are fully self-contained with client-side calculation logic. No database or backend server is required for the core tool modules.</w:t>
      </w:r>
    </w:p>
    <w:p>
      <w:pPr>
        <w:pStyle w:val="Heading2"/>
      </w:pPr>
      <w:r>
        <w:t xml:space="preserve">2.4 Build Output</w:t>
      </w:r>
    </w:p>
    <w:p>
      <w:pPr>
        <w:spacing w:after="120"/>
      </w:pPr>
      <w:r>
        <w:rPr>
          <w:rFonts w:ascii="Arial" w:cs="Arial" w:eastAsia="Arial" w:hAnsi="Arial"/>
          <w:color w:val="000000"/>
          <w:sz w:val="22"/>
          <w:szCs w:val="22"/>
        </w:rPr>
        <w:t xml:space="preserve">The Vite production build generates three files: index.html (1.6 KB entry point), index-Bkhseska.js (~400 KB minified JavaScript bundle), and index-BxnZz2Gu.css (~97 KB minified stylesheet). Total bundle size is approximately 499 KB, well within performance budgets for enterprise applications.</w:t>
      </w:r>
    </w:p>
    <w:p>
      <w:r>
        <w:br w:type="page"/>
      </w:r>
    </w:p>
    <w:p>
      <w:pPr>
        <w:pStyle w:val="Heading1"/>
      </w:pPr>
      <w:r>
        <w:t xml:space="preserve">3. System Architecture</w:t>
      </w:r>
    </w:p>
    <w:p>
      <w:pPr>
        <w:pStyle w:val="Heading2"/>
      </w:pPr>
      <w:r>
        <w:t xml:space="preserve">3.1 High-Level Architecture</w:t>
      </w:r>
    </w:p>
    <w:p>
      <w:pPr>
        <w:spacing w:after="120"/>
      </w:pPr>
      <w:r>
        <w:rPr>
          <w:rFonts w:ascii="Arial" w:cs="Arial" w:eastAsia="Arial" w:hAnsi="Arial"/>
          <w:color w:val="000000"/>
          <w:sz w:val="22"/>
          <w:szCs w:val="22"/>
        </w:rPr>
        <w:t xml:space="preserve">The AKB1 Terminal follows a dual-view single-page application architecture. The React root component renders two primary views: a Home/Landing page (marketing-style hero with feature showcase) and a Terminal mode (Bloomberg-inspired dark dashboard with sidebar navigation). Navigation between views is handled by a Dynamic Island top-bar component with smooth Framer Motion transitions.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Entry</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index.html</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Loads JS/CSS bundles, mounts React root to #root div</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View Router</w:t>
            </w:r>
          </w:p>
        </w:tc>
        <w:tc>
          <w:tcPr>
            <w:tcW w:type="dxa" w:w="3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Root Component</w:t>
            </w:r>
          </w:p>
        </w:tc>
        <w:tc>
          <w:tcPr>
            <w:tcW w:type="dxa" w:w="4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Toggles between Home and Terminal views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Navigation</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Dynamic Island + Sidebar</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Top bar toggles views; sidebar navigates 12 modules</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Modules</w:t>
            </w:r>
          </w:p>
        </w:tc>
        <w:tc>
          <w:tcPr>
            <w:tcW w:type="dxa" w:w="3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12 Tool Panels</w:t>
            </w:r>
          </w:p>
        </w:tc>
        <w:tc>
          <w:tcPr>
            <w:tcW w:type="dxa" w:w="4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Self-contained interactive calculators and tools</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State</w:t>
            </w:r>
          </w:p>
        </w:tc>
        <w:tc>
          <w:tcPr>
            <w:tcW w:type="dxa" w:w="31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React Context (x10)</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In-memory ephemeral state for each module</w:t>
            </w:r>
          </w:p>
        </w:tc>
      </w:tr>
      <w:tr>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External</w:t>
            </w:r>
          </w:p>
        </w:tc>
        <w:tc>
          <w:tcPr>
            <w:tcW w:type="dxa" w:w="31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Anthropic API</w:t>
            </w:r>
          </w:p>
        </w:tc>
        <w:tc>
          <w:tcPr>
            <w:tcW w:type="dxa" w:w="40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Streaming Claude AI responses for chat module</w:t>
            </w:r>
          </w:p>
        </w:tc>
      </w:tr>
    </w:tbl>
    <w:p>
      <w:pPr>
        <w:spacing w:after="100"/>
      </w:pPr>
    </w:p>
    <w:p>
      <w:pPr>
        <w:pStyle w:val="Heading2"/>
      </w:pPr>
      <w:r>
        <w:t xml:space="preserve">3.2 Module Architecture</w:t>
      </w:r>
    </w:p>
    <w:p>
      <w:pPr>
        <w:spacing w:after="120"/>
      </w:pPr>
      <w:r>
        <w:rPr>
          <w:rFonts w:ascii="Arial" w:cs="Arial" w:eastAsia="Arial" w:hAnsi="Arial"/>
          <w:color w:val="000000"/>
          <w:sz w:val="22"/>
          <w:szCs w:val="22"/>
        </w:rPr>
        <w:t xml:space="preserve">The terminal sidebar organises 12 modules into five sections: Overview (Brief), AI (Claude AI, Prompt Lab, Prompt Builder, AI Arsenal), Analytics (KPI Engine, Decision Matrix, Risk Matrix), Delivery (Sprint Planner, Estimation), and Commercial (Pricing Calculator, Status Report). Each module is a self-contained React component with its own state, input forms, calculation logic, and result display. Modules communicate only through shared Context providers when necessary.</w:t>
      </w:r>
    </w:p>
    <w:p>
      <w:pPr>
        <w:pStyle w:val="Heading2"/>
      </w:pPr>
      <w:r>
        <w:t xml:space="preserve">3.3 Architecture Diagram</w:t>
      </w:r>
    </w:p>
    <w:p>
      <w:pPr>
        <w:spacing w:after="120"/>
      </w:pPr>
      <w:r>
        <w:rPr>
          <w:rFonts w:ascii="Arial" w:cs="Arial" w:eastAsia="Arial" w:hAnsi="Arial"/>
          <w:color w:val="000000"/>
          <w:sz w:val="22"/>
          <w:szCs w:val="22"/>
        </w:rPr>
        <w:t xml:space="preserve">A Mermaid-format architecture diagram is provided as a separate .mermaid file alongside this document. The diagram illustrates the complete component hierarchy from entry point through view routing, navigation, and all 12 tool modules, including the external Anthropic API connection for the Claude AI module.</w:t>
      </w:r>
    </w:p>
    <w:p>
      <w:r>
        <w:br w:type="page"/>
      </w:r>
    </w:p>
    <w:p>
      <w:pPr>
        <w:pStyle w:val="Heading1"/>
      </w:pPr>
      <w:r>
        <w:t xml:space="preserve">4. Frontend Changes &amp; Implementation Details</w:t>
      </w:r>
    </w:p>
    <w:p>
      <w:pPr>
        <w:pStyle w:val="Heading2"/>
      </w:pPr>
      <w:r>
        <w:t xml:space="preserve">4.1 Dual-View System</w:t>
      </w:r>
    </w:p>
    <w:p>
      <w:pPr>
        <w:spacing w:after="120"/>
      </w:pPr>
      <w:r>
        <w:rPr>
          <w:rFonts w:ascii="Arial" w:cs="Arial" w:eastAsia="Arial" w:hAnsi="Arial"/>
          <w:color w:val="000000"/>
          <w:sz w:val="22"/>
          <w:szCs w:val="22"/>
        </w:rPr>
        <w:t xml:space="preserve">The application implements a dual-view architecture: a Home landing page and a Terminal mode. The Home page features an ambient animated background, a hero section with badge, title, and feature cards showcasing the 11 tool modules. It includes a statistics bar (11 Tool Modules, 9 KPI Engines, AI Claude Powered, v2 Bloomberg Mode) and a scrolling module ticker. The Terminal mode provides the full Bloomberg-style dark interface with sidebar navigation and module panels.</w:t>
      </w:r>
    </w:p>
    <w:p>
      <w:pPr>
        <w:pStyle w:val="Heading2"/>
      </w:pPr>
      <w:r>
        <w:t xml:space="preserve">4.2 Dynamic Island Navigation</w:t>
      </w:r>
    </w:p>
    <w:p>
      <w:pPr>
        <w:spacing w:after="120"/>
      </w:pPr>
      <w:r>
        <w:rPr>
          <w:rFonts w:ascii="Arial" w:cs="Arial" w:eastAsia="Arial" w:hAnsi="Arial"/>
          <w:color w:val="000000"/>
          <w:sz w:val="22"/>
          <w:szCs w:val="22"/>
        </w:rPr>
        <w:t xml:space="preserve">A Dynamic Island component (inspired by Apple’s iOS design pattern) sits at the top of both views. It provides one-click toggle between Home and Terminal modes, a command palette trigger (⌘K), and a Claude AI toggle button with a purple glow indicator. The island adapts its styling between light (Home) and dark (Terminal) themes.</w:t>
      </w:r>
    </w:p>
    <w:p>
      <w:pPr>
        <w:pStyle w:val="Heading2"/>
      </w:pPr>
      <w:r>
        <w:t xml:space="preserve">4.3 KPI Engine (9 Calculators)</w:t>
      </w:r>
    </w:p>
    <w:p>
      <w:pPr>
        <w:spacing w:after="120"/>
      </w:pPr>
      <w:r>
        <w:rPr>
          <w:rFonts w:ascii="Arial" w:cs="Arial" w:eastAsia="Arial" w:hAnsi="Arial"/>
          <w:color w:val="000000"/>
          <w:sz w:val="22"/>
          <w:szCs w:val="22"/>
        </w:rPr>
        <w:t xml:space="preserve">The KPI Engine provides nine interactive calculators organised into four groups: Core Delivery (Utilization Rate, Delivery Margin, Sprint Velocity Index, Cost Performance Index, SLA Compliance Rate), Earned Value (Schedule Performance Index), Quality (Change Failure Rate / DORA metrics), Team Health (Team Attrition Rate), and Agile Flow (PI Predictability). Each calculator includes the formula, input fields with placeholder guidance, industry benchmarks (green/gold/red thresholds), two worked examples, and a real-time calculation engine that returns the result, unit, traffic-light status, and interpretive note.</w:t>
      </w:r>
    </w:p>
    <w:p>
      <w:pPr>
        <w:pStyle w:val="Heading2"/>
      </w:pPr>
      <w:r>
        <w:t xml:space="preserve">4.4 Prompt Lab</w:t>
      </w:r>
    </w:p>
    <w:p>
      <w:pPr>
        <w:spacing w:after="120"/>
      </w:pPr>
      <w:r>
        <w:rPr>
          <w:rFonts w:ascii="Arial" w:cs="Arial" w:eastAsia="Arial" w:hAnsi="Arial"/>
          <w:color w:val="000000"/>
          <w:sz w:val="22"/>
          <w:szCs w:val="22"/>
        </w:rPr>
        <w:t xml:space="preserve">The Prompt Lab features nine prompt engineering cheat codes: Role Assignment, Chain-of-Thought, Output Constraint, Negative Constraints, Decomposition, Adversarial, Metacognitive, Scope Bounding, and JSON Anchoring. Each pattern includes a description and a copy-paste-ready example. The live Prompt Analyzer scores any prompt across eight dimensions: Role Specified, Format Defined, Chain-of-Thought, Constraints Set, KPIs/Metrics, Context Completeness, Output Goal Clear, and Examples Requested. It returns a percentage score, a quality tier (Expert/Good/Basic/Weak), and specific improvement suggestions.</w:t>
      </w:r>
    </w:p>
    <w:p>
      <w:pPr>
        <w:pStyle w:val="Heading2"/>
      </w:pPr>
      <w:r>
        <w:t xml:space="preserve">4.5 Claude AI Chat</w:t>
      </w:r>
    </w:p>
    <w:p>
      <w:pPr>
        <w:spacing w:after="120"/>
      </w:pPr>
      <w:r>
        <w:rPr>
          <w:rFonts w:ascii="Arial" w:cs="Arial" w:eastAsia="Arial" w:hAnsi="Arial"/>
          <w:color w:val="000000"/>
          <w:sz w:val="22"/>
          <w:szCs w:val="22"/>
        </w:rPr>
        <w:t xml:space="preserve">The Claude AI module integrates with the Anthropic API to provide a streaming chat assistant calibrated with the AKB1 system prompt. It features real-time streaming with a typing indicator, markdown rendering for AI responses, and keyboard shortcuts (Enter to send, Shift+Enter for newline). The chat is contextualised for enterprise delivery operations including KPI analysis, pricing strategy, AI transformation, and sprint planning.</w:t>
      </w:r>
    </w:p>
    <w:p>
      <w:pPr>
        <w:pStyle w:val="Heading2"/>
      </w:pPr>
      <w:r>
        <w:t xml:space="preserve">4.6 Decision Matrix</w:t>
      </w:r>
    </w:p>
    <w:p>
      <w:pPr>
        <w:spacing w:after="120"/>
      </w:pPr>
      <w:r>
        <w:rPr>
          <w:rFonts w:ascii="Arial" w:cs="Arial" w:eastAsia="Arial" w:hAnsi="Arial"/>
          <w:color w:val="000000"/>
          <w:sz w:val="22"/>
          <w:szCs w:val="22"/>
        </w:rPr>
        <w:t xml:space="preserve">The Decision Matrix generates a three-option strategic framework: Conservative (proven low-risk approach, 6–12 weeks), Balanced (hybrid build + adopt, 3–6 months), and Strategic (full custom platform build, 12–18+ months). Each option includes risk level, complexity badges, and a detailed rationale. The tool also provides an AKB1 Recommended option (typically Option 2 — Hybrid) with margin uplift projections. Users can tag decisions with context labels including Budget, Timeline, Enterprise, AI/Tech, Team, Margin, Risk, and Cloud.</w:t>
      </w:r>
    </w:p>
    <w:p>
      <w:pPr>
        <w:pStyle w:val="Heading2"/>
      </w:pPr>
      <w:r>
        <w:t xml:space="preserve">4.7 Risk Matrix</w:t>
      </w:r>
    </w:p>
    <w:p>
      <w:pPr>
        <w:spacing w:after="120"/>
      </w:pPr>
      <w:r>
        <w:rPr>
          <w:rFonts w:ascii="Arial" w:cs="Arial" w:eastAsia="Arial" w:hAnsi="Arial"/>
          <w:color w:val="000000"/>
          <w:sz w:val="22"/>
          <w:szCs w:val="22"/>
        </w:rPr>
        <w:t xml:space="preserve">The Risk Matrix provides a 5×5 probability-impact heat map with a live risk register. Users can add risks with severity and probability ratings, track client risk, vendor risk, and scope risks, and export the register. Risk levels follow a colour-coded system from green (low) through amber (medium) to red (critical).</w:t>
      </w:r>
    </w:p>
    <w:p>
      <w:pPr>
        <w:pStyle w:val="Heading2"/>
      </w:pPr>
      <w:r>
        <w:t xml:space="preserve">4.8 Sprint Planner</w:t>
      </w:r>
    </w:p>
    <w:p>
      <w:pPr>
        <w:spacing w:after="120"/>
      </w:pPr>
      <w:r>
        <w:rPr>
          <w:rFonts w:ascii="Arial" w:cs="Arial" w:eastAsia="Arial" w:hAnsi="Arial"/>
          <w:color w:val="000000"/>
          <w:sz w:val="22"/>
          <w:szCs w:val="22"/>
        </w:rPr>
        <w:t xml:space="preserve">The Sprint Planner is a SAFe-aligned PI (Program Increment) capacity calculator. It accepts team parameters including committed and completed story points, PI points planned/delivered, sprints per PI, and working days. The tool calculates sprint velocity, PI predictability against the SAFe 80% threshold, and provides three velocity projections: Conservative (current × 0.8), As-Is (current velocity), and Optimistic (current × 1.1). It includes an innovation buffer allocation.</w:t>
      </w:r>
    </w:p>
    <w:p>
      <w:pPr>
        <w:pStyle w:val="Heading2"/>
      </w:pPr>
      <w:r>
        <w:t xml:space="preserve">4.9 Estimation Module</w:t>
      </w:r>
    </w:p>
    <w:p>
      <w:pPr>
        <w:spacing w:after="120"/>
      </w:pPr>
      <w:r>
        <w:rPr>
          <w:rFonts w:ascii="Arial" w:cs="Arial" w:eastAsia="Arial" w:hAnsi="Arial"/>
          <w:color w:val="000000"/>
          <w:sz w:val="22"/>
          <w:szCs w:val="22"/>
        </w:rPr>
        <w:t xml:space="preserve">The Estimation module offers three calculation modes: PERT 3-Point Estimator (formula: E = (O + 4M + P) / 6, with standard deviation calculation), T-Shirt Sizing (mapping S/M/L/XL to effort ranges), and Delivery Forecast calculator. Each mode provides worked examples and automatic conversion between days, weeks, and calendar time.</w:t>
      </w:r>
    </w:p>
    <w:p>
      <w:pPr>
        <w:pStyle w:val="Heading2"/>
      </w:pPr>
      <w:r>
        <w:t xml:space="preserve">4.10 Pricing Calculator</w:t>
      </w:r>
    </w:p>
    <w:p>
      <w:pPr>
        <w:spacing w:after="120"/>
      </w:pPr>
      <w:r>
        <w:rPr>
          <w:rFonts w:ascii="Arial" w:cs="Arial" w:eastAsia="Arial" w:hAnsi="Arial"/>
          <w:color w:val="000000"/>
          <w:sz w:val="22"/>
          <w:szCs w:val="22"/>
        </w:rPr>
        <w:t xml:space="preserve">The Pricing Calculator handles bill rate derivation, Time &amp; Materials versus Fixed Price comparison, and full team cost modelling. It accepts inputs for total headcount, average headcount, billable hours, bill rate, day rate, target margin, total loaded cost, and team cost. The module generates revenue per FTE, required revenue targets, and margin analysis with scenario comparison capabilities.</w:t>
      </w:r>
    </w:p>
    <w:p>
      <w:pPr>
        <w:pStyle w:val="Heading2"/>
      </w:pPr>
      <w:r>
        <w:t xml:space="preserve">4.11 Other Modules</w:t>
      </w:r>
    </w:p>
    <w:p>
      <w:pPr>
        <w:spacing w:after="120"/>
      </w:pPr>
      <w:r>
        <w:rPr>
          <w:rFonts w:ascii="Arial" w:cs="Arial" w:eastAsia="Arial" w:hAnsi="Arial"/>
          <w:color w:val="000000"/>
          <w:sz w:val="22"/>
          <w:szCs w:val="22"/>
        </w:rPr>
        <w:t xml:space="preserve">The Prompt Builder provides a step-by-step assembler for constructing enterprise prompts from role definition through task specification, constraints, and output format. The AI Arsenal offers model comparison and routing guidance across LLM providers. The Status Report module generates structured RAG (Red-Amber-Green) status reports with period accomplishments, organised by reporting period. The Brief module serves as the command overview and quick-launch dashboard.</w:t>
      </w:r>
    </w:p>
    <w:p>
      <w:r>
        <w:br w:type="page"/>
      </w:r>
    </w:p>
    <w:p>
      <w:pPr>
        <w:pStyle w:val="Heading1"/>
      </w:pPr>
      <w:r>
        <w:t xml:space="preserve">5. Deployment Strategy — Railway Platform</w:t>
      </w:r>
    </w:p>
    <w:p>
      <w:pPr>
        <w:pStyle w:val="Heading2"/>
      </w:pPr>
      <w:r>
        <w:t xml:space="preserve">5.1 Railway Platform Overview</w:t>
      </w:r>
    </w:p>
    <w:p>
      <w:pPr>
        <w:spacing w:after="120"/>
      </w:pPr>
      <w:r>
        <w:rPr>
          <w:rFonts w:ascii="Arial" w:cs="Arial" w:eastAsia="Arial" w:hAnsi="Arial"/>
          <w:color w:val="000000"/>
          <w:sz w:val="22"/>
          <w:szCs w:val="22"/>
        </w:rPr>
        <w:t xml:space="preserve">Railway is a modern cloud deployment platform that supports static site hosting, Docker containers, and full-stack applications with automatic deployments from Git repositories. For the AKB1 Terminal, Railway provides HTTPS by default, custom domain support, environment variable management (for the Anthropic API key), and zero-downtime deployments.</w:t>
      </w:r>
    </w:p>
    <w:p>
      <w:pPr>
        <w:pStyle w:val="Heading2"/>
      </w:pPr>
      <w:r>
        <w:t xml:space="preserve">5.2 Deployment Architecture</w:t>
      </w:r>
    </w:p>
    <w:p>
      <w:pPr>
        <w:spacing w:after="120"/>
      </w:pPr>
      <w:r>
        <w:rPr>
          <w:rFonts w:ascii="Arial" w:cs="Arial" w:eastAsia="Arial" w:hAnsi="Arial"/>
          <w:color w:val="000000"/>
          <w:sz w:val="22"/>
          <w:szCs w:val="22"/>
        </w:rPr>
        <w:t xml:space="preserve">The recommended deployment approach uses a lightweight static file server. Since the AKB1 Terminal is a client-side SPA with one external API dependency (Anthropic), the deployment consists of: (1) a static file server (Node.js with Express or Nginx) to serve index.html, the JS bundle, and the CSS bundle, (2) environment variable configuration for the Anthropic API key (VITE_ANTHROPIC_API_KEY), and (3) SPA fallback routing so that all paths serve index.html. An alternative is to use a Vite-compatible reverse proxy to inject the API key server-side, keeping it out of the client bundle entirely.</w:t>
      </w:r>
    </w:p>
    <w:p>
      <w:pPr>
        <w:pStyle w:val="Heading2"/>
      </w:pPr>
      <w:r>
        <w:t xml:space="preserve">5.3 Step-by-Step Deployment Plan</w:t>
      </w:r>
    </w:p>
    <w:p>
      <w:pPr>
        <w:pStyle w:val="Heading3"/>
      </w:pPr>
      <w:r>
        <w:t xml:space="preserve">Step 1: Prepare the Repository</w:t>
      </w:r>
    </w:p>
    <w:p>
      <w:pPr>
        <w:spacing w:after="120"/>
      </w:pPr>
      <w:r>
        <w:rPr>
          <w:rFonts w:ascii="Arial" w:cs="Arial" w:eastAsia="Arial" w:hAnsi="Arial"/>
          <w:color w:val="000000"/>
          <w:sz w:val="22"/>
          <w:szCs w:val="22"/>
        </w:rPr>
        <w:t xml:space="preserve">Push the application files to a GitHub repository. The repo should contain: index.html at the root, an assets/ directory with the JS and CSS bundles, a package.json with a start script (e.g., “serve -s . -l 3000” or an Express server), and a Dockerfile (optional but recommended for Railway). If using the “serve” package, add it as a dependency: npm install serve.</w:t>
      </w:r>
    </w:p>
    <w:p>
      <w:pPr>
        <w:pStyle w:val="Heading3"/>
      </w:pPr>
      <w:r>
        <w:t xml:space="preserve">Step 2: Create a Railway Project</w:t>
      </w:r>
    </w:p>
    <w:p>
      <w:pPr>
        <w:spacing w:after="120"/>
      </w:pPr>
      <w:r>
        <w:rPr>
          <w:rFonts w:ascii="Arial" w:cs="Arial" w:eastAsia="Arial" w:hAnsi="Arial"/>
          <w:color w:val="000000"/>
          <w:sz w:val="22"/>
          <w:szCs w:val="22"/>
        </w:rPr>
        <w:t xml:space="preserve">Sign in to Railway (railway.app), create a new project, and connect the GitHub repository. Railway will auto-detect the project type. If using a Dockerfile, Railway will build from that. If using package.json, Railway will run npm install followed by the start script.</w:t>
      </w:r>
    </w:p>
    <w:p>
      <w:pPr>
        <w:pStyle w:val="Heading3"/>
      </w:pPr>
      <w:r>
        <w:t xml:space="preserve">Step 3: Configure Environment Variables</w:t>
      </w:r>
    </w:p>
    <w:p>
      <w:pPr>
        <w:spacing w:after="120"/>
      </w:pPr>
      <w:r>
        <w:rPr>
          <w:rFonts w:ascii="Arial" w:cs="Arial" w:eastAsia="Arial" w:hAnsi="Arial"/>
          <w:color w:val="000000"/>
          <w:sz w:val="22"/>
          <w:szCs w:val="22"/>
        </w:rPr>
        <w:t xml:space="preserve">In the Railway project settings, add the required environment variable: VITE_ANTHROPIC_API_KEY (your Anthropic API key for the Claude AI chat feature). If a server-side proxy is used instead, add ANTHROPIC_API_KEY and configure the proxy to forward requests to api.anthropic.com. Also set PORT=3000 (Railway injects this automatically but explicit is safer).</w:t>
      </w:r>
    </w:p>
    <w:p>
      <w:pPr>
        <w:pStyle w:val="Heading3"/>
      </w:pPr>
      <w:r>
        <w:t xml:space="preserve">Step 4: Configure Networking</w:t>
      </w:r>
    </w:p>
    <w:p>
      <w:pPr>
        <w:spacing w:after="120"/>
      </w:pPr>
      <w:r>
        <w:rPr>
          <w:rFonts w:ascii="Arial" w:cs="Arial" w:eastAsia="Arial" w:hAnsi="Arial"/>
          <w:color w:val="000000"/>
          <w:sz w:val="22"/>
          <w:szCs w:val="22"/>
        </w:rPr>
        <w:t xml:space="preserve">In Railway’s service settings, generate a public domain (e.g., akb1-terminal.up.railway.app) or attach a custom domain. Ensure HTTPS is enabled (Railway provides this by default). Configure the health check endpoint if using a custom server.</w:t>
      </w:r>
    </w:p>
    <w:p>
      <w:pPr>
        <w:pStyle w:val="Heading3"/>
      </w:pPr>
      <w:r>
        <w:t xml:space="preserve">Step 5: Deploy and Test</w:t>
      </w:r>
    </w:p>
    <w:p>
      <w:pPr>
        <w:spacing w:after="120"/>
      </w:pPr>
      <w:r>
        <w:rPr>
          <w:rFonts w:ascii="Arial" w:cs="Arial" w:eastAsia="Arial" w:hAnsi="Arial"/>
          <w:color w:val="000000"/>
          <w:sz w:val="22"/>
          <w:szCs w:val="22"/>
        </w:rPr>
        <w:t xml:space="preserve">Trigger the first deployment by pushing to the connected branch (typically main). Railway will build and deploy automatically. Verify: the Home landing page loads, the Terminal mode renders all 12 modules, the Claude AI chat connects and streams responses, all KPI calculators return correct results, and the Dynamic Island navigation works between views.</w:t>
      </w:r>
    </w:p>
    <w:p>
      <w:pPr>
        <w:pStyle w:val="Heading3"/>
      </w:pPr>
      <w:r>
        <w:t xml:space="preserve">Step 6: Post-Deployment Verification</w:t>
      </w:r>
    </w:p>
    <w:p>
      <w:pPr>
        <w:spacing w:after="120"/>
      </w:pPr>
      <w:r>
        <w:rPr>
          <w:rFonts w:ascii="Arial" w:cs="Arial" w:eastAsia="Arial" w:hAnsi="Arial"/>
          <w:color w:val="000000"/>
          <w:sz w:val="22"/>
          <w:szCs w:val="22"/>
        </w:rPr>
        <w:t xml:space="preserve">Perform a full smoke test across all 12 modules. Verify KPI calculations match the expected benchmark examples documented in Section 7. Confirm the Claude AI streaming works without CORS errors. Check mobile responsiveness (the app uses viewport meta with maximum-scale=1.0). Verify that the Command Palette (⌘K) opens correctly.</w:t>
      </w:r>
    </w:p>
    <w:p>
      <w:pPr>
        <w:spacing w:after="100"/>
      </w:pPr>
    </w:p>
    <w:p>
      <w:pPr>
        <w:pStyle w:val="Heading2"/>
      </w:pPr>
      <w:r>
        <w:t xml:space="preserve">5.4 Dockerfile (Recommended)</w:t>
      </w:r>
    </w:p>
    <w:p>
      <w:pPr>
        <w:spacing w:after="120"/>
      </w:pPr>
      <w:r>
        <w:rPr>
          <w:rFonts w:ascii="Arial" w:cs="Arial" w:eastAsia="Arial" w:hAnsi="Arial"/>
          <w:color w:val="000000"/>
          <w:sz w:val="22"/>
          <w:szCs w:val="22"/>
        </w:rPr>
        <w:t xml:space="preserve">A minimal Dockerfile for Railway deployment using the “serve” package: FROM node:20-alpine → WORKDIR /app → COPY . . → RUN npm install -g serve → EXPOSE 3000 → CMD ["serve", "-s", ".", "-l", "3000"]. This serves the static files with SPA fallback routing built in.</w:t>
      </w:r>
    </w:p>
    <w:p>
      <w:pPr>
        <w:pStyle w:val="Heading2"/>
      </w:pPr>
      <w:r>
        <w:t xml:space="preserve">5.5 CI/CD Pipeline</w:t>
      </w:r>
    </w:p>
    <w:p>
      <w:pPr>
        <w:spacing w:after="120"/>
      </w:pPr>
      <w:r>
        <w:rPr>
          <w:rFonts w:ascii="Arial" w:cs="Arial" w:eastAsia="Arial" w:hAnsi="Arial"/>
          <w:color w:val="000000"/>
          <w:sz w:val="22"/>
          <w:szCs w:val="22"/>
        </w:rPr>
        <w:t xml:space="preserve">Railway provides automatic deployments on every push to the connected Git branch. For a production workflow: use a “main” branch for production deployments, a “staging” branch connected to a separate Railway environment for pre-production testing, and protect the main branch with required pull request reviews. Railway supports preview deployments for pull requests if enabled in project settings.</w:t>
      </w:r>
    </w:p>
    <w:p>
      <w:r>
        <w:br w:type="page"/>
      </w:r>
    </w:p>
    <w:p>
      <w:pPr>
        <w:pStyle w:val="Heading1"/>
      </w:pPr>
      <w:r>
        <w:t xml:space="preserve">6. Backend Considerations</w:t>
      </w:r>
    </w:p>
    <w:p>
      <w:pPr>
        <w:pStyle w:val="Heading2"/>
      </w:pPr>
      <w:r>
        <w:t xml:space="preserve">6.1 Current State</w:t>
      </w:r>
    </w:p>
    <w:p>
      <w:pPr>
        <w:spacing w:after="120"/>
      </w:pPr>
      <w:r>
        <w:rPr>
          <w:rFonts w:ascii="Arial" w:cs="Arial" w:eastAsia="Arial" w:hAnsi="Arial"/>
          <w:color w:val="000000"/>
          <w:sz w:val="22"/>
          <w:szCs w:val="22"/>
        </w:rPr>
        <w:t xml:space="preserve">The application currently operates as a fully client-side SPA with no backend server. The only external dependency is the Anthropic API, called directly from the browser. This means the Anthropic API key is embedded in the client-side bundle, which is acceptable for internal/demo use but not recommended for production.</w:t>
      </w:r>
    </w:p>
    <w:p>
      <w:pPr>
        <w:pStyle w:val="Heading2"/>
      </w:pPr>
      <w:r>
        <w:t xml:space="preserve">6.2 Recommended Backend Addition</w:t>
      </w:r>
    </w:p>
    <w:p>
      <w:pPr>
        <w:spacing w:after="120"/>
      </w:pPr>
      <w:r>
        <w:rPr>
          <w:rFonts w:ascii="Arial" w:cs="Arial" w:eastAsia="Arial" w:hAnsi="Arial"/>
          <w:color w:val="000000"/>
          <w:sz w:val="22"/>
          <w:szCs w:val="22"/>
        </w:rPr>
        <w:t xml:space="preserve">For production deployment, a lightweight backend proxy is recommended to: (a) keep the Anthropic API key server-side (not exposed in the browser), (b) add rate limiting to prevent API abuse, (c) optionally log usage analytics, and (d) serve the static frontend files. A minimal Express.js server (approximately 30 lines) with a /api/chat endpoint that proxies requests to the Anthropic API would suffice. This server would run on Railway as the primary service.</w:t>
      </w:r>
    </w:p>
    <w:p>
      <w:pPr>
        <w:pStyle w:val="Heading2"/>
      </w:pPr>
      <w:r>
        <w:t xml:space="preserve">6.3 Data Persistence (Future)</w:t>
      </w:r>
    </w:p>
    <w:p>
      <w:pPr>
        <w:spacing w:after="120"/>
      </w:pPr>
      <w:r>
        <w:rPr>
          <w:rFonts w:ascii="Arial" w:cs="Arial" w:eastAsia="Arial" w:hAnsi="Arial"/>
          <w:color w:val="000000"/>
          <w:sz w:val="22"/>
          <w:szCs w:val="22"/>
        </w:rPr>
        <w:t xml:space="preserve">Currently all module state is ephemeral (in-memory React state). If data persistence is needed in the future (e.g., saving KPI history, risk registers, or status reports), options include: Railway’s built-in PostgreSQL or Redis add-ons, a lightweight SQLite file stored on Railway’s persistent volume, or a cloud database like Supabase or PlanetScale.</w:t>
      </w:r>
    </w:p>
    <w:p>
      <w:r>
        <w:br w:type="page"/>
      </w:r>
    </w:p>
    <w:p>
      <w:pPr>
        <w:pStyle w:val="Heading1"/>
      </w:pPr>
      <w:r>
        <w:t xml:space="preserve">7. Sample Scenarios &amp; Use Cases</w:t>
      </w:r>
    </w:p>
    <w:p>
      <w:pPr>
        <w:spacing w:after="120"/>
      </w:pPr>
      <w:r>
        <w:rPr>
          <w:rFonts w:ascii="Arial" w:cs="Arial" w:eastAsia="Arial" w:hAnsi="Arial"/>
          <w:color w:val="000000"/>
          <w:sz w:val="22"/>
          <w:szCs w:val="22"/>
        </w:rPr>
        <w:t xml:space="preserve">This section provides five sample scenarios for each of the twelve modules, demonstrating practical use cases and expected outcomes.</w:t>
      </w:r>
    </w:p>
    <w:p>
      <w:pPr>
        <w:spacing w:after="100"/>
      </w:pPr>
    </w:p>
    <w:p>
      <w:pPr>
        <w:pStyle w:val="Heading2"/>
      </w:pPr>
      <w:r>
        <w:t xml:space="preserve">7.1 Brief (Command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Morning Stand-up Prep</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Open Brief at 8:45 AM to see all available modules. Click directly into KPI Engine to check yesterday’s utilization numbers before the 9 AM stand-up.</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Client Demo Walkthrough</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Use Brief as the starting point for a live client demo. Walk through each module card to explain the platform’s capabilities before diving into specific tools.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New Team Member Onboarding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Share the Brief view with a new RTE joining the team. The quick-launch cards provide a self-guided tour of all 11 tool modules with descriptions.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Executive Steering Committee</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Open Brief to quickly navigate between KPI Engine (show utilization), Risk Matrix (show heat map), and Status Report (show RAG) during a live executive review.</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Sprint Retrospective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 Brief to rapidly switch between Sprint Planner (velocity data), KPI Engine (CPI/SPI), and Estimation (forecast accuracy) to review sprint performance.</w:t>
            </w:r>
          </w:p>
        </w:tc>
      </w:tr>
    </w:tbl>
    <w:p>
      <w:pPr>
        <w:spacing w:after="100"/>
      </w:pPr>
    </w:p>
    <w:p>
      <w:pPr>
        <w:pStyle w:val="Heading2"/>
      </w:pPr>
      <w:r>
        <w:t xml:space="preserve">7.2 Claude AI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Escalation Draft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Type: “Draft a client escalation email for a 3-week schedule slip on the data migration workstream. Root cause: vendor API delays.” Claude generates a structured escalation with root cause, impact, and mitigation plan.</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PI Planning Readout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Ask: “Create a PI Planning readout template for a 5-team ART with 4 sprints per PI.” Claude returns a structured template with capacity tables, objectives, and risk callouts.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Margin Analysis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“Our project has $2M revenue, $1.6M cost, and 12% attrition. What’s our real margin and what should we do?” Claude calculates 20% margin and suggests specific levers to reach 28%.</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RFP Response Section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Ask: “Write the ‘Delivery Methodology’ section for an RFP response. We use SAFe with 2-week sprints, 5 teams, and quarterly PIs.” Claude generates a professional RFP section.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Risk Mitigation Strategy</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“Our key architect is leaving in 30 days and owns all the ML pipeline code. What’s the knowledge transfer plan?” Claude provides a structured 30-day KT plan with milestones.</w:t>
            </w:r>
          </w:p>
        </w:tc>
      </w:tr>
    </w:tbl>
    <w:p>
      <w:pPr>
        <w:spacing w:after="100"/>
      </w:pPr>
    </w:p>
    <w:p>
      <w:pPr>
        <w:pStyle w:val="Heading2"/>
      </w:pPr>
      <w:r>
        <w:t xml:space="preserve">7.3 Prompt Lab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Weak Prompt Diagnosis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Paste “Tell me about project risks” into the analyzer. Score: ~25% (Weak). Gaps flagged: no role, no format, no constraints. Follow the suggestions to rebuild the prompt to 85%+.</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Chain-of-Thought Application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Click the Chain-of-Thought cheat code to copy the pattern. Paste it into your prompt: “Think step by step. First analyse architecture, then business impact, then top 3 risks.” Re-analyze to see score jump.</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JSON Output Anchoring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 the JSON Anchoring cheat code for an agentic pipeline. Copy the structured output template and customise the keys for your KPI dashboard API endpoint.</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Adversarial Pre-Mortem</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Apply the Adversarial pattern before a PI launch: “What are the 5 most likely ways this PI plan fails? For each: root cause, early warning signal, and mitigation.”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Prompt Benchmarking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Paste your team’s standard status report prompt into the analyzer. Compare scores across team members’ prompts to standardise on the highest-scoring pattern.</w:t>
            </w:r>
          </w:p>
        </w:tc>
      </w:tr>
    </w:tbl>
    <w:p>
      <w:pPr>
        <w:spacing w:after="100"/>
      </w:pPr>
    </w:p>
    <w:p>
      <w:pPr>
        <w:pStyle w:val="Heading2"/>
      </w:pPr>
      <w:r>
        <w:t xml:space="preserve">7.4 Prompt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CTO Review Prompt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Build step-by-step: Role = CTO of $500M firm, Task = review platform migration, Constraints = focus on margin impact, Format = table with risk/impact/mitigation columns. Output: a complete, high-scoring prompt.</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Vendor Evaluation Prompt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Assemble: Role = Enterprise Architect, Task = evaluate 3 cloud vendors, Output = weighted scoring matrix with cost/performance/security dimensions.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Sprint Retro Facilitator</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Build: Role = Agile Coach, Task = facilitate retrospective for a team with declining velocity, Constraints = max 500 words, Format = structured action items.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Data Migration Planner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Assemble: Role = Data Engineer, Task = plan migration from on-prem Oracle to Snowflake, Context = 50TB, 200 tables, 6-month timeline. Output: phased migration plan.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Incident Post-Mortem</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Build: Role = SRE Lead, Task = write blameless post-mortem, Context = 4-hour P1 outage caused by config change, Format = timeline + root cause + 5 Whys + action items.</w:t>
            </w:r>
          </w:p>
        </w:tc>
      </w:tr>
    </w:tbl>
    <w:p>
      <w:pPr>
        <w:spacing w:after="100"/>
      </w:pPr>
    </w:p>
    <w:p>
      <w:pPr>
        <w:pStyle w:val="Heading2"/>
      </w:pPr>
      <w:r>
        <w:t xml:space="preserve">7.5 AI Arsenal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LLM Selection for RFP</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Review model comparison to select the right LLM for a client’s document processing use case. Compare cost, speed, and accuracy across providers to justify the recommendation in the proposal.</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AI Transformation Roadmap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Use the AI strategy frameworks to build a business case for enterprise AI adoption. Reference the typical 3–5% margin uplift through automation-driven cost efficiency projection.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Multi-Model Routing Design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Design an agentic pipeline using the routing guidance: fast/cheap model for classification, premium model for complex analysis, and a validation model for quality checks.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Cost Optimisation Review</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Analyse current LLM spend across the programme. Use the arsenal’s cost data to identify where cheaper models can handle routine tasks without quality loss.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Client AI Capability Pitch</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Prepare for a client pitch on AI capabilities. Use the arsenal’s framework cards to structure the presentation: current state assessment, opportunity mapping, and implementation approach.</w:t>
            </w:r>
          </w:p>
        </w:tc>
      </w:tr>
    </w:tbl>
    <w:p>
      <w:pPr>
        <w:spacing w:after="100"/>
      </w:pPr>
    </w:p>
    <w:p>
      <w:r>
        <w:br w:type="page"/>
      </w:r>
    </w:p>
    <w:p>
      <w:pPr>
        <w:pStyle w:val="Heading2"/>
      </w:pPr>
      <w:r>
        <w:t xml:space="preserve">7.6 KPI Engine (9 Calculators)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Utilization Rate Check</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1,200 billable hours / 1,600 available hours. Result: 75% (Gold/Warning). Note: 40 hours below 80% target per person per quarter. Action: review non-billable allocations.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Delivery Margin Alert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Input: $1M revenue, $720K cost. Result: 28% margin (Green/On-target). Note: at the floor with no headroom. If cost increases by $50K, margin drops to 23% — into amber zone.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CPI Overrun Detection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EV $450K, AC $500K. Result: CPI 0.90 (Gold/Warning). For a $2M project, Estimate at Completion (EAC) = $2.22M. Flag for PMO review.</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DORA CFR Benchmark</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Input: 4 failed deployments / 40 total. Result: 10% Change Failure Rate = DORA High band. Compare against Elite target of ≤5%. Recommend: increase automated test coverage.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PI Predictability (SAFe)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85 actual points / 100 planned points. Result: 85% (Green). Meets the SAFe 80% threshold. Compare across ARTs to identify top-performing trains.</w:t>
            </w:r>
          </w:p>
        </w:tc>
      </w:tr>
    </w:tbl>
    <w:p>
      <w:pPr>
        <w:spacing w:after="100"/>
      </w:pPr>
    </w:p>
    <w:p>
      <w:pPr>
        <w:pStyle w:val="Heading2"/>
      </w:pPr>
      <w:r>
        <w:t xml:space="preserve">7.7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Build vs Buy AI Platform</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 “Whether to build an in-house AI platform vs adopt a vendor solution.” Tags: AI/Tech, Budget, Enterprise. Result: 3-option framework from conservative (vendor) through balanced (hybrid) to strategic (full build) with AKB1 recommendation.</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Cloud Migration Strategy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Enter: “Replatform legacy on-prem to AWS vs Azure vs GCP.” Tags: Cloud, Timeline, Budget. Generates risk-weighted comparison across conservative lift-and-shift, balanced containerisation, and strategic cloud-native rebuild.</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Team Structure Redesign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 “Restructure from project-based to product-based teams.” Tags: Team, Enterprise. Framework shows incremental pod rotation (conservative), hybrid feature teams (balanced), and full product org transformation (strategic).</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Vendor Contract Renewal</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Enter: “Renew current vendor at 8% increase vs renegotiate vs switch to competitor.” Tags: Budget, Risk. Three options with cost-benefit analysis for each path.</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Testing Strategy Upgrade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 “Manual QA vs hybrid automation vs full CI/CD test pipeline.” Tags: AI/Tech, Timeline. Conservative (add Selenium), balanced (test framework + AI), strategic (full shift-left with AI-generated tests).</w:t>
            </w:r>
          </w:p>
        </w:tc>
      </w:tr>
    </w:tbl>
    <w:p>
      <w:pPr>
        <w:spacing w:after="100"/>
      </w:pPr>
    </w:p>
    <w:p>
      <w:pPr>
        <w:pStyle w:val="Heading2"/>
      </w:pPr>
      <w:r>
        <w:t xml:space="preserve">7.8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Key-Person Dependency</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Add risk: “Single architect owns all ML pipeline code” — Probability: High, Impact: Critical. Heat map shows red cell. Mitigation: immediate knowledge transfer and pair programming mandate.</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Vendor SLA Breach Pattern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Add risk: “Vendor has missed 3 of last 5 SLA windows” — Probability: Very High, Impact: High. Register triggers escalation to vendor management with contractual penalty review.</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Scope Creep on Fixed-Price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Add risk: “Client requesting 4 additional features beyond SOW” — Probability: High, Impact: Medium. Track as amber. Mitigation: formal Change Control Request (CCR) process activation.</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Regulatory Compliance Gap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Add risk: “GDPR data residency requirements not confirmed for EU deployment” — Probability: Medium, Impact: Critical. Red flag requiring immediate legal and architecture review.</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Sprint Velocity Decline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Add risk: “Velocity dropped 25% over last 3 sprints” — Probability: High, Impact: Medium. Track pattern and correlate with attrition data from KPI Engine. Root cause analysis required.</w:t>
            </w:r>
          </w:p>
        </w:tc>
      </w:tr>
    </w:tbl>
    <w:p>
      <w:pPr>
        <w:spacing w:after="100"/>
      </w:pPr>
    </w:p>
    <w:p>
      <w:r>
        <w:br w:type="page"/>
      </w:r>
    </w:p>
    <w:p>
      <w:pPr>
        <w:pStyle w:val="Heading2"/>
      </w:pPr>
      <w:r>
        <w:t xml:space="preserve">7.9 Sprint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PI Capacity Planning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90 committed points, 82 completed, 5 sprints per PI, 100 planned PI points, 85 delivered. Result: 91.1% velocity index (healthy), 85% PI predictability (meets SAFe). Three projections: Conservative 65.6, As-Is 82, Optimistic 90.2 points per sprint.</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New Team Onboarding Impact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Model a team that added 3 junior developers. Previous velocity: 45 points. Current: 38 points. The planner shows the velocity dip and projects recovery based on the conservative/optimistic range.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Innovation Sprint Allocation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With 5 sprints per PI, allocate 1 sprint (20%) to innovation. The planner calculates effective delivery capacity for the remaining 4 sprints and adjusts PI predictability targets accordingly.</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Multi-Team ART Comparison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Run the planner for each of 5 teams in the ART. Compare velocity indices side-by-side to identify which teams are overcommitting (below 80%) vs sandbagging (consistently 100%+).</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Release Train Forecast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After 3 PIs of data, use the velocity projections to forecast whether the remaining 2 PIs can deliver the 400-point backlog. Conservative projection shows a shortfall; optimistic shows on-track.</w:t>
            </w:r>
          </w:p>
        </w:tc>
      </w:tr>
    </w:tbl>
    <w:p>
      <w:pPr>
        <w:spacing w:after="100"/>
      </w:pPr>
    </w:p>
    <w:p>
      <w:pPr>
        <w:pStyle w:val="Heading2"/>
      </w:pPr>
      <w:r>
        <w:t xml:space="preserve">7.10 Estimation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PERT Estimate for Migration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Optimistic 30 days, Most Likely 45 days, Pessimistic 90 days. PERT Expected: E = (30 + 4×45 + 90) / 6 = 50 days. Standard deviation: (90 − 30) / 6 = 10 days. 95% confidence: 50 ± 20 days.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T-Shirt Sizing for Backlog</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Map 25 user stories to T-shirt sizes: 8 Small (1–3 days), 10 Medium (3–5 days), 5 Large (5–10 days), 2 XL (10–20 days). Total range: 63–154 days. Use midpoint for budget planning.</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Fixed-Price Bid Estimation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 PERT for the 5 largest work packages. Sum the expected values and add 1.5 standard deviations as management reserve. Present the 85th percentile estimate to the client for the fixed-price bid.</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Delivery Forecast Accuracy</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After sprint 6, compare actual delivery (120 points) against the forecast made at sprint 1 (estimated 135 points). Calculate forecast accuracy: 88.9%. Adjust future forecasts based on the variance.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Resource Loading Model</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Use PERT estimates for each work package to build a resource loading model. Identify peak demand periods and smooth resource allocation by shifting non-critical-path items.</w:t>
            </w:r>
          </w:p>
        </w:tc>
      </w:tr>
    </w:tbl>
    <w:p>
      <w:pPr>
        <w:spacing w:after="100"/>
      </w:pPr>
    </w:p>
    <w:p>
      <w:pPr>
        <w:pStyle w:val="Heading2"/>
      </w:pPr>
      <w:r>
        <w:t xml:space="preserve">7.11 Pricing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Bill Rate Derivation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loaded cost $85/hr, target margin 28%. Bill rate = $85 / (1 − 0.28) = $118/hr. The calculator validates this against market benchmarks and shows revenue per FTE at standard utilization.</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T&amp;M vs Fixed-Price Comparison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Model a 6-month engagement with 5 FTEs. T&amp;M at $118/hr = $612K revenue. Fixed-price at 10% premium = $673K but with margin risk if scope expands. The calculator shows breakeven point for scope changes.</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Team Cost Modelling</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Input: 12 headcount, 80% utilization target, $95 average loaded cost, $125 bill rate. The calculator shows: required revenue = $1.8M, expected margin = 24% (below 28% floor), and the cost gap to close.</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Rate Card Optimisation</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Enter current rate card for 4 roles (Architect, Lead, Senior, Mid). The calculator identifies which roles are margin-negative and suggests bill rate adjustments to achieve blended 28% margin.</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Scenario Planning for Attrition</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Model impact of 2 senior developers leaving (attrition from KPI Engine). Pricing calculator shows: revenue loss from bench time, cost of backfill at market rates, and margin impact over next 2 quarters.</w:t>
            </w:r>
          </w:p>
        </w:tc>
      </w:tr>
    </w:tbl>
    <w:p>
      <w:pPr>
        <w:spacing w:after="100"/>
      </w:pPr>
    </w:p>
    <w:p>
      <w:pPr>
        <w:pStyle w:val="Heading2"/>
      </w:pPr>
      <w:r>
        <w:t xml:space="preserve">7.12 Status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W w:type="dxa" w:w="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 &amp; Expected Outcome</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Weekly Client Status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 reporting period, list 4 accomplishments, set overall RAG to Green. The generator creates a structured status report with header, period, accomplishments, and status indicator ready for email distribution.</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Escalation-Ready Report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Set RAG to Red for schedule. Enter: “Vendor deliverable delayed 2 weeks, blocking integration testing.” The report includes the escalation context, root cause, and requested action from the client.</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Monthly Steering Committee</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Generate a status report spanning 4 weeks. Include accomplishments from each week, a cumulative RAG status, and a forward-looking section with next period’s planned deliverables.</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Multi-Workstream Rollup</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Create separate status entries for each of 3 workstreams (Data, API, UI). The report consolidates into a programme-level status with individual workstream RAGs and an overall programme RAG.</w:t>
            </w:r>
          </w:p>
        </w:tc>
      </w:tr>
      <w:tr>
        <w:tc>
          <w:tcPr>
            <w:tcW w:type="dxa" w:w="6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End-of-PI Summary</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Generate a PI completion status report. Include: PI objectives achieved vs planned, velocity trend over the PI, key risks resolved, and objectives carried over to next PI.</w:t>
            </w:r>
          </w:p>
        </w:tc>
      </w:tr>
    </w:tbl>
    <w:p>
      <w:r>
        <w:br w:type="page"/>
      </w:r>
    </w:p>
    <w:p>
      <w:pPr>
        <w:pStyle w:val="Heading1"/>
      </w:pPr>
      <w:r>
        <w:t xml:space="preserve">8. Testing Strategy</w:t>
      </w:r>
    </w:p>
    <w:p>
      <w:pPr>
        <w:pStyle w:val="Heading2"/>
      </w:pPr>
      <w:r>
        <w:t xml:space="preserve">8.1 Pre-Deployment Testing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5360"/>
      </w:tblGrid>
      <w:tr>
        <w:tc>
          <w:tcPr>
            <w:tcW w:type="dxa" w:w="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Test Area</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Verification Steps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Home Page Rendering</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Verify hero section, ambient background animation, feature cards, statistics bar, and module ticker all render correctly</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Terminal Mode Navigation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Click each of the 12 sidebar items and verify the corresponding module loads without errors</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KPI Calculations (all 9)</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Input the example values from each calculator and verify the output matches the documented expected results</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Claude AI Chat</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Send a test message, verify streaming response, check for CORS errors in the browser console</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Prompt Lab Analyzer</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Paste a sample prompt, click Analyze, verify score and 8 dimension bars render correctly</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Decision Matrix Generation</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Enter a decision description, add context tags, generate matrix, verify all 4 options render</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Risk Matrix Heat Map</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Add 3 risks with different severity/probability, verify colour-coded heat map renders correctly</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Cross-Browser Compatibility</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Test on Chrome, Firefox, Safari, and Edge. Verify CSS custom properties and animations work</w:t>
            </w:r>
          </w:p>
        </w:tc>
      </w:tr>
      <w:tr>
        <w:tc>
          <w:tcPr>
            <w:tcW w:type="dxa" w:w="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9</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Mobile Responsiveness</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Test on mobile viewport (375px width). Verify sidebar collapses, modules stack vertically</w:t>
            </w:r>
          </w:p>
        </w:tc>
      </w:tr>
      <w:tr>
        <w:tc>
          <w:tcPr>
            <w:tcW w:type="dxa" w:w="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3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Performance</w:t>
            </w:r>
          </w:p>
        </w:tc>
        <w:tc>
          <w:tcPr>
            <w:tcW w:type="dxa" w:w="5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Verify Lighthouse score &gt; 90 for Performance. Check bundle loads under 2 seconds on 3G throttle</w:t>
            </w:r>
          </w:p>
        </w:tc>
      </w:tr>
    </w:tbl>
    <w:p>
      <w:r>
        <w:br w:type="page"/>
      </w:r>
    </w:p>
    <w:p>
      <w:pPr>
        <w:pStyle w:val="Heading1"/>
      </w:pPr>
      <w:r>
        <w:t xml:space="preserve">9. Appendix</w:t>
      </w:r>
    </w:p>
    <w:p>
      <w:pPr>
        <w:pStyle w:val="Heading2"/>
      </w:pPr>
      <w:r>
        <w:t xml:space="preserve">9.1 KPI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4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24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Utilization Rate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(Billable Hours / Available Hours) × 100</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7AE60"/>
                <w:sz w:val="20"/>
                <w:szCs w:val="20"/>
              </w:rPr>
              <w:t xml:space="preserve">≥ 80%</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Delivery Margin</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((Revenue − Cost) / Revenue) × 100</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7AE60"/>
                <w:sz w:val="20"/>
                <w:szCs w:val="20"/>
              </w:rPr>
              <w:t xml:space="preserve">≥ 28%</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Sprint Velocity Index</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(Completed Points / Committed Points) × 100</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7AE60"/>
                <w:sz w:val="20"/>
                <w:szCs w:val="20"/>
              </w:rPr>
              <w:t xml:space="preserve">≥ 90%</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Cost Performance Index</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Earned Value (EV) / Actual Cost (AC)</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7AE60"/>
                <w:sz w:val="20"/>
                <w:szCs w:val="20"/>
              </w:rPr>
              <w:t xml:space="preserve">≥ 1.0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SLA Compliance Rate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(Met SLAs / Total SLAs) × 100</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7AE60"/>
                <w:sz w:val="20"/>
                <w:szCs w:val="20"/>
              </w:rPr>
              <w:t xml:space="preserve">≥ 98%</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Schedule Perf. Index</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Earned Value (EV) / Planned Value (PV)</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7AE60"/>
                <w:sz w:val="20"/>
                <w:szCs w:val="20"/>
              </w:rPr>
              <w:t xml:space="preserve">≥ 1.0</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Change Failure Rate</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(Failed Deployments / Total Deployments) × 100</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7AE60"/>
                <w:sz w:val="20"/>
                <w:szCs w:val="20"/>
              </w:rPr>
              <w:t xml:space="preserve">≤ 5% (Elite)</w:t>
            </w:r>
          </w:p>
        </w:tc>
      </w:tr>
      <w:tr>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Team Attrition Rate</w:t>
            </w:r>
          </w:p>
        </w:tc>
        <w:tc>
          <w:tcPr>
            <w:tcW w:type="dxa" w:w="4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(Voluntary Leavers / Avg Headcount) × 100 × (12 / months)</w:t>
            </w:r>
          </w:p>
        </w:tc>
        <w:tc>
          <w:tcPr>
            <w:tcW w:type="dxa" w:w="24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27AE60"/>
                <w:sz w:val="20"/>
                <w:szCs w:val="20"/>
              </w:rPr>
              <w:t xml:space="preserve">≤ 15% annualised</w:t>
            </w:r>
          </w:p>
        </w:tc>
      </w:tr>
      <w:tr>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PI Predictability</w:t>
            </w:r>
          </w:p>
        </w:tc>
        <w:tc>
          <w:tcPr>
            <w:tcW w:type="dxa" w:w="4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(Actual PI Points / Planned PI Points) × 100</w:t>
            </w:r>
          </w:p>
        </w:tc>
        <w:tc>
          <w:tcPr>
            <w:tcW w:type="dxa" w:w="24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7AE60"/>
                <w:sz w:val="20"/>
                <w:szCs w:val="20"/>
              </w:rPr>
              <w:t xml:space="preserve">≥ 80% (SAFe)</w:t>
            </w:r>
          </w:p>
        </w:tc>
      </w:tr>
    </w:tbl>
    <w:p>
      <w:pPr>
        <w:spacing w:after="100"/>
      </w:pPr>
    </w:p>
    <w:p>
      <w:pPr>
        <w:pStyle w:val="Heading2"/>
      </w:pPr>
      <w:r>
        <w:t xml:space="preserve">9.2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3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index.html</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1.6 KB</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Entry point, loads bundles</w:t>
            </w:r>
          </w:p>
        </w:tc>
      </w:tr>
      <w:tr>
        <w:tc>
          <w:tcPr>
            <w:tcW w:type="dxa" w:w="4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assets/index-Bkhseska.js</w:t>
            </w:r>
          </w:p>
        </w:tc>
        <w:tc>
          <w:tcPr>
            <w:tcW w:type="dxa" w:w="20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~400 KB</w:t>
            </w:r>
          </w:p>
        </w:tc>
        <w:tc>
          <w:tcPr>
            <w:tcW w:type="dxa" w:w="3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React app + all modules</w:t>
            </w:r>
          </w:p>
        </w:tc>
      </w:tr>
      <w:tr>
        <w:tc>
          <w:tcPr>
            <w:tcW w:type="dxa" w:w="4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assets/index-BxnZz2Gu.css</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~97 KB</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All styles + Bloomberg theme</w:t>
            </w:r>
          </w:p>
        </w:tc>
      </w:tr>
    </w:tbl>
    <w:p>
      <w:pPr>
        <w:spacing w:after="100"/>
      </w:pPr>
    </w:p>
    <w:p>
      <w:pPr>
        <w:pStyle w:val="Heading2"/>
      </w:pPr>
      <w:r>
        <w:t xml:space="preserve">9.3 Prompt Lab Quality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Detection Pattern</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Role Specified</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Regex: act as, you are, as a, persona, role:</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Format Defined</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Regex: format, table, json, bullet, respond only, structure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Chain-of-Thought</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Regex: step by step, think, reason, first...then</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Constraints Set</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Regex: do not, don’t, no intro, max [number], only, no preamble</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KPIs / Metrics</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Regex: kpi, metric, formula, measure, %, target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Context Completeness</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Word count × 4 (capped at 100)</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Output Goal Clear</w:t>
            </w:r>
          </w:p>
        </w:tc>
        <w:tc>
          <w:tcPr>
            <w:tcW w:type="dxa" w:w="6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000000"/>
                <w:sz w:val="20"/>
                <w:szCs w:val="20"/>
              </w:rPr>
              <w:t xml:space="preserve">Regex: recommend, provide, give, return, output</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Examples Requested</w:t>
            </w:r>
          </w:p>
        </w:tc>
        <w:tc>
          <w:tcPr>
            <w:tcW w:type="dxa" w:w="65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r>
              <w:rPr>
                <w:rFonts w:ascii="Arial" w:cs="Arial" w:eastAsia="Arial" w:hAnsi="Arial"/>
                <w:color w:val="000000"/>
                <w:sz w:val="20"/>
                <w:szCs w:val="20"/>
              </w:rPr>
              <w:t xml:space="preserve">Regex: example, such as, e.g., for instance</w:t>
            </w:r>
          </w:p>
        </w:tc>
      </w:tr>
    </w:tbl>
    <w:p>
      <w:pPr>
        <w:spacing w:after="100"/>
      </w:pPr>
    </w:p>
    <w:p>
      <w:pPr>
        <w:spacing w:before="400"/>
      </w:pPr>
      <w:r>
        <w:rPr>
          <w:rFonts w:ascii="Arial" w:cs="Arial" w:eastAsia="Arial" w:hAnsi="Arial"/>
          <w:i/>
          <w:iCs/>
          <w:color w:val="555555"/>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55555"/>
        <w:sz w:val="16"/>
        <w:szCs w:val="16"/>
      </w:rPr>
      <w:t xml:space="preserve">AKB1 Terminal — Deployment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D3C9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2026-03-12T06:19:56.458Z</dcterms:created>
  <dcterms:modified xsi:type="dcterms:W3CDTF">2026-03-12T06:19:56.459Z</dcterms:modified>
</cp:coreProperties>
</file>

<file path=docProps/custom.xml><?xml version="1.0" encoding="utf-8"?>
<Properties xmlns="http://schemas.openxmlformats.org/officeDocument/2006/custom-properties" xmlns:vt="http://schemas.openxmlformats.org/officeDocument/2006/docPropsVTypes"/>
</file>