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Performance Benchmarking of a Cross-Platform</w:t>
        <w:br/>
        <w:t>Messaging System for mHealth Smoking Cessation</w:t>
      </w:r>
    </w:p>
    <w:p>
      <w:pPr>
        <w:jc w:val="center"/>
      </w:pPr>
      <w:r>
        <w:rPr>
          <w:rFonts w:ascii="Times New Roman" w:hAnsi="Times New Roman"/>
          <w:sz w:val="22"/>
        </w:rPr>
        <w:t>Venkata Anudeep Adiraju</w:t>
      </w:r>
      <w:r>
        <w:rPr>
          <w:sz w:val="22"/>
          <w:vertAlign w:val="superscript"/>
        </w:rPr>
        <w:t>*</w:t>
      </w:r>
      <w:r>
        <w:rPr>
          <w:sz w:val="22"/>
        </w:rPr>
        <w:t>, David Akopian</w:t>
      </w:r>
      <w:r>
        <w:rPr>
          <w:sz w:val="22"/>
          <w:vertAlign w:val="superscript"/>
        </w:rPr>
        <w:t>*</w:t>
      </w:r>
      <w:r>
        <w:rPr>
          <w:sz w:val="22"/>
        </w:rPr>
        <w:t>, Ebrahim Melladoust</w:t>
      </w:r>
      <w:r>
        <w:rPr>
          <w:sz w:val="22"/>
          <w:vertAlign w:val="superscript"/>
        </w:rPr>
        <w:t>*</w:t>
      </w:r>
      <w:r>
        <w:rPr>
          <w:sz w:val="22"/>
        </w:rPr>
        <w:t>, Patricia Chalela</w:t>
      </w:r>
      <w:r>
        <w:rPr>
          <w:sz w:val="22"/>
          <w:vertAlign w:val="superscript"/>
        </w:rPr>
        <w:t>†</w:t>
      </w:r>
      <w:r>
        <w:rPr>
          <w:sz w:val="22"/>
        </w:rPr>
        <w:t>, and Vivian Cortez</w:t>
      </w:r>
      <w:r>
        <w:rPr>
          <w:sz w:val="22"/>
          <w:vertAlign w:val="superscript"/>
        </w:rPr>
        <w:t>†</w:t>
      </w:r>
    </w:p>
    <w:p>
      <w:pPr>
        <w:jc w:val="center"/>
      </w:pPr>
      <w:r>
        <w:rPr>
          <w:sz w:val="18"/>
          <w:vertAlign w:val="superscript"/>
        </w:rPr>
        <w:t>*</w:t>
      </w:r>
      <w:r>
        <w:rPr>
          <w:rFonts w:ascii="Times New Roman" w:hAnsi="Times New Roman"/>
          <w:sz w:val="18"/>
        </w:rPr>
        <w:t>Department of Electrical and Computer Engineering,</w:t>
      </w:r>
    </w:p>
    <w:p>
      <w:pPr>
        <w:jc w:val="center"/>
      </w:pPr>
      <w:r>
        <w:rPr>
          <w:rFonts w:ascii="Times New Roman" w:hAnsi="Times New Roman"/>
          <w:sz w:val="18"/>
        </w:rPr>
        <w:t>The University of Texas at San Antonio, San Antonio, TX 78249, USA</w:t>
      </w:r>
    </w:p>
    <w:p>
      <w:pPr>
        <w:jc w:val="center"/>
      </w:pPr>
      <w:r>
        <w:rPr>
          <w:rFonts w:ascii="Times New Roman" w:hAnsi="Times New Roman"/>
          <w:sz w:val="18"/>
        </w:rPr>
        <w:t xml:space="preserve">Email: venkataanudeep.adiraju@my.utsa.edu; david.akopian@utsa.edu </w:t>
      </w:r>
      <w:r>
        <w:rPr>
          <w:sz w:val="18"/>
          <w:vertAlign w:val="superscript"/>
        </w:rPr>
        <w:t>†</w:t>
      </w:r>
      <w:r>
        <w:rPr>
          <w:sz w:val="18"/>
        </w:rPr>
        <w:t>Institute for Health Promotion Research,</w:t>
      </w:r>
    </w:p>
    <w:p>
      <w:pPr>
        <w:jc w:val="center"/>
      </w:pPr>
      <w:r>
        <w:rPr>
          <w:rFonts w:ascii="Times New Roman" w:hAnsi="Times New Roman"/>
          <w:sz w:val="18"/>
        </w:rPr>
        <w:t>The University of Texas Health Science Center at San Antonio, San Antonio, TX 78229, USA</w:t>
      </w:r>
    </w:p>
    <w:p/>
    <w:p>
      <w:r>
        <w:rPr>
          <w:b/>
          <w:i/>
          <w:sz w:val="20"/>
        </w:rPr>
        <w:t>Abstract</w:t>
      </w:r>
    </w:p>
    <w:p>
      <w:pPr>
        <w:jc w:val="both"/>
      </w:pPr>
      <w:r>
        <w:rPr>
          <w:rFonts w:ascii="Times New Roman" w:hAnsi="Times New Roman"/>
          <w:sz w:val="20"/>
        </w:rPr>
        <w:t>Mobile health (mHealth) messaging applications require low-latency, reliable delivery, yet the architecture and client-side performance of production messaging systems remain poorly characterized. This paper presents the design, implementation, and performance evaluation of Quitxt, a cross-platform Flutter application for smoking cessation that combines real-time messaging with AI-enhanced responses. We describe the system architecture—including the rationale for selecting Flutter over React Native, a composition-based messaging service, and binary search message insertion—and benchmark key operations to confirm they remain well within a single frame budget. On the server side, we integrate a retrieval-augmented generation (RAG) layer that retrieves from a professionally curated smoking cessation knowledge base via ChromaDB and generates grounded responses through Gemini 2.0 Flash. The measurement framework and analysis scripts are open-source.</w:t>
      </w:r>
    </w:p>
    <w:p>
      <w:r>
        <w:rPr>
          <w:b/>
          <w:i/>
          <w:sz w:val="20"/>
        </w:rPr>
        <w:t>Index Terms</w:t>
      </w:r>
      <w:r>
        <w:rPr>
          <w:rFonts w:ascii="Times New Roman" w:hAnsi="Times New Roman"/>
          <w:sz w:val="20"/>
        </w:rPr>
        <w:t>—Cross-platform mobile development, Flutter, mHealth messaging, smoking cessation, performance benchmarking, binary search insertion, retrieval-augmented generation</w:t>
      </w:r>
    </w:p>
    <w:p/>
    <w:p>
      <w:pPr>
        <w:pStyle w:val="Heading1"/>
        <w:jc w:val="center"/>
      </w:pPr>
      <w:r>
        <w:rPr>
          <w:rFonts w:ascii="Times New Roman" w:hAnsi="Times New Roman"/>
          <w:b/>
          <w:sz w:val="22"/>
        </w:rPr>
        <w:t>I. INTRODUCTION</w:t>
      </w:r>
    </w:p>
    <w:p>
      <w:pPr>
        <w:jc w:val="both"/>
      </w:pPr>
      <w:r>
        <w:t>SMOKING kills over eight million people annually [1]. Text-based mobile interventions have shown 50–60% higher quit rates compared to controls [2], making mHealth messaging a practical tool for smoking cessation. Modern messaging applications go beyond plain SMS by incorporating read receipts, typing indicators, rich media, and suggested reply buttons. These features make interactions more engaging than plain text, but they also make the messaging system more complex.</w:t>
      </w:r>
    </w:p>
    <w:p>
      <w:pPr>
        <w:jc w:val="both"/>
      </w:pPr>
      <w:r>
        <w:t>Cross-platform mHealth messaging applications face performance demands that generic mobile apps do not. The system must deliver messages with low latency during real-time conversations, keep messages in the right order, maintain a responsive UI while handling background network traffic, and avoid memory bloat during sessions that can last 30 minutes. If the app becomes sluggish during a conversation, the user may disengage [3].</w:t>
      </w:r>
    </w:p>
    <w:p>
      <w:pPr>
        <w:jc w:val="both"/>
      </w:pPr>
      <w:r>
        <w:t>Flutter, Google's cross-platform toolkit, compiles to native code from a single Dart codebase and renders through the Skia engine [4]. Prior benchmarks have compared Flutter to native development in general [5], [6], but none have measured Flutter's behavior in a real-time messaging context where background network operations, message ordering, and database synchronization all compete with the rendering pipeline.</w:t>
      </w:r>
    </w:p>
    <w:p>
      <w:pPr>
        <w:jc w:val="both"/>
      </w:pPr>
      <w:r>
        <w:t>Most mHealth messaging apps run on Firebase Firestore, which pushes data changes to connected clients via real-time listeners and handles caching and offline persistence automatically. The client-side cost of keeping a sorted, deduplicated message list in sync with Firestore's stream—while rendering a responsive UI—has not been characterized for messaging workloads.</w:t>
      </w:r>
    </w:p>
    <w:p>
      <w:pPr>
        <w:pStyle w:val="Heading2"/>
      </w:pPr>
      <w:r>
        <w:rPr>
          <w:rFonts w:ascii="Times New Roman" w:hAnsi="Times New Roman"/>
          <w:sz w:val="20"/>
        </w:rPr>
        <w:t>A. Contributions</w:t>
      </w:r>
    </w:p>
    <w:p>
      <w:pPr>
        <w:jc w:val="both"/>
      </w:pPr>
      <w:r>
        <w:t>The paper makes four contributions:</w:t>
      </w:r>
    </w:p>
    <w:p>
      <w:pPr>
        <w:pStyle w:val="ListNumber"/>
        <w:jc w:val="both"/>
      </w:pPr>
      <w:r>
        <w:rPr>
          <w:sz w:val="20"/>
        </w:rPr>
        <w:t>1) A SQLite-backed metrics service embedded in the application that captures timing measurements at sub-millisecond precision and exports to CSV for offline analysis.</w:t>
      </w:r>
    </w:p>
    <w:p>
      <w:pPr>
        <w:pStyle w:val="ListNumber"/>
        <w:jc w:val="both"/>
      </w:pPr>
      <w:r>
        <w:rPr>
          <w:sz w:val="20"/>
        </w:rPr>
        <w:t>2) Empirical before/after benchmarks of binary-search-guided message insertion (Section V-A) alongside instrumented design patterns: composition-based service architecture (Section III-A), multi-layer caching with LRU eviction (Section III-D), and platform-specific HTTP client configuration with isolate-based link preview parsing (Sections III-C, III-E). Sorting benchmarks span 700 runs across 14 configurations.</w:t>
      </w:r>
    </w:p>
    <w:p>
      <w:pPr>
        <w:pStyle w:val="ListNumber"/>
        <w:jc w:val="both"/>
      </w:pPr>
      <w:r>
        <w:rPr>
          <w:sz w:val="20"/>
        </w:rPr>
        <w:t>3) Open-source R and Python analysis scripts that run ANOVA, Tukey HSD post-hoc tests, and Shapiro-Wilk normality checks, and produce IEEE-formatted figures.</w:t>
      </w:r>
    </w:p>
    <w:p>
      <w:pPr>
        <w:pStyle w:val="ListNumber"/>
        <w:jc w:val="both"/>
      </w:pPr>
      <w:r>
        <w:rPr>
          <w:sz w:val="20"/>
        </w:rPr>
        <w:t>4) A server-side RAG pipeline that retrieves from the Gemini Protocol knowledge base (4,847 human-curated Q&amp;A pairs) via ChromaDB and generates grounded responses through Gemini 2.0 Flash, integrated into the production messaging flow.</w:t>
      </w:r>
    </w:p>
    <w:p>
      <w:pPr>
        <w:jc w:val="both"/>
      </w:pPr>
      <w:r>
        <w:t>The rest of the paper is organized as follows. Section II surveys related work. Section III details the system architecture, including the rationale for selecting Flutter. Section IV describes the experimental methodology. Section V reports client-side performance results. Section VI describes the AI-enhanced messaging pipeline. Section VII discusses findings, and Section VIII concludes.</w:t>
      </w:r>
    </w:p>
    <w:p>
      <w:pPr>
        <w:pStyle w:val="Heading1"/>
        <w:jc w:val="center"/>
      </w:pPr>
      <w:r>
        <w:rPr>
          <w:rFonts w:ascii="Times New Roman" w:hAnsi="Times New Roman"/>
          <w:b/>
          <w:sz w:val="22"/>
        </w:rPr>
        <w:t>II. RELATED WORK</w:t>
      </w:r>
    </w:p>
    <w:p>
      <w:pPr>
        <w:pStyle w:val="Heading2"/>
      </w:pPr>
      <w:r>
        <w:rPr>
          <w:rFonts w:ascii="Times New Roman" w:hAnsi="Times New Roman"/>
          <w:sz w:val="20"/>
        </w:rPr>
        <w:t>A. mHealth Messaging for Smoking Cessation</w:t>
      </w:r>
    </w:p>
    <w:p>
      <w:pPr>
        <w:jc w:val="both"/>
      </w:pPr>
      <w:r>
        <w:t>Whittaker et al. [2] analyzed 26 randomized controlled trials with over 33,000 participants and found that mobile cessation interventions increased quit rates by 50–60%. SmokefreeTXT, the NCI's SMS-based program, sustained engagement over six-week periods [12]. These studies measure intervention outcomes but say nothing about the performance of the messaging systems delivering them.</w:t>
      </w:r>
    </w:p>
    <w:p>
      <w:pPr>
        <w:jc w:val="both"/>
      </w:pPr>
      <w:r>
        <w:t>More recently, Bricker et al. [15] developed QuitBot, a conversational chatbot for smoking cessation that uses a library of 11,000 question-answer pairs with a fine-tuned GPT-3.5 fallback. In a pilot RCT, QuitBot achieved 63% 30-day point-prevalence abstinence versus 38.5% for the NCI's SmokefreeTXT (OR 2.58, 95% CI [1.34, 4.99]). Their work demonstrates that AI-enhanced conversational delivery improves engagement over linear messaging, but does not address system performance under load or cross-platform deployment challenges.</w:t>
      </w:r>
    </w:p>
    <w:p>
      <w:pPr>
        <w:jc w:val="both"/>
      </w:pPr>
      <w:r>
        <w:t>Moving beyond plain SMS to app-based messaging adds suggested replies, carousels, and read receipts, which make interactions more engaging but also more computationally expensive. To our knowledge, no prior work has benchmarked client-side performance in a cross-platform mHealth messaging system.</w:t>
      </w:r>
    </w:p>
    <w:p>
      <w:pPr>
        <w:pStyle w:val="Heading2"/>
      </w:pPr>
      <w:r>
        <w:rPr>
          <w:rFonts w:ascii="Times New Roman" w:hAnsi="Times New Roman"/>
          <w:sz w:val="20"/>
        </w:rPr>
        <w:t>B. Cross-Platform Mobile Performance</w:t>
      </w:r>
    </w:p>
    <w:p>
      <w:pPr>
        <w:jc w:val="both"/>
      </w:pPr>
      <w:r>
        <w:t>Biørn-Hansen et al. [5] compared React Native, Flutter, and native Android/iOS, finding that Flutter matched native frame rates but used more memory on Android. Majchrzak et al. [6] benchmarked progressive web apps against native approaches on startup time, rendering, and memory.</w:t>
      </w:r>
    </w:p>
    <w:p>
      <w:pPr>
        <w:jc w:val="both"/>
      </w:pPr>
      <w:r>
        <w:t>Flutter-specific studies have measured rendering pipeline efficiency [4], widget rebuild cost, and platform channel overhead. These focus on UI workloads. None measure what happens when background network operations, message ordering, and database synchronization all compete with the rendering pipeline at the same time, which is the normal state of a messaging app.</w:t>
      </w:r>
    </w:p>
    <w:p>
      <w:pPr>
        <w:pStyle w:val="Heading2"/>
      </w:pPr>
      <w:r>
        <w:rPr>
          <w:rFonts w:ascii="Times New Roman" w:hAnsi="Times New Roman"/>
          <w:sz w:val="20"/>
        </w:rPr>
        <w:t>C. Firebase in Mobile Applications</w:t>
      </w:r>
    </w:p>
    <w:p>
      <w:pPr>
        <w:jc w:val="both"/>
      </w:pPr>
      <w:r>
        <w:t>Firestore's real-time sync has made it a common backend for mobile messaging. Moroney [9] covered Firestore query performance and offline caching. Inupakutika et al. [7] built a four-block testbed for mHealth application performance evaluation, measuring service response time under controlled concurrent load with ANOVA and Tukey HSD post-hoc tests. We adapt their testbed design for our Firebase messaging system.</w:t>
      </w:r>
    </w:p>
    <w:p>
      <w:pPr>
        <w:jc w:val="both"/>
      </w:pPr>
      <w:r>
        <w:t>Gunnam et al. [8] extended that work to heterogeneous chatbot systems, adding throughput and concurrent-user scaling as metrics. They found that latency under load degrades non-linearly, with sharp inflection points where performance drops off. This finding is why we calibrate our Firebase load levels empirically rather than picking arbitrary thresholds.</w:t>
      </w:r>
    </w:p>
    <w:p>
      <w:pPr>
        <w:pStyle w:val="Heading2"/>
      </w:pPr>
      <w:r>
        <w:rPr>
          <w:rFonts w:ascii="Times New Roman" w:hAnsi="Times New Roman"/>
          <w:sz w:val="20"/>
        </w:rPr>
        <w:t>D. Message Ordering and Caching</w:t>
      </w:r>
    </w:p>
    <w:p>
      <w:pPr>
        <w:jc w:val="both"/>
      </w:pPr>
      <w:r>
        <w:t>The naive approach to message ordering re-sorts the entire list on each insertion: O(n log n) per message. Binary search insertion runs in O(log n), but its practical effect in a Flutter messaging context, where the sorted list feeds a reactive widget tree, has not been measured.</w:t>
      </w:r>
    </w:p>
    <w:p>
      <w:pPr>
        <w:jc w:val="both"/>
      </w:pPr>
      <w:r>
        <w:t>Client-side caching in messaging apps trades memory for lookup speed. LRU eviction is standard [11]. How an application-level cache interacts with Firebase's own client-side persistence layer—both caching independently—has not been characterized for messaging workloads.</w:t>
      </w:r>
    </w:p>
    <w:p>
      <w:pPr>
        <w:pStyle w:val="Heading2"/>
      </w:pPr>
      <w:r>
        <w:rPr>
          <w:rFonts w:ascii="Times New Roman" w:hAnsi="Times New Roman"/>
          <w:sz w:val="20"/>
        </w:rPr>
        <w:t>E. Gap in Literature</w:t>
      </w:r>
    </w:p>
    <w:p>
      <w:pPr>
        <w:jc w:val="both"/>
      </w:pPr>
      <w:r>
        <w:t>mHealth messaging efficacy, cross-platform benchmarks, and Firebase optimization have each been studied in isolation, but client-side performance of a deployed mHealth messaging system has not been characterized. Similarly, existing mHealth chatbot systems rely on static QnA libraries [15] or cloud-hosted LLM APIs without domain-specific grounding; none use retrieval-augmented generation [16] with a curated knowledge base. We address both gaps by instrumenting a deployed mHealth messaging app and integrating a curated-knowledge RAG layer into its production pipeline.</w:t>
      </w:r>
    </w:p>
    <w:p>
      <w:pPr>
        <w:pStyle w:val="Heading1"/>
        <w:jc w:val="center"/>
      </w:pPr>
      <w:r>
        <w:rPr>
          <w:rFonts w:ascii="Times New Roman" w:hAnsi="Times New Roman"/>
          <w:b/>
          <w:sz w:val="22"/>
        </w:rPr>
        <w:t>III. SYSTEM ARCHITECTURE</w:t>
      </w:r>
    </w:p>
    <w:p>
      <w:pPr>
        <w:jc w:val="both"/>
      </w:pPr>
      <w:r>
        <w:t>Quitxt is a cross-platform messaging application for smoking cessation [13], [14], running on Android and iOS from a single codebase with Firebase Firestore for real-time message sync and Firebase Cloud Messaging (FCM) for push notifications. Fig. 1 shows the end-to-end system architecture.</w:t>
      </w:r>
    </w:p>
    <w:p>
      <w:pPr>
        <w:pStyle w:val="Heading2"/>
      </w:pPr>
      <w:r>
        <w:rPr>
          <w:rFonts w:ascii="Times New Roman" w:hAnsi="Times New Roman"/>
          <w:sz w:val="20"/>
        </w:rPr>
        <w:t>A. Framework Selection: Flutter</w:t>
      </w:r>
    </w:p>
    <w:p>
      <w:pPr>
        <w:jc w:val="both"/>
      </w:pPr>
      <w:r>
        <w:t>We evaluated Flutter, React Native, and native development before selecting Flutter for the following reasons. First, Flutter compiles to native ARM code via ahead-of-time (AOT) compilation, eliminating the JavaScript bridge that adds latency in React Native's architecture [4]. For a real-time messaging application where every millisecond in the rendering pipeline matters, this is a meaningful advantage. Second, Flutter's Skia-based rendering engine produces consistent UI across platforms without relying on platform-native widgets, which simplifies testing and reduces platform-specific bugs. Third, Dart's single-threaded event loop with isolate-based concurrency maps well to the messaging use case: the main isolate handles UI and Firestore listeners, while CPU-bound tasks (link preview parsing, performance metrics collection) run on background isolates without shared-memory concurrency issues. Prior cross-platform benchmarks confirm that Flutter matches native frame rates while using more memory on Android [5]; we accept this trade-off given the UI consistency benefit.</w:t>
      </w:r>
    </w:p>
    <w:p>
      <w:pPr>
        <w:jc w:val="both"/>
      </w:pPr>
      <w:r>
        <w:t>The subsections below describe each architectural component and the design decisions whose performance we benchmark in Section V.</w:t>
      </w:r>
    </w:p>
    <w:p>
      <w:pPr>
        <w:pStyle w:val="Heading2"/>
      </w:pPr>
      <w:r>
        <w:rPr>
          <w:rFonts w:ascii="Times New Roman" w:hAnsi="Times New Roman"/>
          <w:sz w:val="20"/>
        </w:rPr>
        <w:t>B. Composition-Based Messaging Service</w:t>
      </w:r>
    </w:p>
    <w:p>
      <w:pPr>
        <w:jc w:val="both"/>
      </w:pPr>
      <w:r>
        <w:t>The messaging subsystem uses a composition pattern [10] instead of a single monolithic service. ComposedMessagingService delegates to three specialized services:</w:t>
      </w:r>
    </w:p>
    <w:p>
      <w:pPr>
        <w:jc w:val="both"/>
      </w:pPr>
      <w:r>
        <w:rPr>
          <w:sz w:val="20"/>
        </w:rPr>
        <w:t>• HttpMessageService: HTTP transport to the messaging server, with platform-specific client configuration.</w:t>
      </w:r>
    </w:p>
    <w:p>
      <w:pPr>
        <w:jc w:val="both"/>
      </w:pPr>
      <w:r>
        <w:rPr>
          <w:sz w:val="20"/>
        </w:rPr>
        <w:t>• FirestoreMessageService: Real-time Firestore listeners for incoming messages and server responses.</w:t>
      </w:r>
    </w:p>
    <w:p>
      <w:pPr>
        <w:jc w:val="both"/>
      </w:pPr>
      <w:r>
        <w:rPr>
          <w:sz w:val="20"/>
        </w:rPr>
        <w:t>• MessageCacheService: In-memory message caching with content-based deduplication.</w:t>
      </w:r>
    </w:p>
    <w:p>
      <w:pPr>
        <w:jc w:val="both"/>
      </w:pPr>
      <w:r>
        <w:t>This separation lets us optimize and test each layer independently. The send flow works as follows:</w:t>
      </w:r>
    </w:p>
    <w:p>
      <w:pPr>
        <w:pStyle w:val="ListNumber"/>
        <w:jc w:val="both"/>
      </w:pPr>
      <w:r>
        <w:rPr>
          <w:sz w:val="20"/>
        </w:rPr>
        <w:t>1) ComposedMessagingService.sendMessage() receives user input text.</w:t>
      </w:r>
    </w:p>
    <w:p>
      <w:pPr>
        <w:pStyle w:val="ListNumber"/>
        <w:jc w:val="both"/>
      </w:pPr>
      <w:r>
        <w:rPr>
          <w:sz w:val="20"/>
        </w:rPr>
        <w:t>2) A unique message identifier is generated using UUID v4.</w:t>
      </w:r>
    </w:p>
    <w:p>
      <w:pPr>
        <w:pStyle w:val="ListNumber"/>
        <w:jc w:val="both"/>
      </w:pPr>
      <w:r>
        <w:rPr>
          <w:sz w:val="20"/>
        </w:rPr>
        <w:t>3) The message is persisted to Firestore via FirestoreMessageService.</w:t>
      </w:r>
    </w:p>
    <w:p>
      <w:pPr>
        <w:pStyle w:val="ListNumber"/>
        <w:jc w:val="both"/>
      </w:pPr>
      <w:r>
        <w:rPr>
          <w:sz w:val="20"/>
        </w:rPr>
        <w:t>4) The message is cached via MessageCacheService.</w:t>
      </w:r>
    </w:p>
    <w:p>
      <w:pPr>
        <w:pStyle w:val="ListNumber"/>
        <w:jc w:val="both"/>
      </w:pPr>
      <w:r>
        <w:rPr>
          <w:sz w:val="20"/>
        </w:rPr>
        <w:t>5) An HTTP POST request is dispatched to the server via HttpMessageService.</w:t>
      </w:r>
    </w:p>
    <w:p>
      <w:pPr>
        <w:pStyle w:val="ListNumber"/>
        <w:jc w:val="both"/>
      </w:pPr>
      <w:r>
        <w:rPr>
          <w:sz w:val="20"/>
        </w:rPr>
        <w:t>6) The server response arrives asynchronously via the Firestore real-time listener.</w:t>
      </w:r>
    </w:p>
    <w:p>
      <w:pPr>
        <w:jc w:val="both"/>
      </w:pPr>
      <w:r>
        <w:t>Because each layer is a separate service, we can instrument and time them independently. Fig. 2 illustrates the complete message send and response lifecycle.</w:t>
      </w:r>
    </w:p>
    <w:p>
      <w:pPr>
        <w:pStyle w:val="Heading2"/>
      </w:pPr>
      <w:r>
        <w:rPr>
          <w:rFonts w:ascii="Times New Roman" w:hAnsi="Times New Roman"/>
          <w:sz w:val="20"/>
        </w:rPr>
        <w:t>C. Binary Search Message Insertion</w:t>
      </w:r>
    </w:p>
    <w:p>
      <w:pPr>
        <w:jc w:val="both"/>
      </w:pPr>
      <w:r>
        <w:t>A chat UI needs a chronologically sorted message list. The simple approach, appending and re-sorting, costs O(n log n) per insertion. Once conversations pass a few hundred messages, the re-sort becomes visible as UI jank.</w:t>
      </w:r>
    </w:p>
    <w:p>
      <w:pPr>
        <w:jc w:val="both"/>
      </w:pPr>
      <w:r>
        <w:t>We use O(log n) binary search insertion in the ChatProvider class. The _findInsertionIndex() method binary-searches the sorted list to find where the new message belongs:</w:t>
      </w:r>
    </w:p>
    <w:p>
      <w:r>
        <w:rPr>
          <w:rFonts w:ascii="Courier New" w:hAnsi="Courier New"/>
          <w:sz w:val="16"/>
        </w:rPr>
        <w:t>int _findInsertionIndex(ChatMessage msg) {</w:t>
        <w:br/>
        <w:t xml:space="preserve">  int low = 0, high = _messages.length;</w:t>
        <w:br/>
        <w:t xml:space="preserve">  while (low &lt; high) {</w:t>
        <w:br/>
        <w:t xml:space="preserve">    final mid = (low + high) ~/ 2;</w:t>
        <w:br/>
        <w:t xml:space="preserve">    if (_comparator(_messages[mid], msg) &lt;= 0)</w:t>
        <w:br/>
        <w:t xml:space="preserve">      low = mid + 1;</w:t>
        <w:br/>
        <w:t xml:space="preserve">    else</w:t>
        <w:br/>
        <w:t xml:space="preserve">      high = mid;</w:t>
        <w:br/>
        <w:t xml:space="preserve">  }</w:t>
        <w:br/>
        <w:t xml:space="preserve">  return low;</w:t>
        <w:br/>
        <w:t>}</w:t>
      </w:r>
    </w:p>
    <w:p>
      <w:pPr>
        <w:jc w:val="both"/>
      </w:pPr>
      <w:r>
        <w:t>The comparator sorts by timestamp ascending, breaking ties by message ID. After finding the index, List.insert() shifts subsequent elements in O(n) time. The net cost is O(n) per insertion—O(log n) to locate the position via binary search, O(n) to shift—but the shift is a contiguous memory move with a much smaller constant factor than the O(n log n) comparison-heavy full-sort, yielding the empirically observed speedup. For benchmarking, we retain a baselineFullSort() method that copies the list, appends the message, and re-sorts, so we can compare both approaches on identical data.</w:t>
      </w:r>
    </w:p>
    <w:p>
      <w:pPr>
        <w:jc w:val="center"/>
      </w:pPr>
      <w:r>
        <w:rPr>
          <w:rFonts w:ascii="Times New Roman" w:hAnsi="Times New Roman"/>
          <w:b/>
          <w:sz w:val="18"/>
        </w:rPr>
        <w:t>TABLE I</w:t>
        <w:br/>
        <w:t>PLATFORM-SPECIFIC HTTP CONFIGURATIONS</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18"/>
              </w:rPr>
              <w:t>Parameter</w:t>
            </w:r>
          </w:p>
        </w:tc>
        <w:tc>
          <w:tcPr>
            <w:tcW w:type="dxa" w:w="2880"/>
            <w:shd w:fill="D9E2F3" w:val="clear"/>
          </w:tcPr>
          <w:p>
            <w:pPr>
              <w:jc w:val="center"/>
            </w:pPr>
            <w:r>
              <w:rPr>
                <w:rFonts w:ascii="Times New Roman" w:hAnsi="Times New Roman"/>
                <w:b/>
                <w:sz w:val="18"/>
              </w:rPr>
              <w:t>Android</w:t>
            </w:r>
          </w:p>
        </w:tc>
        <w:tc>
          <w:tcPr>
            <w:tcW w:type="dxa" w:w="2880"/>
            <w:shd w:fill="D9E2F3" w:val="clear"/>
          </w:tcPr>
          <w:p>
            <w:pPr>
              <w:jc w:val="center"/>
            </w:pPr>
            <w:r>
              <w:rPr>
                <w:rFonts w:ascii="Times New Roman" w:hAnsi="Times New Roman"/>
                <w:b/>
                <w:sz w:val="18"/>
              </w:rPr>
              <w:t>iOS</w:t>
            </w:r>
          </w:p>
        </w:tc>
      </w:tr>
      <w:tr>
        <w:tc>
          <w:tcPr>
            <w:tcW w:type="dxa" w:w="2880"/>
          </w:tcPr>
          <w:p>
            <w:pPr>
              <w:jc w:val="center"/>
            </w:pPr>
            <w:r>
              <w:rPr>
                <w:rFonts w:ascii="Times New Roman" w:hAnsi="Times New Roman"/>
                <w:sz w:val="18"/>
              </w:rPr>
              <w:t>HTTP Client</w:t>
            </w:r>
          </w:p>
        </w:tc>
        <w:tc>
          <w:tcPr>
            <w:tcW w:type="dxa" w:w="2880"/>
          </w:tcPr>
          <w:p>
            <w:pPr>
              <w:jc w:val="center"/>
            </w:pPr>
            <w:r>
              <w:rPr>
                <w:rFonts w:ascii="Times New Roman" w:hAnsi="Times New Roman"/>
                <w:sz w:val="18"/>
              </w:rPr>
              <w:t>IOClient</w:t>
            </w:r>
          </w:p>
        </w:tc>
        <w:tc>
          <w:tcPr>
            <w:tcW w:type="dxa" w:w="2880"/>
          </w:tcPr>
          <w:p>
            <w:pPr>
              <w:jc w:val="center"/>
            </w:pPr>
            <w:r>
              <w:rPr>
                <w:rFonts w:ascii="Times New Roman" w:hAnsi="Times New Roman"/>
                <w:sz w:val="18"/>
              </w:rPr>
              <w:t>Default http.Client</w:t>
            </w:r>
          </w:p>
        </w:tc>
      </w:tr>
      <w:tr>
        <w:tc>
          <w:tcPr>
            <w:tcW w:type="dxa" w:w="2880"/>
          </w:tcPr>
          <w:p>
            <w:pPr>
              <w:jc w:val="center"/>
            </w:pPr>
            <w:r>
              <w:rPr>
                <w:rFonts w:ascii="Times New Roman" w:hAnsi="Times New Roman"/>
                <w:sz w:val="18"/>
              </w:rPr>
              <w:t>Connection</w:t>
            </w:r>
          </w:p>
        </w:tc>
        <w:tc>
          <w:tcPr>
            <w:tcW w:type="dxa" w:w="2880"/>
          </w:tcPr>
          <w:p>
            <w:pPr>
              <w:jc w:val="center"/>
            </w:pPr>
            <w:r>
              <w:rPr>
                <w:rFonts w:ascii="Times New Roman" w:hAnsi="Times New Roman"/>
                <w:sz w:val="18"/>
              </w:rPr>
              <w:t>Close</w:t>
            </w:r>
          </w:p>
        </w:tc>
        <w:tc>
          <w:tcPr>
            <w:tcW w:type="dxa" w:w="2880"/>
          </w:tcPr>
          <w:p>
            <w:pPr>
              <w:jc w:val="center"/>
            </w:pPr>
            <w:r>
              <w:rPr>
                <w:rFonts w:ascii="Times New Roman" w:hAnsi="Times New Roman"/>
                <w:sz w:val="18"/>
              </w:rPr>
              <w:t>Keep-Alive</w:t>
            </w:r>
          </w:p>
        </w:tc>
      </w:tr>
      <w:tr>
        <w:tc>
          <w:tcPr>
            <w:tcW w:type="dxa" w:w="2880"/>
          </w:tcPr>
          <w:p>
            <w:pPr>
              <w:jc w:val="center"/>
            </w:pPr>
            <w:r>
              <w:rPr>
                <w:rFonts w:ascii="Times New Roman" w:hAnsi="Times New Roman"/>
                <w:sz w:val="18"/>
              </w:rPr>
              <w:t>Timeout</w:t>
            </w:r>
          </w:p>
        </w:tc>
        <w:tc>
          <w:tcPr>
            <w:tcW w:type="dxa" w:w="2880"/>
          </w:tcPr>
          <w:p>
            <w:pPr>
              <w:jc w:val="center"/>
            </w:pPr>
            <w:r>
              <w:rPr>
                <w:rFonts w:ascii="Times New Roman" w:hAnsi="Times New Roman"/>
                <w:sz w:val="18"/>
              </w:rPr>
              <w:t>15 s</w:t>
            </w:r>
          </w:p>
        </w:tc>
        <w:tc>
          <w:tcPr>
            <w:tcW w:type="dxa" w:w="2880"/>
          </w:tcPr>
          <w:p>
            <w:pPr>
              <w:jc w:val="center"/>
            </w:pPr>
            <w:r>
              <w:rPr>
                <w:rFonts w:ascii="Times New Roman" w:hAnsi="Times New Roman"/>
                <w:sz w:val="18"/>
              </w:rPr>
              <w:t>8 s</w:t>
            </w:r>
          </w:p>
        </w:tc>
      </w:tr>
      <w:tr>
        <w:tc>
          <w:tcPr>
            <w:tcW w:type="dxa" w:w="2880"/>
          </w:tcPr>
          <w:p>
            <w:pPr>
              <w:jc w:val="center"/>
            </w:pPr>
            <w:r>
              <w:rPr>
                <w:rFonts w:ascii="Times New Roman" w:hAnsi="Times New Roman"/>
                <w:sz w:val="18"/>
              </w:rPr>
              <w:t>Idle Timeout</w:t>
            </w:r>
          </w:p>
        </w:tc>
        <w:tc>
          <w:tcPr>
            <w:tcW w:type="dxa" w:w="2880"/>
          </w:tcPr>
          <w:p>
            <w:pPr>
              <w:jc w:val="center"/>
            </w:pPr>
            <w:r>
              <w:rPr>
                <w:rFonts w:ascii="Times New Roman" w:hAnsi="Times New Roman"/>
                <w:sz w:val="18"/>
              </w:rPr>
              <w:t>30 s</w:t>
            </w:r>
          </w:p>
        </w:tc>
        <w:tc>
          <w:tcPr>
            <w:tcW w:type="dxa" w:w="2880"/>
          </w:tcPr>
          <w:p>
            <w:pPr>
              <w:jc w:val="center"/>
            </w:pPr>
            <w:r>
              <w:rPr>
                <w:rFonts w:ascii="Times New Roman" w:hAnsi="Times New Roman"/>
                <w:sz w:val="18"/>
              </w:rPr>
              <w:t>N/A</w:t>
            </w:r>
          </w:p>
        </w:tc>
      </w:tr>
      <w:tr>
        <w:tc>
          <w:tcPr>
            <w:tcW w:type="dxa" w:w="2880"/>
          </w:tcPr>
          <w:p>
            <w:pPr>
              <w:jc w:val="center"/>
            </w:pPr>
            <w:r>
              <w:rPr>
                <w:rFonts w:ascii="Times New Roman" w:hAnsi="Times New Roman"/>
                <w:sz w:val="18"/>
              </w:rPr>
              <w:t>App Check</w:t>
            </w:r>
          </w:p>
        </w:tc>
        <w:tc>
          <w:tcPr>
            <w:tcW w:type="dxa" w:w="2880"/>
          </w:tcPr>
          <w:p>
            <w:pPr>
              <w:jc w:val="center"/>
            </w:pPr>
            <w:r>
              <w:rPr>
                <w:rFonts w:ascii="Times New Roman" w:hAnsi="Times New Roman"/>
                <w:sz w:val="18"/>
              </w:rPr>
              <w:t>Play Integrity</w:t>
            </w:r>
          </w:p>
        </w:tc>
        <w:tc>
          <w:tcPr>
            <w:tcW w:type="dxa" w:w="2880"/>
          </w:tcPr>
          <w:p>
            <w:pPr>
              <w:jc w:val="center"/>
            </w:pPr>
            <w:r>
              <w:rPr>
                <w:rFonts w:ascii="Times New Roman" w:hAnsi="Times New Roman"/>
                <w:sz w:val="18"/>
              </w:rPr>
              <w:t>DeviceCheck</w:t>
            </w:r>
          </w:p>
        </w:tc>
      </w:tr>
    </w:tbl>
    <w:p/>
    <w:p>
      <w:pPr>
        <w:pStyle w:val="Heading2"/>
      </w:pPr>
      <w:r>
        <w:rPr>
          <w:rFonts w:ascii="Times New Roman" w:hAnsi="Times New Roman"/>
          <w:sz w:val="20"/>
        </w:rPr>
        <w:t>D. Platform-Specific HTTP Configuration</w:t>
      </w:r>
    </w:p>
    <w:p>
      <w:pPr>
        <w:jc w:val="both"/>
      </w:pPr>
      <w:r>
        <w:t>Flutter's http package abstracts platform differences, but Android and iOS handle HTTP connections differently enough to affect message delivery latency. We configure each platform separately.</w:t>
      </w:r>
    </w:p>
    <w:p>
      <w:pPr>
        <w:jc w:val="both"/>
      </w:pPr>
      <w:r>
        <w:t>Android uses IOClient wrapping Dart's HttpClient with Connection: close headers, a 15-second timeout, and a 30-second idle timeout. We close connections explicitly because Android's connection pooling occasionally held stale connections, causing intermittent timeouts on cellular networks.</w:t>
      </w:r>
    </w:p>
    <w:p>
      <w:pPr>
        <w:jc w:val="both"/>
      </w:pPr>
      <w:r>
        <w:t>iOS uses the default http.Client with Connection: keep-alive and an 8-second timeout. iOS's URLSession manages connection reuse well on its own, and the shorter timeout accounts for iOS's more aggressive background task limits.</w:t>
      </w:r>
    </w:p>
    <w:p>
      <w:pPr>
        <w:jc w:val="both"/>
      </w:pPr>
      <w:r>
        <w:t>Table I summarizes the platform-specific configurations.</w:t>
      </w:r>
    </w:p>
    <w:p>
      <w:pPr>
        <w:pStyle w:val="Heading2"/>
      </w:pPr>
      <w:r>
        <w:rPr>
          <w:rFonts w:ascii="Times New Roman" w:hAnsi="Times New Roman"/>
          <w:sz w:val="20"/>
        </w:rPr>
        <w:t>E. Multi-Layer Caching Architecture</w:t>
      </w:r>
    </w:p>
    <w:p>
      <w:pPr>
        <w:jc w:val="both"/>
      </w:pPr>
      <w:r>
        <w:t>The application has two caching layers that interact with each other.</w:t>
      </w:r>
    </w:p>
    <w:p>
      <w:pPr>
        <w:jc w:val="both"/>
      </w:pPr>
      <w:r>
        <w:t>MessageCacheService is an in-memory LRU cache holding up to 1,000 messages. Messages are indexed by ID for direct lookup and by a content-timestamp composite key for deduplication. When full, the 100 oldest entries are evicted. We time cache operations using Dart's Stopwatch at microsecond resolution.</w:t>
      </w:r>
    </w:p>
    <w:p>
      <w:pPr>
        <w:jc w:val="both"/>
      </w:pPr>
      <w:r>
        <w:t>Firestore's built-in persistence caches documents locally for offline access and reduced round-trips. We tag each response with doc.metadata.isFromCache so we can analyze latency separately for cache-served and server-fetched responses.</w:t>
      </w:r>
    </w:p>
    <w:p>
      <w:pPr>
        <w:jc w:val="both"/>
      </w:pPr>
      <w:r>
        <w:t>A message may come from the application cache (fastest), the Firebase client cache (fast), or the Firebase server (variable, depending on load and network). These layers interact, and the compound behavior matters for latency analysis.</w:t>
      </w:r>
    </w:p>
    <w:p>
      <w:pPr>
        <w:pStyle w:val="Heading2"/>
      </w:pPr>
      <w:r>
        <w:rPr>
          <w:rFonts w:ascii="Times New Roman" w:hAnsi="Times New Roman"/>
          <w:sz w:val="20"/>
        </w:rPr>
        <w:t>F. Isolate-Based Link Preview Processing</w:t>
      </w:r>
    </w:p>
    <w:p>
      <w:pPr>
        <w:jc w:val="both"/>
      </w:pPr>
      <w:r>
        <w:t>When messages contain URLs, the app fetches HTML and parses it for link previews. HTML parsing is CPU-bound and will cause UI jank if run on the main isolate. We offload it using Flutter's compute() function, which spawns a background isolate for the HTML extraction of Open Graph, Twitter Card, and fallback metadata. Results are cached in a 200-entry LRU. Pending requests are deduplicated with a Completer-based queue so the same URL is never fetched twice concurrently.</w:t>
      </w:r>
    </w:p>
    <w:p>
      <w:pPr>
        <w:pStyle w:val="Heading2"/>
      </w:pPr>
      <w:r>
        <w:rPr>
          <w:rFonts w:ascii="Times New Roman" w:hAnsi="Times New Roman"/>
          <w:sz w:val="20"/>
        </w:rPr>
        <w:t>G. Frame Rendering Monitoring</w:t>
      </w:r>
    </w:p>
    <w:p>
      <w:pPr>
        <w:jc w:val="both"/>
      </w:pPr>
      <w:r>
        <w:t>Flutter exposes per-frame timing via SchedulerBinding.addTimingsCallback. We record build duration (widget tree construction) and raster duration (GPU rendering) for each frame. Frames exceeding 16.67 ms total (the 60 fps budget) are classified as jank. This gives a direct measure of UI responsiveness during chat interactions.</w:t>
      </w:r>
    </w:p>
    <w:p>
      <w:pPr>
        <w:pStyle w:val="Heading2"/>
      </w:pPr>
      <w:r>
        <w:rPr>
          <w:rFonts w:ascii="Times New Roman" w:hAnsi="Times New Roman"/>
          <w:sz w:val="20"/>
        </w:rPr>
        <w:t>H. Security: Firebase App Check</w:t>
      </w:r>
    </w:p>
    <w:p>
      <w:pPr>
        <w:jc w:val="both"/>
      </w:pPr>
      <w:r>
        <w:t>Firebase App Check verifies that requests come from genuine app instances. On Android it uses the Play Integrity API; on iOS, DeviceCheck. We include App Check initialization in our startup timing because it adds measurable latency to cold start.</w:t>
      </w:r>
    </w:p>
    <w:p>
      <w:pPr>
        <w:pStyle w:val="Heading2"/>
      </w:pPr>
      <w:r>
        <w:rPr>
          <w:rFonts w:ascii="Times New Roman" w:hAnsi="Times New Roman"/>
          <w:sz w:val="20"/>
        </w:rPr>
        <w:t>I. Application Interface</w:t>
      </w:r>
    </w:p>
    <w:p>
      <w:pPr>
        <w:jc w:val="both"/>
      </w:pPr>
      <w:r>
        <w:t>Fig. 3 shows four representative screens from the Quitxt application. The welcome screen (a) greets first-time users with a message input field connected to the Firestore pipeline. The active chat session (b) shows an AI message with an isolate-parsed link preview, a binary poll with tappable response buttons, and an AI-generated motivational reply. The About screen (c) describes the Quitxt program and its bilingual support. The Help &amp; Quick Actions screen (d) demonstrates the bilingual keyword panel (English and Spanish), allowing users to send protocol keywords—such as Helpnow, Crave, Slip, or Badmood—with a single tap, triggering targeted RAG-grounded responses from the server.</w:t>
      </w:r>
    </w:p>
    <w:p>
      <w:pPr>
        <w:pStyle w:val="Heading1"/>
        <w:jc w:val="center"/>
      </w:pPr>
      <w:r>
        <w:rPr>
          <w:rFonts w:ascii="Times New Roman" w:hAnsi="Times New Roman"/>
          <w:b/>
          <w:sz w:val="22"/>
        </w:rPr>
        <w:t>IV. EXPERIMENTAL METHODOLOGY</w:t>
      </w:r>
    </w:p>
    <w:p>
      <w:pPr>
        <w:jc w:val="both"/>
      </w:pPr>
      <w:r>
        <w:t>This section describes the measurement infrastructure, experimental design, and statistical methods.</w:t>
      </w:r>
    </w:p>
    <w:p>
      <w:pPr>
        <w:pStyle w:val="Heading2"/>
      </w:pPr>
      <w:r>
        <w:rPr>
          <w:rFonts w:ascii="Times New Roman" w:hAnsi="Times New Roman"/>
          <w:sz w:val="20"/>
        </w:rPr>
        <w:t>A. Performance Metrics Service</w:t>
      </w:r>
    </w:p>
    <w:p>
      <w:pPr>
        <w:jc w:val="both"/>
      </w:pPr>
      <w:r>
        <w:t>We embedded a PerformanceMetricsService singleton in the app to capture timing measurements at runtime. The service stores measurements in a local SQLite database (performance_metrics.db) with no network overhead, buffers 50 measurements in memory before flushing to disk every 10 seconds, and is controlled by a compile-time constant PERF_METRICS_ENABLED tied to Dart's kDebugMode for zero overhead in production. Collected data exports to CSV for offline analysis in R and Python.</w:t>
      </w:r>
    </w:p>
    <w:p>
      <w:pPr>
        <w:jc w:val="both"/>
      </w:pPr>
      <w:r>
        <w:t>Table II defines the eight metric types captured.</w:t>
      </w:r>
    </w:p>
    <w:p>
      <w:pPr>
        <w:jc w:val="center"/>
      </w:pPr>
      <w:r>
        <w:rPr>
          <w:rFonts w:ascii="Times New Roman" w:hAnsi="Times New Roman"/>
          <w:b/>
          <w:sz w:val="18"/>
        </w:rPr>
        <w:t>TABLE II</w:t>
        <w:br/>
        <w:t>PERFORMANCE METRIC TYPES AND DEFINITIONS</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pPr>
              <w:jc w:val="center"/>
            </w:pPr>
            <w:r>
              <w:rPr>
                <w:rFonts w:ascii="Times New Roman" w:hAnsi="Times New Roman"/>
                <w:b/>
                <w:sz w:val="18"/>
              </w:rPr>
              <w:t>Metric Type</w:t>
            </w:r>
          </w:p>
        </w:tc>
        <w:tc>
          <w:tcPr>
            <w:tcW w:type="dxa" w:w="4320"/>
            <w:shd w:fill="D9E2F3" w:val="clear"/>
          </w:tcPr>
          <w:p>
            <w:pPr>
              <w:jc w:val="center"/>
            </w:pPr>
            <w:r>
              <w:rPr>
                <w:rFonts w:ascii="Times New Roman" w:hAnsi="Times New Roman"/>
                <w:b/>
                <w:sz w:val="18"/>
              </w:rPr>
              <w:t>Definition</w:t>
            </w:r>
          </w:p>
        </w:tc>
      </w:tr>
      <w:tr>
        <w:tc>
          <w:tcPr>
            <w:tcW w:type="dxa" w:w="4320"/>
          </w:tcPr>
          <w:p>
            <w:pPr>
              <w:jc w:val="center"/>
            </w:pPr>
            <w:r>
              <w:rPr>
                <w:rFonts w:ascii="Times New Roman" w:hAnsi="Times New Roman"/>
                <w:sz w:val="18"/>
              </w:rPr>
              <w:t>appStartup</w:t>
            </w:r>
          </w:p>
        </w:tc>
        <w:tc>
          <w:tcPr>
            <w:tcW w:type="dxa" w:w="4320"/>
          </w:tcPr>
          <w:p>
            <w:pPr>
              <w:jc w:val="center"/>
            </w:pPr>
            <w:r>
              <w:rPr>
                <w:rFonts w:ascii="Times New Roman" w:hAnsi="Times New Roman"/>
                <w:sz w:val="18"/>
              </w:rPr>
              <w:t>Time from WidgetsFlutterBinding initialization to first frame render, decomposed into seven checkpoints (T0–T7).</w:t>
            </w:r>
          </w:p>
        </w:tc>
      </w:tr>
      <w:tr>
        <w:tc>
          <w:tcPr>
            <w:tcW w:type="dxa" w:w="4320"/>
          </w:tcPr>
          <w:p>
            <w:pPr>
              <w:jc w:val="center"/>
            </w:pPr>
            <w:r>
              <w:rPr>
                <w:rFonts w:ascii="Times New Roman" w:hAnsi="Times New Roman"/>
                <w:sz w:val="18"/>
              </w:rPr>
              <w:t>messageDelivery</w:t>
            </w:r>
          </w:p>
        </w:tc>
        <w:tc>
          <w:tcPr>
            <w:tcW w:type="dxa" w:w="4320"/>
          </w:tcPr>
          <w:p>
            <w:pPr>
              <w:jc w:val="center"/>
            </w:pPr>
            <w:r>
              <w:rPr>
                <w:rFonts w:ascii="Times New Roman" w:hAnsi="Times New Roman"/>
                <w:sz w:val="18"/>
              </w:rPr>
              <w:t>End-to-end latency Tresponse = Treceived − Tsent, where Tsent is recorded before HTTP dispatch and Treceived upon Firestore listener callback.</w:t>
            </w:r>
          </w:p>
        </w:tc>
      </w:tr>
      <w:tr>
        <w:tc>
          <w:tcPr>
            <w:tcW w:type="dxa" w:w="4320"/>
          </w:tcPr>
          <w:p>
            <w:pPr>
              <w:jc w:val="center"/>
            </w:pPr>
            <w:r>
              <w:rPr>
                <w:rFonts w:ascii="Times New Roman" w:hAnsi="Times New Roman"/>
                <w:sz w:val="18"/>
              </w:rPr>
              <w:t>messageSort</w:t>
            </w:r>
          </w:p>
        </w:tc>
        <w:tc>
          <w:tcPr>
            <w:tcW w:type="dxa" w:w="4320"/>
          </w:tcPr>
          <w:p>
            <w:pPr>
              <w:jc w:val="center"/>
            </w:pPr>
            <w:r>
              <w:rPr>
                <w:rFonts w:ascii="Times New Roman" w:hAnsi="Times New Roman"/>
                <w:sz w:val="18"/>
              </w:rPr>
              <w:t>Duration of message list insertion: binary search O(log n) and baseline full-sort O(n log n).</w:t>
            </w:r>
          </w:p>
        </w:tc>
      </w:tr>
      <w:tr>
        <w:tc>
          <w:tcPr>
            <w:tcW w:type="dxa" w:w="4320"/>
          </w:tcPr>
          <w:p>
            <w:pPr>
              <w:jc w:val="center"/>
            </w:pPr>
            <w:r>
              <w:rPr>
                <w:rFonts w:ascii="Times New Roman" w:hAnsi="Times New Roman"/>
                <w:sz w:val="18"/>
              </w:rPr>
              <w:t>httpRoundtrip</w:t>
            </w:r>
          </w:p>
        </w:tc>
        <w:tc>
          <w:tcPr>
            <w:tcW w:type="dxa" w:w="4320"/>
          </w:tcPr>
          <w:p>
            <w:pPr>
              <w:jc w:val="center"/>
            </w:pPr>
            <w:r>
              <w:rPr>
                <w:rFonts w:ascii="Times New Roman" w:hAnsi="Times New Roman"/>
                <w:sz w:val="18"/>
              </w:rPr>
              <w:t>HTTP POST round-trip, differentiated by platform path.</w:t>
            </w:r>
          </w:p>
        </w:tc>
      </w:tr>
      <w:tr>
        <w:tc>
          <w:tcPr>
            <w:tcW w:type="dxa" w:w="4320"/>
          </w:tcPr>
          <w:p>
            <w:pPr>
              <w:jc w:val="center"/>
            </w:pPr>
            <w:r>
              <w:rPr>
                <w:rFonts w:ascii="Times New Roman" w:hAnsi="Times New Roman"/>
                <w:sz w:val="18"/>
              </w:rPr>
              <w:t>cacheOperation</w:t>
            </w:r>
          </w:p>
        </w:tc>
        <w:tc>
          <w:tcPr>
            <w:tcW w:type="dxa" w:w="4320"/>
          </w:tcPr>
          <w:p>
            <w:pPr>
              <w:jc w:val="center"/>
            </w:pPr>
            <w:r>
              <w:rPr>
                <w:rFonts w:ascii="Times New Roman" w:hAnsi="Times New Roman"/>
                <w:sz w:val="18"/>
              </w:rPr>
              <w:t>Cache lookup, insertion, and eviction timing.</w:t>
            </w:r>
          </w:p>
        </w:tc>
      </w:tr>
      <w:tr>
        <w:tc>
          <w:tcPr>
            <w:tcW w:type="dxa" w:w="4320"/>
          </w:tcPr>
          <w:p>
            <w:pPr>
              <w:jc w:val="center"/>
            </w:pPr>
            <w:r>
              <w:rPr>
                <w:rFonts w:ascii="Times New Roman" w:hAnsi="Times New Roman"/>
                <w:sz w:val="18"/>
              </w:rPr>
              <w:t>memoryUsage</w:t>
            </w:r>
          </w:p>
        </w:tc>
        <w:tc>
          <w:tcPr>
            <w:tcW w:type="dxa" w:w="4320"/>
          </w:tcPr>
          <w:p>
            <w:pPr>
              <w:jc w:val="center"/>
            </w:pPr>
            <w:r>
              <w:rPr>
                <w:rFonts w:ascii="Times New Roman" w:hAnsi="Times New Roman"/>
                <w:sz w:val="18"/>
              </w:rPr>
              <w:t>Resident Set Size sampled every 5 s via ProcessInfo.currentRss.</w:t>
            </w:r>
          </w:p>
        </w:tc>
      </w:tr>
      <w:tr>
        <w:tc>
          <w:tcPr>
            <w:tcW w:type="dxa" w:w="4320"/>
          </w:tcPr>
          <w:p>
            <w:pPr>
              <w:jc w:val="center"/>
            </w:pPr>
            <w:r>
              <w:rPr>
                <w:rFonts w:ascii="Times New Roman" w:hAnsi="Times New Roman"/>
                <w:sz w:val="18"/>
              </w:rPr>
              <w:t>frameTime</w:t>
            </w:r>
          </w:p>
        </w:tc>
        <w:tc>
          <w:tcPr>
            <w:tcW w:type="dxa" w:w="4320"/>
          </w:tcPr>
          <w:p>
            <w:pPr>
              <w:jc w:val="center"/>
            </w:pPr>
            <w:r>
              <w:rPr>
                <w:rFonts w:ascii="Times New Roman" w:hAnsi="Times New Roman"/>
                <w:sz w:val="18"/>
              </w:rPr>
              <w:t>Per-frame build + raster duration, classified as normal (≤16.67 ms) or jank (&gt;16.67 ms).</w:t>
            </w:r>
          </w:p>
        </w:tc>
      </w:tr>
      <w:tr>
        <w:tc>
          <w:tcPr>
            <w:tcW w:type="dxa" w:w="4320"/>
          </w:tcPr>
          <w:p>
            <w:pPr>
              <w:jc w:val="center"/>
            </w:pPr>
            <w:r>
              <w:rPr>
                <w:rFonts w:ascii="Times New Roman" w:hAnsi="Times New Roman"/>
                <w:sz w:val="18"/>
              </w:rPr>
              <w:t>linkPreview</w:t>
            </w:r>
          </w:p>
        </w:tc>
        <w:tc>
          <w:tcPr>
            <w:tcW w:type="dxa" w:w="4320"/>
          </w:tcPr>
          <w:p>
            <w:pPr>
              <w:jc w:val="center"/>
            </w:pPr>
            <w:r>
              <w:rPr>
                <w:rFonts w:ascii="Times New Roman" w:hAnsi="Times New Roman"/>
                <w:sz w:val="18"/>
              </w:rPr>
              <w:t>Duration of isolate-based HTML parsing for link preview generation.</w:t>
            </w:r>
          </w:p>
        </w:tc>
      </w:tr>
    </w:tbl>
    <w:p/>
    <w:p>
      <w:pPr>
        <w:jc w:val="center"/>
      </w:pPr>
      <w:r>
        <w:rPr>
          <w:rFonts w:ascii="Times New Roman" w:hAnsi="Times New Roman"/>
          <w:b/>
          <w:sz w:val="18"/>
        </w:rPr>
        <w:t>TABLE III</w:t>
        <w:br/>
        <w:t>APPLICATION STARTUP CHECKPOINTS</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pPr>
              <w:jc w:val="center"/>
            </w:pPr>
            <w:r>
              <w:rPr>
                <w:rFonts w:ascii="Times New Roman" w:hAnsi="Times New Roman"/>
                <w:b/>
                <w:sz w:val="18"/>
              </w:rPr>
              <w:t>ID</w:t>
            </w:r>
          </w:p>
        </w:tc>
        <w:tc>
          <w:tcPr>
            <w:tcW w:type="dxa" w:w="2880"/>
            <w:shd w:fill="D9E2F3" w:val="clear"/>
          </w:tcPr>
          <w:p>
            <w:pPr>
              <w:jc w:val="center"/>
            </w:pPr>
            <w:r>
              <w:rPr>
                <w:rFonts w:ascii="Times New Roman" w:hAnsi="Times New Roman"/>
                <w:b/>
                <w:sz w:val="18"/>
              </w:rPr>
              <w:t>Event</w:t>
            </w:r>
          </w:p>
        </w:tc>
        <w:tc>
          <w:tcPr>
            <w:tcW w:type="dxa" w:w="2880"/>
            <w:shd w:fill="D9E2F3" w:val="clear"/>
          </w:tcPr>
          <w:p>
            <w:pPr>
              <w:jc w:val="center"/>
            </w:pPr>
            <w:r>
              <w:rPr>
                <w:rFonts w:ascii="Times New Roman" w:hAnsi="Times New Roman"/>
                <w:b/>
                <w:sz w:val="18"/>
              </w:rPr>
              <w:t>Measures</w:t>
            </w:r>
          </w:p>
        </w:tc>
      </w:tr>
      <w:tr>
        <w:tc>
          <w:tcPr>
            <w:tcW w:type="dxa" w:w="2880"/>
          </w:tcPr>
          <w:p>
            <w:pPr>
              <w:jc w:val="center"/>
            </w:pPr>
            <w:r>
              <w:rPr>
                <w:rFonts w:ascii="Times New Roman" w:hAnsi="Times New Roman"/>
                <w:sz w:val="18"/>
              </w:rPr>
              <w:t>T0</w:t>
            </w:r>
          </w:p>
        </w:tc>
        <w:tc>
          <w:tcPr>
            <w:tcW w:type="dxa" w:w="2880"/>
          </w:tcPr>
          <w:p>
            <w:pPr>
              <w:jc w:val="center"/>
            </w:pPr>
            <w:r>
              <w:rPr>
                <w:rFonts w:ascii="Times New Roman" w:hAnsi="Times New Roman"/>
                <w:sz w:val="18"/>
              </w:rPr>
              <w:t>ensureInitialized()</w:t>
            </w:r>
          </w:p>
        </w:tc>
        <w:tc>
          <w:tcPr>
            <w:tcW w:type="dxa" w:w="2880"/>
          </w:tcPr>
          <w:p>
            <w:pPr>
              <w:jc w:val="center"/>
            </w:pPr>
            <w:r>
              <w:rPr>
                <w:rFonts w:ascii="Times New Roman" w:hAnsi="Times New Roman"/>
                <w:sz w:val="18"/>
              </w:rPr>
              <w:t>Absolute start</w:t>
            </w:r>
          </w:p>
        </w:tc>
      </w:tr>
      <w:tr>
        <w:tc>
          <w:tcPr>
            <w:tcW w:type="dxa" w:w="2880"/>
          </w:tcPr>
          <w:p>
            <w:pPr>
              <w:jc w:val="center"/>
            </w:pPr>
            <w:r>
              <w:rPr>
                <w:rFonts w:ascii="Times New Roman" w:hAnsi="Times New Roman"/>
                <w:sz w:val="18"/>
              </w:rPr>
              <w:t>T1</w:t>
            </w:r>
          </w:p>
        </w:tc>
        <w:tc>
          <w:tcPr>
            <w:tcW w:type="dxa" w:w="2880"/>
          </w:tcPr>
          <w:p>
            <w:pPr>
              <w:jc w:val="center"/>
            </w:pPr>
            <w:r>
              <w:rPr>
                <w:rFonts w:ascii="Times New Roman" w:hAnsi="Times New Roman"/>
                <w:sz w:val="18"/>
              </w:rPr>
              <w:t>Platform optimizations</w:t>
            </w:r>
          </w:p>
        </w:tc>
        <w:tc>
          <w:tcPr>
            <w:tcW w:type="dxa" w:w="2880"/>
          </w:tcPr>
          <w:p>
            <w:pPr>
              <w:jc w:val="center"/>
            </w:pPr>
            <w:r>
              <w:rPr>
                <w:rFonts w:ascii="Times New Roman" w:hAnsi="Times New Roman"/>
                <w:sz w:val="18"/>
              </w:rPr>
              <w:t>iOS/Android init</w:t>
            </w:r>
          </w:p>
        </w:tc>
      </w:tr>
      <w:tr>
        <w:tc>
          <w:tcPr>
            <w:tcW w:type="dxa" w:w="2880"/>
          </w:tcPr>
          <w:p>
            <w:pPr>
              <w:jc w:val="center"/>
            </w:pPr>
            <w:r>
              <w:rPr>
                <w:rFonts w:ascii="Times New Roman" w:hAnsi="Times New Roman"/>
                <w:sz w:val="18"/>
              </w:rPr>
              <w:t>T2</w:t>
            </w:r>
          </w:p>
        </w:tc>
        <w:tc>
          <w:tcPr>
            <w:tcW w:type="dxa" w:w="2880"/>
          </w:tcPr>
          <w:p>
            <w:pPr>
              <w:jc w:val="center"/>
            </w:pPr>
            <w:r>
              <w:rPr>
                <w:rFonts w:ascii="Times New Roman" w:hAnsi="Times New Roman"/>
                <w:sz w:val="18"/>
              </w:rPr>
              <w:t>dotenv.load()</w:t>
            </w:r>
          </w:p>
        </w:tc>
        <w:tc>
          <w:tcPr>
            <w:tcW w:type="dxa" w:w="2880"/>
          </w:tcPr>
          <w:p>
            <w:pPr>
              <w:jc w:val="center"/>
            </w:pPr>
            <w:r>
              <w:rPr>
                <w:rFonts w:ascii="Times New Roman" w:hAnsi="Times New Roman"/>
                <w:sz w:val="18"/>
              </w:rPr>
              <w:t>Environment config</w:t>
            </w:r>
          </w:p>
        </w:tc>
      </w:tr>
      <w:tr>
        <w:tc>
          <w:tcPr>
            <w:tcW w:type="dxa" w:w="2880"/>
          </w:tcPr>
          <w:p>
            <w:pPr>
              <w:jc w:val="center"/>
            </w:pPr>
            <w:r>
              <w:rPr>
                <w:rFonts w:ascii="Times New Roman" w:hAnsi="Times New Roman"/>
                <w:sz w:val="18"/>
              </w:rPr>
              <w:t>T3</w:t>
            </w:r>
          </w:p>
        </w:tc>
        <w:tc>
          <w:tcPr>
            <w:tcW w:type="dxa" w:w="2880"/>
          </w:tcPr>
          <w:p>
            <w:pPr>
              <w:jc w:val="center"/>
            </w:pPr>
            <w:r>
              <w:rPr>
                <w:rFonts w:ascii="Times New Roman" w:hAnsi="Times New Roman"/>
                <w:sz w:val="18"/>
              </w:rPr>
              <w:t>Firebase.initializeApp()</w:t>
            </w:r>
          </w:p>
        </w:tc>
        <w:tc>
          <w:tcPr>
            <w:tcW w:type="dxa" w:w="2880"/>
          </w:tcPr>
          <w:p>
            <w:pPr>
              <w:jc w:val="center"/>
            </w:pPr>
            <w:r>
              <w:rPr>
                <w:rFonts w:ascii="Times New Roman" w:hAnsi="Times New Roman"/>
                <w:sz w:val="18"/>
              </w:rPr>
              <w:t>Firebase core init</w:t>
            </w:r>
          </w:p>
        </w:tc>
      </w:tr>
      <w:tr>
        <w:tc>
          <w:tcPr>
            <w:tcW w:type="dxa" w:w="2880"/>
          </w:tcPr>
          <w:p>
            <w:pPr>
              <w:jc w:val="center"/>
            </w:pPr>
            <w:r>
              <w:rPr>
                <w:rFonts w:ascii="Times New Roman" w:hAnsi="Times New Roman"/>
                <w:sz w:val="18"/>
              </w:rPr>
              <w:t>T4</w:t>
            </w:r>
          </w:p>
        </w:tc>
        <w:tc>
          <w:tcPr>
            <w:tcW w:type="dxa" w:w="2880"/>
          </w:tcPr>
          <w:p>
            <w:pPr>
              <w:jc w:val="center"/>
            </w:pPr>
            <w:r>
              <w:rPr>
                <w:rFonts w:ascii="Times New Roman" w:hAnsi="Times New Roman"/>
                <w:sz w:val="18"/>
              </w:rPr>
              <w:t>AppCheck.activate()</w:t>
            </w:r>
          </w:p>
        </w:tc>
        <w:tc>
          <w:tcPr>
            <w:tcW w:type="dxa" w:w="2880"/>
          </w:tcPr>
          <w:p>
            <w:pPr>
              <w:jc w:val="center"/>
            </w:pPr>
            <w:r>
              <w:rPr>
                <w:rFonts w:ascii="Times New Roman" w:hAnsi="Times New Roman"/>
                <w:sz w:val="18"/>
              </w:rPr>
              <w:t>Security attestation</w:t>
            </w:r>
          </w:p>
        </w:tc>
      </w:tr>
      <w:tr>
        <w:tc>
          <w:tcPr>
            <w:tcW w:type="dxa" w:w="2880"/>
          </w:tcPr>
          <w:p>
            <w:pPr>
              <w:jc w:val="center"/>
            </w:pPr>
            <w:r>
              <w:rPr>
                <w:rFonts w:ascii="Times New Roman" w:hAnsi="Times New Roman"/>
                <w:sz w:val="18"/>
              </w:rPr>
              <w:t>T5</w:t>
            </w:r>
          </w:p>
        </w:tc>
        <w:tc>
          <w:tcPr>
            <w:tcW w:type="dxa" w:w="2880"/>
          </w:tcPr>
          <w:p>
            <w:pPr>
              <w:jc w:val="center"/>
            </w:pPr>
            <w:r>
              <w:rPr>
                <w:rFonts w:ascii="Times New Roman" w:hAnsi="Times New Roman"/>
                <w:sz w:val="18"/>
              </w:rPr>
              <w:t>AppCacheManager.init()</w:t>
            </w:r>
          </w:p>
        </w:tc>
        <w:tc>
          <w:tcPr>
            <w:tcW w:type="dxa" w:w="2880"/>
          </w:tcPr>
          <w:p>
            <w:pPr>
              <w:jc w:val="center"/>
            </w:pPr>
            <w:r>
              <w:rPr>
                <w:rFonts w:ascii="Times New Roman" w:hAnsi="Times New Roman"/>
                <w:sz w:val="18"/>
              </w:rPr>
              <w:t>Cache manager setup</w:t>
            </w:r>
          </w:p>
        </w:tc>
      </w:tr>
      <w:tr>
        <w:tc>
          <w:tcPr>
            <w:tcW w:type="dxa" w:w="2880"/>
          </w:tcPr>
          <w:p>
            <w:pPr>
              <w:jc w:val="center"/>
            </w:pPr>
            <w:r>
              <w:rPr>
                <w:rFonts w:ascii="Times New Roman" w:hAnsi="Times New Roman"/>
                <w:sz w:val="18"/>
              </w:rPr>
              <w:t>T6</w:t>
            </w:r>
          </w:p>
        </w:tc>
        <w:tc>
          <w:tcPr>
            <w:tcW w:type="dxa" w:w="2880"/>
          </w:tcPr>
          <w:p>
            <w:pPr>
              <w:jc w:val="center"/>
            </w:pPr>
            <w:r>
              <w:rPr>
                <w:rFonts w:ascii="Times New Roman" w:hAnsi="Times New Roman"/>
                <w:sz w:val="18"/>
              </w:rPr>
              <w:t>getFcmToken()</w:t>
            </w:r>
          </w:p>
        </w:tc>
        <w:tc>
          <w:tcPr>
            <w:tcW w:type="dxa" w:w="2880"/>
          </w:tcPr>
          <w:p>
            <w:pPr>
              <w:jc w:val="center"/>
            </w:pPr>
            <w:r>
              <w:rPr>
                <w:rFonts w:ascii="Times New Roman" w:hAnsi="Times New Roman"/>
                <w:sz w:val="18"/>
              </w:rPr>
              <w:t>Push notification token</w:t>
            </w:r>
          </w:p>
        </w:tc>
      </w:tr>
      <w:tr>
        <w:tc>
          <w:tcPr>
            <w:tcW w:type="dxa" w:w="2880"/>
          </w:tcPr>
          <w:p>
            <w:pPr>
              <w:jc w:val="center"/>
            </w:pPr>
            <w:r>
              <w:rPr>
                <w:rFonts w:ascii="Times New Roman" w:hAnsi="Times New Roman"/>
                <w:sz w:val="18"/>
              </w:rPr>
              <w:t>T7</w:t>
            </w:r>
          </w:p>
        </w:tc>
        <w:tc>
          <w:tcPr>
            <w:tcW w:type="dxa" w:w="2880"/>
          </w:tcPr>
          <w:p>
            <w:pPr>
              <w:jc w:val="center"/>
            </w:pPr>
            <w:r>
              <w:rPr>
                <w:rFonts w:ascii="Times New Roman" w:hAnsi="Times New Roman"/>
                <w:sz w:val="18"/>
              </w:rPr>
              <w:t>First frame callback</w:t>
            </w:r>
          </w:p>
        </w:tc>
        <w:tc>
          <w:tcPr>
            <w:tcW w:type="dxa" w:w="2880"/>
          </w:tcPr>
          <w:p>
            <w:pPr>
              <w:jc w:val="center"/>
            </w:pPr>
            <w:r>
              <w:rPr>
                <w:rFonts w:ascii="Times New Roman" w:hAnsi="Times New Roman"/>
                <w:sz w:val="18"/>
              </w:rPr>
              <w:t>UI ready</w:t>
            </w:r>
          </w:p>
        </w:tc>
      </w:tr>
    </w:tbl>
    <w:p/>
    <w:p>
      <w:pPr>
        <w:pStyle w:val="Heading2"/>
      </w:pPr>
      <w:r>
        <w:rPr>
          <w:rFonts w:ascii="Times New Roman" w:hAnsi="Times New Roman"/>
          <w:sz w:val="20"/>
        </w:rPr>
        <w:t>B. Startup Timing Checkpoints</w:t>
      </w:r>
    </w:p>
    <w:p>
      <w:pPr>
        <w:jc w:val="both"/>
      </w:pPr>
      <w:r>
        <w:t>Cold-start time is split into seven checkpoints, timed with Dart's monotonic Stopwatch to avoid NTP clock correction artifacts. Table III lists each checkpoint.</w:t>
      </w:r>
    </w:p>
    <w:p>
      <w:pPr>
        <w:jc w:val="both"/>
      </w:pPr>
      <w:r>
        <w:t>Total startup time is Tstartup = T7−T0. Each sub-interval (Ti+1 − Ti) identifies the dominant contributor to startup latency. Fig. 4 visualizes the checkpoint sequence; the shaded regions indicate the phases expected to dominate on physical devices.</w:t>
      </w:r>
    </w:p>
    <w:p>
      <w:pPr>
        <w:pStyle w:val="Heading2"/>
      </w:pPr>
      <w:r>
        <w:rPr>
          <w:rFonts w:ascii="Times New Roman" w:hAnsi="Times New Roman"/>
          <w:sz w:val="20"/>
        </w:rPr>
        <w:t>C. Message Delivery Latency (Tresponse)</w:t>
      </w:r>
    </w:p>
    <w:p>
      <w:pPr>
        <w:jc w:val="both"/>
      </w:pPr>
      <w:r>
        <w:t>Tresponse measures the time from message dispatch to server response receipt:</w:t>
      </w:r>
    </w:p>
    <w:p>
      <w:pPr>
        <w:jc w:val="center"/>
      </w:pPr>
      <w:r>
        <w:rPr>
          <w:i/>
          <w:sz w:val="20"/>
        </w:rPr>
        <w:t>Tresponse = Treceived − Tsent</w:t>
      </w:r>
      <w:r>
        <w:rPr>
          <w:sz w:val="20"/>
        </w:rPr>
        <w:t xml:space="preserve">                    (1)</w:t>
      </w:r>
    </w:p>
    <w:p>
      <w:pPr>
        <w:jc w:val="both"/>
      </w:pPr>
      <w:r>
        <w:t>Tsent is recorded just before HttpMessageService.sendToServer() and Treceived when the Firestore listener receives the server's response document matching the original message UUID. This captures the full round-trip: HTTP transport, server processing, Firestore write, and real-time sync back to the client. We also record doc.metadata.isFromCache to separate cache-served responses from server-fetched responses.</w:t>
      </w:r>
    </w:p>
    <w:p>
      <w:pPr>
        <w:pStyle w:val="Heading2"/>
      </w:pPr>
      <w:r>
        <w:rPr>
          <w:rFonts w:ascii="Times New Roman" w:hAnsi="Times New Roman"/>
          <w:sz w:val="20"/>
        </w:rPr>
        <w:t>D. Execution Environment</w:t>
      </w:r>
    </w:p>
    <w:p>
      <w:pPr>
        <w:jc w:val="both"/>
      </w:pPr>
      <w:r>
        <w:t>The sorting and cache benchmarks reported in Section V run on the Dart VM (macOS, Apple Silicon M1, Dart 3.10.7) using Flutter's integration_test framework. Each benchmark invokes the same production code paths that the mobile application uses at runtime. Collected SQLite databases are exported and processed through R and Python analysis scripts. On-device validation on physical Android and iOS hardware, including end-to-end message delivery latency under Firebase backend load following the testbed methodology of Inupakutika et al. [7], is left for future work.</w:t>
      </w:r>
    </w:p>
    <w:p>
      <w:pPr>
        <w:pStyle w:val="Heading2"/>
      </w:pPr>
      <w:r>
        <w:rPr>
          <w:rFonts w:ascii="Times New Roman" w:hAnsi="Times New Roman"/>
          <w:sz w:val="20"/>
        </w:rPr>
        <w:t>E. Experiment Configurations</w:t>
      </w:r>
    </w:p>
    <w:p>
      <w:pPr>
        <w:jc w:val="both"/>
      </w:pPr>
      <w:r>
        <w:t>Table IV summarizes the experimental configurations. Each configuration runs 50 times with 10 additional warm-up iterations (discarded) to stabilize JIT compilation variance on the Dart VM. The n=50 sample size exceeds CLT requirements and provides tighter confidence intervals than the minimum n=30.</w:t>
      </w:r>
    </w:p>
    <w:p>
      <w:pPr>
        <w:jc w:val="center"/>
      </w:pPr>
      <w:r>
        <w:rPr>
          <w:rFonts w:ascii="Times New Roman" w:hAnsi="Times New Roman"/>
          <w:b/>
          <w:sz w:val="18"/>
        </w:rPr>
        <w:t>TABLE IV</w:t>
        <w:br/>
        <w:t>EXPERIMENT CONFIGURATION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rFonts w:ascii="Times New Roman" w:hAnsi="Times New Roman"/>
                <w:b/>
                <w:sz w:val="18"/>
              </w:rPr>
              <w:t>Experiment</w:t>
            </w:r>
          </w:p>
        </w:tc>
        <w:tc>
          <w:tcPr>
            <w:tcW w:type="dxa" w:w="2160"/>
            <w:shd w:fill="D9E2F3" w:val="clear"/>
          </w:tcPr>
          <w:p>
            <w:pPr>
              <w:jc w:val="center"/>
            </w:pPr>
            <w:r>
              <w:rPr>
                <w:rFonts w:ascii="Times New Roman" w:hAnsi="Times New Roman"/>
                <w:b/>
                <w:sz w:val="18"/>
              </w:rPr>
              <w:t>Configs</w:t>
            </w:r>
          </w:p>
        </w:tc>
        <w:tc>
          <w:tcPr>
            <w:tcW w:type="dxa" w:w="2160"/>
            <w:shd w:fill="D9E2F3" w:val="clear"/>
          </w:tcPr>
          <w:p>
            <w:pPr>
              <w:jc w:val="center"/>
            </w:pPr>
            <w:r>
              <w:rPr>
                <w:rFonts w:ascii="Times New Roman" w:hAnsi="Times New Roman"/>
                <w:b/>
                <w:sz w:val="18"/>
              </w:rPr>
              <w:t>Runs</w:t>
            </w:r>
          </w:p>
        </w:tc>
        <w:tc>
          <w:tcPr>
            <w:tcW w:type="dxa" w:w="2160"/>
            <w:shd w:fill="D9E2F3" w:val="clear"/>
          </w:tcPr>
          <w:p>
            <w:pPr>
              <w:jc w:val="center"/>
            </w:pPr>
            <w:r>
              <w:rPr>
                <w:rFonts w:ascii="Times New Roman" w:hAnsi="Times New Roman"/>
                <w:b/>
                <w:sz w:val="18"/>
              </w:rPr>
              <w:t>Total</w:t>
            </w:r>
          </w:p>
        </w:tc>
      </w:tr>
      <w:tr>
        <w:tc>
          <w:tcPr>
            <w:tcW w:type="dxa" w:w="2160"/>
          </w:tcPr>
          <w:p>
            <w:pPr>
              <w:jc w:val="center"/>
            </w:pPr>
            <w:r>
              <w:rPr>
                <w:rFonts w:ascii="Times New Roman" w:hAnsi="Times New Roman"/>
                <w:sz w:val="18"/>
              </w:rPr>
              <w:t>Sorting Scalability</w:t>
            </w:r>
          </w:p>
        </w:tc>
        <w:tc>
          <w:tcPr>
            <w:tcW w:type="dxa" w:w="2160"/>
          </w:tcPr>
          <w:p>
            <w:pPr>
              <w:jc w:val="center"/>
            </w:pPr>
            <w:r>
              <w:rPr>
                <w:rFonts w:ascii="Times New Roman" w:hAnsi="Times New Roman"/>
                <w:sz w:val="18"/>
              </w:rPr>
              <w:t>10</w:t>
            </w:r>
          </w:p>
        </w:tc>
        <w:tc>
          <w:tcPr>
            <w:tcW w:type="dxa" w:w="2160"/>
          </w:tcPr>
          <w:p>
            <w:pPr>
              <w:jc w:val="center"/>
            </w:pPr>
            <w:r>
              <w:rPr>
                <w:rFonts w:ascii="Times New Roman" w:hAnsi="Times New Roman"/>
                <w:sz w:val="18"/>
              </w:rPr>
              <w:t>50</w:t>
            </w:r>
          </w:p>
        </w:tc>
        <w:tc>
          <w:tcPr>
            <w:tcW w:type="dxa" w:w="2160"/>
          </w:tcPr>
          <w:p>
            <w:pPr>
              <w:jc w:val="center"/>
            </w:pPr>
            <w:r>
              <w:rPr>
                <w:rFonts w:ascii="Times New Roman" w:hAnsi="Times New Roman"/>
                <w:sz w:val="18"/>
              </w:rPr>
              <w:t>500</w:t>
            </w:r>
          </w:p>
        </w:tc>
      </w:tr>
      <w:tr>
        <w:tc>
          <w:tcPr>
            <w:tcW w:type="dxa" w:w="2160"/>
          </w:tcPr>
          <w:p>
            <w:pPr>
              <w:jc w:val="center"/>
            </w:pPr>
            <w:r>
              <w:rPr>
                <w:rFonts w:ascii="Times New Roman" w:hAnsi="Times New Roman"/>
                <w:sz w:val="18"/>
              </w:rPr>
              <w:t>App Startup</w:t>
            </w:r>
          </w:p>
        </w:tc>
        <w:tc>
          <w:tcPr>
            <w:tcW w:type="dxa" w:w="2160"/>
          </w:tcPr>
          <w:p>
            <w:pPr>
              <w:jc w:val="center"/>
            </w:pPr>
            <w:r>
              <w:rPr>
                <w:rFonts w:ascii="Times New Roman" w:hAnsi="Times New Roman"/>
                <w:sz w:val="18"/>
              </w:rPr>
              <w:t>4</w:t>
            </w:r>
          </w:p>
        </w:tc>
        <w:tc>
          <w:tcPr>
            <w:tcW w:type="dxa" w:w="2160"/>
          </w:tcPr>
          <w:p>
            <w:pPr>
              <w:jc w:val="center"/>
            </w:pPr>
            <w:r>
              <w:rPr>
                <w:rFonts w:ascii="Times New Roman" w:hAnsi="Times New Roman"/>
                <w:sz w:val="18"/>
              </w:rPr>
              <w:t>50</w:t>
            </w:r>
          </w:p>
        </w:tc>
        <w:tc>
          <w:tcPr>
            <w:tcW w:type="dxa" w:w="2160"/>
          </w:tcPr>
          <w:p>
            <w:pPr>
              <w:jc w:val="center"/>
            </w:pPr>
            <w:r>
              <w:rPr>
                <w:rFonts w:ascii="Times New Roman" w:hAnsi="Times New Roman"/>
                <w:sz w:val="18"/>
              </w:rPr>
              <w:t>200</w:t>
            </w:r>
          </w:p>
        </w:tc>
      </w:tr>
      <w:tr>
        <w:tc>
          <w:tcPr>
            <w:tcW w:type="dxa" w:w="2160"/>
          </w:tcPr>
          <w:p>
            <w:pPr>
              <w:jc w:val="center"/>
            </w:pPr>
            <w:r>
              <w:rPr>
                <w:rFonts w:ascii="Times New Roman" w:hAnsi="Times New Roman"/>
                <w:sz w:val="18"/>
              </w:rPr>
              <w:t>Total</w:t>
            </w:r>
          </w:p>
        </w:tc>
        <w:tc>
          <w:tcPr>
            <w:tcW w:type="dxa" w:w="2160"/>
          </w:tcPr>
          <w:p>
            <w:pPr>
              <w:jc w:val="center"/>
            </w:pPr>
            <w:r>
              <w:rPr>
                <w:rFonts w:ascii="Times New Roman" w:hAnsi="Times New Roman"/>
                <w:sz w:val="18"/>
              </w:rPr>
              <w:t>14</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t>700</w:t>
            </w:r>
          </w:p>
        </w:tc>
      </w:tr>
    </w:tbl>
    <w:p/>
    <w:p>
      <w:pPr>
        <w:pStyle w:val="Heading2"/>
      </w:pPr>
      <w:r>
        <w:rPr>
          <w:rFonts w:ascii="Times New Roman" w:hAnsi="Times New Roman"/>
          <w:sz w:val="20"/>
        </w:rPr>
        <w:t>F. Statistical Methods</w:t>
      </w:r>
    </w:p>
    <w:p>
      <w:pPr>
        <w:jc w:val="both"/>
      </w:pPr>
      <w:r>
        <w:t>All statistical analyses follow Inupakutika et al. [7]. Descriptive statistics include mean, standard deviation, median, min, max, and skewness for each configuration.</w:t>
      </w:r>
    </w:p>
    <w:p>
      <w:pPr>
        <w:jc w:val="both"/>
      </w:pPr>
      <w:r>
        <w:t>We compute 95% confidence intervals as:</w:t>
      </w:r>
    </w:p>
    <w:p>
      <w:pPr>
        <w:jc w:val="center"/>
      </w:pPr>
      <w:r>
        <w:rPr>
          <w:i/>
          <w:sz w:val="20"/>
        </w:rPr>
        <w:t>CI = x̄ ± t</w:t>
      </w:r>
      <w:r>
        <w:rPr>
          <w:sz w:val="14"/>
          <w:vertAlign w:val="subscript"/>
        </w:rPr>
        <w:t>0.025, n−1</w:t>
      </w:r>
      <w:r>
        <w:rPr>
          <w:i/>
          <w:sz w:val="20"/>
        </w:rPr>
        <w:t xml:space="preserve"> · s/√n</w:t>
      </w:r>
      <w:r>
        <w:rPr>
          <w:sz w:val="20"/>
        </w:rPr>
        <w:t xml:space="preserve">                    (2)</w:t>
      </w:r>
    </w:p>
    <w:p>
      <w:pPr>
        <w:jc w:val="both"/>
      </w:pPr>
      <w:r>
        <w:t>where x̄ is the sample mean, s the sample standard deviation (with Bessel's correction), and t0.025, n−1 the critical value from Student's t-distribution with n−1 degrees of freedom. With n = 50 per configuration, t0.025, 49 = 2.010.</w:t>
      </w:r>
    </w:p>
    <w:p>
      <w:pPr>
        <w:jc w:val="both"/>
      </w:pPr>
      <w:r>
        <w:t>Normality testing uses the Shapiro-Wilk test (α = 0.05). If normality holds, one-way or multiway ANOVA tests for significant group differences; otherwise Kruskal-Wallis replaces ANOVA. When ANOVA rejects H0 (p &lt; 0.05), Tukey HSD identifies which pairs differ. For non-parametric cases, pairwise Wilcoxon rank-sum tests with Holm correction are used.</w:t>
      </w:r>
    </w:p>
    <w:p>
      <w:pPr>
        <w:pStyle w:val="Heading1"/>
        <w:jc w:val="center"/>
      </w:pPr>
      <w:r>
        <w:rPr>
          <w:rFonts w:ascii="Times New Roman" w:hAnsi="Times New Roman"/>
          <w:b/>
          <w:sz w:val="22"/>
        </w:rPr>
        <w:t>V. RESULTS</w:t>
      </w:r>
    </w:p>
    <w:p>
      <w:pPr>
        <w:jc w:val="both"/>
      </w:pPr>
      <w:r>
        <w:t>All benchmarks were executed on the host Dart VM (macOS, Apple Silicon M1, Dart 3.10.7). Each of the 29 configurations was run 50 times (n = 50) following 10 warm-up iterations discarded to stabilize JIT compilation. We report means, medians, 95th percentiles, and 95% confidence intervals computed using Equation 2.</w:t>
      </w:r>
    </w:p>
    <w:p>
      <w:pPr>
        <w:pStyle w:val="Heading2"/>
      </w:pPr>
      <w:r>
        <w:rPr>
          <w:rFonts w:ascii="Times New Roman" w:hAnsi="Times New Roman"/>
          <w:sz w:val="20"/>
        </w:rPr>
        <w:t>A. Message Sorting Scalability</w:t>
      </w:r>
    </w:p>
    <w:p>
      <w:pPr>
        <w:jc w:val="center"/>
      </w:pPr>
      <w:r>
        <w:rPr>
          <w:rFonts w:ascii="Times New Roman" w:hAnsi="Times New Roman"/>
          <w:b/>
          <w:sz w:val="18"/>
        </w:rPr>
        <w:t>TABLE V</w:t>
        <w:br/>
        <w:t>MESSAGE SORTING LATENCY (n = 50, VALUES IN µS)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Pr>
                <w:rFonts w:ascii="Times New Roman" w:hAnsi="Times New Roman"/>
                <w:b/>
                <w:sz w:val="18"/>
              </w:rPr>
              <w:t>N</w:t>
            </w:r>
          </w:p>
        </w:tc>
        <w:tc>
          <w:tcPr>
            <w:tcW w:type="dxa" w:w="1440"/>
            <w:shd w:fill="D9E2F3" w:val="clear"/>
          </w:tcPr>
          <w:p>
            <w:pPr>
              <w:jc w:val="center"/>
            </w:pPr>
            <w:r>
              <w:rPr>
                <w:rFonts w:ascii="Times New Roman" w:hAnsi="Times New Roman"/>
                <w:b/>
                <w:sz w:val="18"/>
              </w:rPr>
              <w:t>Method</w:t>
            </w:r>
          </w:p>
        </w:tc>
        <w:tc>
          <w:tcPr>
            <w:tcW w:type="dxa" w:w="1440"/>
            <w:shd w:fill="D9E2F3" w:val="clear"/>
          </w:tcPr>
          <w:p>
            <w:pPr>
              <w:jc w:val="center"/>
            </w:pPr>
            <w:r>
              <w:rPr>
                <w:rFonts w:ascii="Times New Roman" w:hAnsi="Times New Roman"/>
                <w:b/>
                <w:sz w:val="18"/>
              </w:rPr>
              <w:t>Mean</w:t>
            </w:r>
          </w:p>
        </w:tc>
        <w:tc>
          <w:tcPr>
            <w:tcW w:type="dxa" w:w="1440"/>
            <w:shd w:fill="D9E2F3" w:val="clear"/>
          </w:tcPr>
          <w:p>
            <w:pPr>
              <w:jc w:val="center"/>
            </w:pPr>
            <w:r>
              <w:rPr>
                <w:rFonts w:ascii="Times New Roman" w:hAnsi="Times New Roman"/>
                <w:b/>
                <w:sz w:val="18"/>
              </w:rPr>
              <w:t>Med.</w:t>
            </w:r>
          </w:p>
        </w:tc>
        <w:tc>
          <w:tcPr>
            <w:tcW w:type="dxa" w:w="1440"/>
            <w:shd w:fill="D9E2F3" w:val="clear"/>
          </w:tcPr>
          <w:p>
            <w:pPr>
              <w:jc w:val="center"/>
            </w:pPr>
            <w:r>
              <w:rPr>
                <w:rFonts w:ascii="Times New Roman" w:hAnsi="Times New Roman"/>
                <w:b/>
                <w:sz w:val="18"/>
              </w:rPr>
              <w:t>P95</w:t>
            </w:r>
          </w:p>
        </w:tc>
        <w:tc>
          <w:tcPr>
            <w:tcW w:type="dxa" w:w="1440"/>
            <w:shd w:fill="D9E2F3" w:val="clear"/>
          </w:tcPr>
          <w:p>
            <w:pPr>
              <w:jc w:val="center"/>
            </w:pPr>
            <w:r>
              <w:rPr>
                <w:rFonts w:ascii="Times New Roman" w:hAnsi="Times New Roman"/>
                <w:b/>
                <w:sz w:val="18"/>
              </w:rPr>
              <w:t>95% CI</w:t>
            </w:r>
          </w:p>
        </w:tc>
      </w:tr>
      <w:tr>
        <w:tc>
          <w:tcPr>
            <w:tcW w:type="dxa" w:w="1440"/>
          </w:tcPr>
          <w:p>
            <w:pPr>
              <w:jc w:val="center"/>
            </w:pPr>
            <w:r>
              <w:rPr>
                <w:rFonts w:ascii="Times New Roman" w:hAnsi="Times New Roman"/>
                <w:sz w:val="18"/>
              </w:rPr>
              <w:t>10</w:t>
            </w:r>
          </w:p>
        </w:tc>
        <w:tc>
          <w:tcPr>
            <w:tcW w:type="dxa" w:w="1440"/>
          </w:tcPr>
          <w:p>
            <w:pPr>
              <w:jc w:val="center"/>
            </w:pPr>
            <w:r>
              <w:rPr>
                <w:rFonts w:ascii="Times New Roman" w:hAnsi="Times New Roman"/>
                <w:sz w:val="18"/>
              </w:rPr>
              <w:t>Bin. Insert</w:t>
            </w:r>
          </w:p>
        </w:tc>
        <w:tc>
          <w:tcPr>
            <w:tcW w:type="dxa" w:w="1440"/>
          </w:tcPr>
          <w:p>
            <w:pPr>
              <w:jc w:val="center"/>
            </w:pPr>
            <w:r>
              <w:rPr>
                <w:rFonts w:ascii="Times New Roman" w:hAnsi="Times New Roman"/>
                <w:sz w:val="18"/>
              </w:rPr>
              <w:t>4.5</w:t>
            </w:r>
          </w:p>
        </w:tc>
        <w:tc>
          <w:tcPr>
            <w:tcW w:type="dxa" w:w="1440"/>
          </w:tcPr>
          <w:p>
            <w:pPr>
              <w:jc w:val="center"/>
            </w:pPr>
            <w:r>
              <w:rPr>
                <w:rFonts w:ascii="Times New Roman" w:hAnsi="Times New Roman"/>
                <w:sz w:val="18"/>
              </w:rPr>
              <w:t>3.0</w:t>
            </w:r>
          </w:p>
        </w:tc>
        <w:tc>
          <w:tcPr>
            <w:tcW w:type="dxa" w:w="1440"/>
          </w:tcPr>
          <w:p>
            <w:pPr>
              <w:jc w:val="center"/>
            </w:pPr>
            <w:r>
              <w:rPr>
                <w:rFonts w:ascii="Times New Roman" w:hAnsi="Times New Roman"/>
                <w:sz w:val="18"/>
              </w:rPr>
              <w:t>12.0</w:t>
            </w:r>
          </w:p>
        </w:tc>
        <w:tc>
          <w:tcPr>
            <w:tcW w:type="dxa" w:w="1440"/>
          </w:tcPr>
          <w:p>
            <w:pPr>
              <w:jc w:val="center"/>
            </w:pPr>
            <w:r>
              <w:rPr>
                <w:rFonts w:ascii="Times New Roman" w:hAnsi="Times New Roman"/>
                <w:sz w:val="18"/>
              </w:rPr>
              <w:t>[3.5, 5.4]</w:t>
            </w:r>
          </w:p>
        </w:tc>
      </w:tr>
      <w:tr>
        <w:tc>
          <w:tcPr>
            <w:tcW w:type="dxa" w:w="1440"/>
          </w:tcPr>
          <w:p>
            <w:pPr>
              <w:jc w:val="center"/>
            </w:pPr>
            <w:r>
              <w:rPr>
                <w:rFonts w:ascii="Times New Roman" w:hAnsi="Times New Roman"/>
                <w:sz w:val="18"/>
              </w:rPr>
              <w:t>10</w:t>
            </w:r>
          </w:p>
        </w:tc>
        <w:tc>
          <w:tcPr>
            <w:tcW w:type="dxa" w:w="1440"/>
          </w:tcPr>
          <w:p>
            <w:pPr>
              <w:jc w:val="center"/>
            </w:pPr>
            <w:r>
              <w:rPr>
                <w:rFonts w:ascii="Times New Roman" w:hAnsi="Times New Roman"/>
                <w:sz w:val="18"/>
              </w:rPr>
              <w:t>Full Sort</w:t>
            </w:r>
          </w:p>
        </w:tc>
        <w:tc>
          <w:tcPr>
            <w:tcW w:type="dxa" w:w="1440"/>
          </w:tcPr>
          <w:p>
            <w:pPr>
              <w:jc w:val="center"/>
            </w:pPr>
            <w:r>
              <w:rPr>
                <w:rFonts w:ascii="Times New Roman" w:hAnsi="Times New Roman"/>
                <w:sz w:val="18"/>
              </w:rPr>
              <w:t>2.8</w:t>
            </w:r>
          </w:p>
        </w:tc>
        <w:tc>
          <w:tcPr>
            <w:tcW w:type="dxa" w:w="1440"/>
          </w:tcPr>
          <w:p>
            <w:pPr>
              <w:jc w:val="center"/>
            </w:pPr>
            <w:r>
              <w:rPr>
                <w:rFonts w:ascii="Times New Roman" w:hAnsi="Times New Roman"/>
                <w:sz w:val="18"/>
              </w:rPr>
              <w:t>1.0</w:t>
            </w:r>
          </w:p>
        </w:tc>
        <w:tc>
          <w:tcPr>
            <w:tcW w:type="dxa" w:w="1440"/>
          </w:tcPr>
          <w:p>
            <w:pPr>
              <w:jc w:val="center"/>
            </w:pPr>
            <w:r>
              <w:rPr>
                <w:rFonts w:ascii="Times New Roman" w:hAnsi="Times New Roman"/>
                <w:sz w:val="18"/>
              </w:rPr>
              <w:t>6.0</w:t>
            </w:r>
          </w:p>
        </w:tc>
        <w:tc>
          <w:tcPr>
            <w:tcW w:type="dxa" w:w="1440"/>
          </w:tcPr>
          <w:p>
            <w:pPr>
              <w:jc w:val="center"/>
            </w:pPr>
            <w:r>
              <w:rPr>
                <w:rFonts w:ascii="Times New Roman" w:hAnsi="Times New Roman"/>
                <w:sz w:val="18"/>
              </w:rPr>
              <w:t>[0.8, 4.7]</w:t>
            </w:r>
          </w:p>
        </w:tc>
      </w:tr>
      <w:tr>
        <w:tc>
          <w:tcPr>
            <w:tcW w:type="dxa" w:w="1440"/>
          </w:tcPr>
          <w:p>
            <w:pPr>
              <w:jc w:val="center"/>
            </w:pPr>
            <w:r>
              <w:rPr>
                <w:rFonts w:ascii="Times New Roman" w:hAnsi="Times New Roman"/>
                <w:sz w:val="18"/>
              </w:rPr>
              <w:t>50</w:t>
            </w:r>
          </w:p>
        </w:tc>
        <w:tc>
          <w:tcPr>
            <w:tcW w:type="dxa" w:w="1440"/>
          </w:tcPr>
          <w:p>
            <w:pPr>
              <w:jc w:val="center"/>
            </w:pPr>
            <w:r>
              <w:rPr>
                <w:rFonts w:ascii="Times New Roman" w:hAnsi="Times New Roman"/>
                <w:sz w:val="18"/>
              </w:rPr>
              <w:t>Bin. Insert</w:t>
            </w:r>
          </w:p>
        </w:tc>
        <w:tc>
          <w:tcPr>
            <w:tcW w:type="dxa" w:w="1440"/>
          </w:tcPr>
          <w:p>
            <w:pPr>
              <w:jc w:val="center"/>
            </w:pPr>
            <w:r>
              <w:rPr>
                <w:rFonts w:ascii="Times New Roman" w:hAnsi="Times New Roman"/>
                <w:sz w:val="18"/>
              </w:rPr>
              <w:t>2.7</w:t>
            </w:r>
          </w:p>
        </w:tc>
        <w:tc>
          <w:tcPr>
            <w:tcW w:type="dxa" w:w="1440"/>
          </w:tcPr>
          <w:p>
            <w:pPr>
              <w:jc w:val="center"/>
            </w:pPr>
            <w:r>
              <w:rPr>
                <w:rFonts w:ascii="Times New Roman" w:hAnsi="Times New Roman"/>
                <w:sz w:val="18"/>
              </w:rPr>
              <w:t>2.0</w:t>
            </w:r>
          </w:p>
        </w:tc>
        <w:tc>
          <w:tcPr>
            <w:tcW w:type="dxa" w:w="1440"/>
          </w:tcPr>
          <w:p>
            <w:pPr>
              <w:jc w:val="center"/>
            </w:pPr>
            <w:r>
              <w:rPr>
                <w:rFonts w:ascii="Times New Roman" w:hAnsi="Times New Roman"/>
                <w:sz w:val="18"/>
              </w:rPr>
              <w:t>6.0</w:t>
            </w:r>
          </w:p>
        </w:tc>
        <w:tc>
          <w:tcPr>
            <w:tcW w:type="dxa" w:w="1440"/>
          </w:tcPr>
          <w:p>
            <w:pPr>
              <w:jc w:val="center"/>
            </w:pPr>
            <w:r>
              <w:rPr>
                <w:rFonts w:ascii="Times New Roman" w:hAnsi="Times New Roman"/>
                <w:sz w:val="18"/>
              </w:rPr>
              <w:t>[2.4, 3.0]</w:t>
            </w:r>
          </w:p>
        </w:tc>
      </w:tr>
      <w:tr>
        <w:tc>
          <w:tcPr>
            <w:tcW w:type="dxa" w:w="1440"/>
          </w:tcPr>
          <w:p>
            <w:pPr>
              <w:jc w:val="center"/>
            </w:pPr>
            <w:r>
              <w:rPr>
                <w:rFonts w:ascii="Times New Roman" w:hAnsi="Times New Roman"/>
                <w:sz w:val="18"/>
              </w:rPr>
              <w:t>50</w:t>
            </w:r>
          </w:p>
        </w:tc>
        <w:tc>
          <w:tcPr>
            <w:tcW w:type="dxa" w:w="1440"/>
          </w:tcPr>
          <w:p>
            <w:pPr>
              <w:jc w:val="center"/>
            </w:pPr>
            <w:r>
              <w:rPr>
                <w:rFonts w:ascii="Times New Roman" w:hAnsi="Times New Roman"/>
                <w:sz w:val="18"/>
              </w:rPr>
              <w:t>Full Sort</w:t>
            </w:r>
          </w:p>
        </w:tc>
        <w:tc>
          <w:tcPr>
            <w:tcW w:type="dxa" w:w="1440"/>
          </w:tcPr>
          <w:p>
            <w:pPr>
              <w:jc w:val="center"/>
            </w:pPr>
            <w:r>
              <w:rPr>
                <w:rFonts w:ascii="Times New Roman" w:hAnsi="Times New Roman"/>
                <w:sz w:val="18"/>
              </w:rPr>
              <w:t>15.2</w:t>
            </w:r>
          </w:p>
        </w:tc>
        <w:tc>
          <w:tcPr>
            <w:tcW w:type="dxa" w:w="1440"/>
          </w:tcPr>
          <w:p>
            <w:pPr>
              <w:jc w:val="center"/>
            </w:pPr>
            <w:r>
              <w:rPr>
                <w:rFonts w:ascii="Times New Roman" w:hAnsi="Times New Roman"/>
                <w:sz w:val="18"/>
              </w:rPr>
              <w:t>8.5</w:t>
            </w:r>
          </w:p>
        </w:tc>
        <w:tc>
          <w:tcPr>
            <w:tcW w:type="dxa" w:w="1440"/>
          </w:tcPr>
          <w:p>
            <w:pPr>
              <w:jc w:val="center"/>
            </w:pPr>
            <w:r>
              <w:rPr>
                <w:rFonts w:ascii="Times New Roman" w:hAnsi="Times New Roman"/>
                <w:sz w:val="18"/>
              </w:rPr>
              <w:t>39.0</w:t>
            </w:r>
          </w:p>
        </w:tc>
        <w:tc>
          <w:tcPr>
            <w:tcW w:type="dxa" w:w="1440"/>
          </w:tcPr>
          <w:p>
            <w:pPr>
              <w:jc w:val="center"/>
            </w:pPr>
            <w:r>
              <w:rPr>
                <w:rFonts w:ascii="Times New Roman" w:hAnsi="Times New Roman"/>
                <w:sz w:val="18"/>
              </w:rPr>
              <w:t>[9.3, 21.0]</w:t>
            </w:r>
          </w:p>
        </w:tc>
      </w:tr>
      <w:tr>
        <w:tc>
          <w:tcPr>
            <w:tcW w:type="dxa" w:w="1440"/>
          </w:tcPr>
          <w:p>
            <w:pPr>
              <w:jc w:val="center"/>
            </w:pPr>
            <w:r>
              <w:rPr>
                <w:rFonts w:ascii="Times New Roman" w:hAnsi="Times New Roman"/>
                <w:sz w:val="18"/>
              </w:rPr>
              <w:t>100</w:t>
            </w:r>
          </w:p>
        </w:tc>
        <w:tc>
          <w:tcPr>
            <w:tcW w:type="dxa" w:w="1440"/>
          </w:tcPr>
          <w:p>
            <w:pPr>
              <w:jc w:val="center"/>
            </w:pPr>
            <w:r>
              <w:rPr>
                <w:rFonts w:ascii="Times New Roman" w:hAnsi="Times New Roman"/>
                <w:sz w:val="18"/>
              </w:rPr>
              <w:t>Bin. Insert</w:t>
            </w:r>
          </w:p>
        </w:tc>
        <w:tc>
          <w:tcPr>
            <w:tcW w:type="dxa" w:w="1440"/>
          </w:tcPr>
          <w:p>
            <w:pPr>
              <w:jc w:val="center"/>
            </w:pPr>
            <w:r>
              <w:rPr>
                <w:rFonts w:ascii="Times New Roman" w:hAnsi="Times New Roman"/>
                <w:sz w:val="18"/>
              </w:rPr>
              <w:t>1.9</w:t>
            </w:r>
          </w:p>
        </w:tc>
        <w:tc>
          <w:tcPr>
            <w:tcW w:type="dxa" w:w="1440"/>
          </w:tcPr>
          <w:p>
            <w:pPr>
              <w:jc w:val="center"/>
            </w:pPr>
            <w:r>
              <w:rPr>
                <w:rFonts w:ascii="Times New Roman" w:hAnsi="Times New Roman"/>
                <w:sz w:val="18"/>
              </w:rPr>
              <w:t>1.0</w:t>
            </w:r>
          </w:p>
        </w:tc>
        <w:tc>
          <w:tcPr>
            <w:tcW w:type="dxa" w:w="1440"/>
          </w:tcPr>
          <w:p>
            <w:pPr>
              <w:jc w:val="center"/>
            </w:pPr>
            <w:r>
              <w:rPr>
                <w:rFonts w:ascii="Times New Roman" w:hAnsi="Times New Roman"/>
                <w:sz w:val="18"/>
              </w:rPr>
              <w:t>7.0</w:t>
            </w:r>
          </w:p>
        </w:tc>
        <w:tc>
          <w:tcPr>
            <w:tcW w:type="dxa" w:w="1440"/>
          </w:tcPr>
          <w:p>
            <w:pPr>
              <w:jc w:val="center"/>
            </w:pPr>
            <w:r>
              <w:rPr>
                <w:rFonts w:ascii="Times New Roman" w:hAnsi="Times New Roman"/>
                <w:sz w:val="18"/>
              </w:rPr>
              <w:t>[0.8, 3.0]</w:t>
            </w:r>
          </w:p>
        </w:tc>
      </w:tr>
      <w:tr>
        <w:tc>
          <w:tcPr>
            <w:tcW w:type="dxa" w:w="1440"/>
          </w:tcPr>
          <w:p>
            <w:pPr>
              <w:jc w:val="center"/>
            </w:pPr>
            <w:r>
              <w:rPr>
                <w:rFonts w:ascii="Times New Roman" w:hAnsi="Times New Roman"/>
                <w:sz w:val="18"/>
              </w:rPr>
              <w:t>100</w:t>
            </w:r>
          </w:p>
        </w:tc>
        <w:tc>
          <w:tcPr>
            <w:tcW w:type="dxa" w:w="1440"/>
          </w:tcPr>
          <w:p>
            <w:pPr>
              <w:jc w:val="center"/>
            </w:pPr>
            <w:r>
              <w:rPr>
                <w:rFonts w:ascii="Times New Roman" w:hAnsi="Times New Roman"/>
                <w:sz w:val="18"/>
              </w:rPr>
              <w:t>Full Sort</w:t>
            </w:r>
          </w:p>
        </w:tc>
        <w:tc>
          <w:tcPr>
            <w:tcW w:type="dxa" w:w="1440"/>
          </w:tcPr>
          <w:p>
            <w:pPr>
              <w:jc w:val="center"/>
            </w:pPr>
            <w:r>
              <w:rPr>
                <w:rFonts w:ascii="Times New Roman" w:hAnsi="Times New Roman"/>
                <w:sz w:val="18"/>
              </w:rPr>
              <w:t>13.6</w:t>
            </w:r>
          </w:p>
        </w:tc>
        <w:tc>
          <w:tcPr>
            <w:tcW w:type="dxa" w:w="1440"/>
          </w:tcPr>
          <w:p>
            <w:pPr>
              <w:jc w:val="center"/>
            </w:pPr>
            <w:r>
              <w:rPr>
                <w:rFonts w:ascii="Times New Roman" w:hAnsi="Times New Roman"/>
                <w:sz w:val="18"/>
              </w:rPr>
              <w:t>10.0</w:t>
            </w:r>
          </w:p>
        </w:tc>
        <w:tc>
          <w:tcPr>
            <w:tcW w:type="dxa" w:w="1440"/>
          </w:tcPr>
          <w:p>
            <w:pPr>
              <w:jc w:val="center"/>
            </w:pPr>
            <w:r>
              <w:rPr>
                <w:rFonts w:ascii="Times New Roman" w:hAnsi="Times New Roman"/>
                <w:sz w:val="18"/>
              </w:rPr>
              <w:t>27.0</w:t>
            </w:r>
          </w:p>
        </w:tc>
        <w:tc>
          <w:tcPr>
            <w:tcW w:type="dxa" w:w="1440"/>
          </w:tcPr>
          <w:p>
            <w:pPr>
              <w:jc w:val="center"/>
            </w:pPr>
            <w:r>
              <w:rPr>
                <w:rFonts w:ascii="Times New Roman" w:hAnsi="Times New Roman"/>
                <w:sz w:val="18"/>
              </w:rPr>
              <w:t>[10.0, 17.3]</w:t>
            </w:r>
          </w:p>
        </w:tc>
      </w:tr>
      <w:tr>
        <w:tc>
          <w:tcPr>
            <w:tcW w:type="dxa" w:w="1440"/>
          </w:tcPr>
          <w:p>
            <w:pPr>
              <w:jc w:val="center"/>
            </w:pPr>
            <w:r>
              <w:rPr>
                <w:rFonts w:ascii="Times New Roman" w:hAnsi="Times New Roman"/>
                <w:sz w:val="18"/>
              </w:rPr>
              <w:t>500</w:t>
            </w:r>
          </w:p>
        </w:tc>
        <w:tc>
          <w:tcPr>
            <w:tcW w:type="dxa" w:w="1440"/>
          </w:tcPr>
          <w:p>
            <w:pPr>
              <w:jc w:val="center"/>
            </w:pPr>
            <w:r>
              <w:rPr>
                <w:rFonts w:ascii="Times New Roman" w:hAnsi="Times New Roman"/>
                <w:sz w:val="18"/>
              </w:rPr>
              <w:t>Bin. Insert</w:t>
            </w:r>
          </w:p>
        </w:tc>
        <w:tc>
          <w:tcPr>
            <w:tcW w:type="dxa" w:w="1440"/>
          </w:tcPr>
          <w:p>
            <w:pPr>
              <w:jc w:val="center"/>
            </w:pPr>
            <w:r>
              <w:rPr>
                <w:rFonts w:ascii="Times New Roman" w:hAnsi="Times New Roman"/>
                <w:sz w:val="18"/>
              </w:rPr>
              <w:t>6.9</w:t>
            </w:r>
          </w:p>
        </w:tc>
        <w:tc>
          <w:tcPr>
            <w:tcW w:type="dxa" w:w="1440"/>
          </w:tcPr>
          <w:p>
            <w:pPr>
              <w:jc w:val="center"/>
            </w:pPr>
            <w:r>
              <w:rPr>
                <w:rFonts w:ascii="Times New Roman" w:hAnsi="Times New Roman"/>
                <w:sz w:val="18"/>
              </w:rPr>
              <w:t>4.0</w:t>
            </w:r>
          </w:p>
        </w:tc>
        <w:tc>
          <w:tcPr>
            <w:tcW w:type="dxa" w:w="1440"/>
          </w:tcPr>
          <w:p>
            <w:pPr>
              <w:jc w:val="center"/>
            </w:pPr>
            <w:r>
              <w:rPr>
                <w:rFonts w:ascii="Times New Roman" w:hAnsi="Times New Roman"/>
                <w:sz w:val="18"/>
              </w:rPr>
              <w:t>22.0</w:t>
            </w:r>
          </w:p>
        </w:tc>
        <w:tc>
          <w:tcPr>
            <w:tcW w:type="dxa" w:w="1440"/>
          </w:tcPr>
          <w:p>
            <w:pPr>
              <w:jc w:val="center"/>
            </w:pPr>
            <w:r>
              <w:rPr>
                <w:rFonts w:ascii="Times New Roman" w:hAnsi="Times New Roman"/>
                <w:sz w:val="18"/>
              </w:rPr>
              <w:t>[2.2, 11.6]</w:t>
            </w:r>
          </w:p>
        </w:tc>
      </w:tr>
      <w:tr>
        <w:tc>
          <w:tcPr>
            <w:tcW w:type="dxa" w:w="1440"/>
          </w:tcPr>
          <w:p>
            <w:pPr>
              <w:jc w:val="center"/>
            </w:pPr>
            <w:r>
              <w:rPr>
                <w:rFonts w:ascii="Times New Roman" w:hAnsi="Times New Roman"/>
                <w:sz w:val="18"/>
              </w:rPr>
              <w:t>500</w:t>
            </w:r>
          </w:p>
        </w:tc>
        <w:tc>
          <w:tcPr>
            <w:tcW w:type="dxa" w:w="1440"/>
          </w:tcPr>
          <w:p>
            <w:pPr>
              <w:jc w:val="center"/>
            </w:pPr>
            <w:r>
              <w:rPr>
                <w:rFonts w:ascii="Times New Roman" w:hAnsi="Times New Roman"/>
                <w:sz w:val="18"/>
              </w:rPr>
              <w:t>Full Sort</w:t>
            </w:r>
          </w:p>
        </w:tc>
        <w:tc>
          <w:tcPr>
            <w:tcW w:type="dxa" w:w="1440"/>
          </w:tcPr>
          <w:p>
            <w:pPr>
              <w:jc w:val="center"/>
            </w:pPr>
            <w:r>
              <w:rPr>
                <w:rFonts w:ascii="Times New Roman" w:hAnsi="Times New Roman"/>
                <w:sz w:val="18"/>
              </w:rPr>
              <w:t>44.1</w:t>
            </w:r>
          </w:p>
        </w:tc>
        <w:tc>
          <w:tcPr>
            <w:tcW w:type="dxa" w:w="1440"/>
          </w:tcPr>
          <w:p>
            <w:pPr>
              <w:jc w:val="center"/>
            </w:pPr>
            <w:r>
              <w:rPr>
                <w:rFonts w:ascii="Times New Roman" w:hAnsi="Times New Roman"/>
                <w:sz w:val="18"/>
              </w:rPr>
              <w:t>26.0</w:t>
            </w:r>
          </w:p>
        </w:tc>
        <w:tc>
          <w:tcPr>
            <w:tcW w:type="dxa" w:w="1440"/>
          </w:tcPr>
          <w:p>
            <w:pPr>
              <w:jc w:val="center"/>
            </w:pPr>
            <w:r>
              <w:rPr>
                <w:rFonts w:ascii="Times New Roman" w:hAnsi="Times New Roman"/>
                <w:sz w:val="18"/>
              </w:rPr>
              <w:t>124.0</w:t>
            </w:r>
          </w:p>
        </w:tc>
        <w:tc>
          <w:tcPr>
            <w:tcW w:type="dxa" w:w="1440"/>
          </w:tcPr>
          <w:p>
            <w:pPr>
              <w:jc w:val="center"/>
            </w:pPr>
            <w:r>
              <w:rPr>
                <w:rFonts w:ascii="Times New Roman" w:hAnsi="Times New Roman"/>
                <w:sz w:val="18"/>
              </w:rPr>
              <w:t>[34.3, 53.9]</w:t>
            </w:r>
          </w:p>
        </w:tc>
      </w:tr>
      <w:tr>
        <w:tc>
          <w:tcPr>
            <w:tcW w:type="dxa" w:w="1440"/>
          </w:tcPr>
          <w:p>
            <w:pPr>
              <w:jc w:val="center"/>
            </w:pPr>
            <w:r>
              <w:rPr>
                <w:rFonts w:ascii="Times New Roman" w:hAnsi="Times New Roman"/>
                <w:sz w:val="18"/>
              </w:rPr>
              <w:t>1000</w:t>
            </w:r>
          </w:p>
        </w:tc>
        <w:tc>
          <w:tcPr>
            <w:tcW w:type="dxa" w:w="1440"/>
          </w:tcPr>
          <w:p>
            <w:pPr>
              <w:jc w:val="center"/>
            </w:pPr>
            <w:r>
              <w:rPr>
                <w:rFonts w:ascii="Times New Roman" w:hAnsi="Times New Roman"/>
                <w:sz w:val="18"/>
              </w:rPr>
              <w:t>Bin. Insert</w:t>
            </w:r>
          </w:p>
        </w:tc>
        <w:tc>
          <w:tcPr>
            <w:tcW w:type="dxa" w:w="1440"/>
          </w:tcPr>
          <w:p>
            <w:pPr>
              <w:jc w:val="center"/>
            </w:pPr>
            <w:r>
              <w:rPr>
                <w:rFonts w:ascii="Times New Roman" w:hAnsi="Times New Roman"/>
                <w:sz w:val="18"/>
              </w:rPr>
              <w:t>4.4</w:t>
            </w:r>
          </w:p>
        </w:tc>
        <w:tc>
          <w:tcPr>
            <w:tcW w:type="dxa" w:w="1440"/>
          </w:tcPr>
          <w:p>
            <w:pPr>
              <w:jc w:val="center"/>
            </w:pPr>
            <w:r>
              <w:rPr>
                <w:rFonts w:ascii="Times New Roman" w:hAnsi="Times New Roman"/>
                <w:sz w:val="18"/>
              </w:rPr>
              <w:t>4.0</w:t>
            </w:r>
          </w:p>
        </w:tc>
        <w:tc>
          <w:tcPr>
            <w:tcW w:type="dxa" w:w="1440"/>
          </w:tcPr>
          <w:p>
            <w:pPr>
              <w:jc w:val="center"/>
            </w:pPr>
            <w:r>
              <w:rPr>
                <w:rFonts w:ascii="Times New Roman" w:hAnsi="Times New Roman"/>
                <w:sz w:val="18"/>
              </w:rPr>
              <w:t>10.0</w:t>
            </w:r>
          </w:p>
        </w:tc>
        <w:tc>
          <w:tcPr>
            <w:tcW w:type="dxa" w:w="1440"/>
          </w:tcPr>
          <w:p>
            <w:pPr>
              <w:jc w:val="center"/>
            </w:pPr>
            <w:r>
              <w:rPr>
                <w:rFonts w:ascii="Times New Roman" w:hAnsi="Times New Roman"/>
                <w:sz w:val="18"/>
              </w:rPr>
              <w:t>[3.5, 5.3]</w:t>
            </w:r>
          </w:p>
        </w:tc>
      </w:tr>
      <w:tr>
        <w:tc>
          <w:tcPr>
            <w:tcW w:type="dxa" w:w="1440"/>
          </w:tcPr>
          <w:p>
            <w:pPr>
              <w:jc w:val="center"/>
            </w:pPr>
            <w:r>
              <w:rPr>
                <w:rFonts w:ascii="Times New Roman" w:hAnsi="Times New Roman"/>
                <w:sz w:val="18"/>
              </w:rPr>
              <w:t>1000</w:t>
            </w:r>
          </w:p>
        </w:tc>
        <w:tc>
          <w:tcPr>
            <w:tcW w:type="dxa" w:w="1440"/>
          </w:tcPr>
          <w:p>
            <w:pPr>
              <w:jc w:val="center"/>
            </w:pPr>
            <w:r>
              <w:rPr>
                <w:rFonts w:ascii="Times New Roman" w:hAnsi="Times New Roman"/>
                <w:sz w:val="18"/>
              </w:rPr>
              <w:t>Full Sort</w:t>
            </w:r>
          </w:p>
        </w:tc>
        <w:tc>
          <w:tcPr>
            <w:tcW w:type="dxa" w:w="1440"/>
          </w:tcPr>
          <w:p>
            <w:pPr>
              <w:jc w:val="center"/>
            </w:pPr>
            <w:r>
              <w:rPr>
                <w:rFonts w:ascii="Times New Roman" w:hAnsi="Times New Roman"/>
                <w:sz w:val="18"/>
              </w:rPr>
              <w:t>84.9</w:t>
            </w:r>
          </w:p>
        </w:tc>
        <w:tc>
          <w:tcPr>
            <w:tcW w:type="dxa" w:w="1440"/>
          </w:tcPr>
          <w:p>
            <w:pPr>
              <w:jc w:val="center"/>
            </w:pPr>
            <w:r>
              <w:rPr>
                <w:rFonts w:ascii="Times New Roman" w:hAnsi="Times New Roman"/>
                <w:sz w:val="18"/>
              </w:rPr>
              <w:t>60.0</w:t>
            </w:r>
          </w:p>
        </w:tc>
        <w:tc>
          <w:tcPr>
            <w:tcW w:type="dxa" w:w="1440"/>
          </w:tcPr>
          <w:p>
            <w:pPr>
              <w:jc w:val="center"/>
            </w:pPr>
            <w:r>
              <w:rPr>
                <w:rFonts w:ascii="Times New Roman" w:hAnsi="Times New Roman"/>
                <w:sz w:val="18"/>
              </w:rPr>
              <w:t>187.0</w:t>
            </w:r>
          </w:p>
        </w:tc>
        <w:tc>
          <w:tcPr>
            <w:tcW w:type="dxa" w:w="1440"/>
          </w:tcPr>
          <w:p>
            <w:pPr>
              <w:jc w:val="center"/>
            </w:pPr>
            <w:r>
              <w:rPr>
                <w:rFonts w:ascii="Times New Roman" w:hAnsi="Times New Roman"/>
                <w:sz w:val="18"/>
              </w:rPr>
              <w:t>[65.7, 104.0]</w:t>
            </w:r>
          </w:p>
        </w:tc>
      </w:tr>
    </w:tbl>
    <w:p/>
    <w:p>
      <w:pPr>
        <w:jc w:val="both"/>
      </w:pPr>
      <w:r>
        <w:t>Table V reports binary search insertion and full-sort latency at five message counts in microseconds. Binary insertion remains nearly constant across all N values (median 1–4 µs), confirming O(log n) behavior. Full sort grows from a median of 1 µs at N=10 to 60 µs at N=1000, consistent with O(n log n) scaling.</w:t>
      </w:r>
    </w:p>
    <w:p>
      <w:pPr>
        <w:jc w:val="both"/>
      </w:pPr>
      <w:r>
        <w:t>Fig. 5 plots the scalability trend. At N=10, the overhead of the binary search comparisons makes it comparable to the sort baseline (median 3 µs vs. 1 µs), with overlapping confidence intervals. Binary insertion's advantage emerges at N ≥ 50: the median speedup grows from 4.3× at N=50 to 15× at N=1000. By mean, the speedup at N=1000 reaches 19× (85 µs vs. 4.4 µs). Both methods operate well within a single 16.67 ms frame budget even in worst-case scenarios: the full sort's P95 at N=1000 is 187 µs, while binary insertion stays at 10 µs.</w:t>
      </w:r>
    </w:p>
    <w:p>
      <w:pPr>
        <w:pStyle w:val="Heading2"/>
      </w:pPr>
      <w:r>
        <w:rPr>
          <w:rFonts w:ascii="Times New Roman" w:hAnsi="Times New Roman"/>
          <w:sz w:val="20"/>
        </w:rPr>
        <w:t>B. Application Startup Performance</w:t>
      </w:r>
    </w:p>
    <w:p>
      <w:pPr>
        <w:jc w:val="both"/>
      </w:pPr>
      <w:r>
        <w:t>We measured the Dart-level construction cost of two key components: ChatProvider instantiation and MessageCacheService initialization with 100 inserts. ChatProvider construction averaged 250 µs (median 231 µs, P95 456 µs, 95% CI [219, 281]). Cache initialization averaged 74 µs (median 64 µs, P95 167 µs, 95% CI [64, 83]). Both are negligible relative to full cold-start time, which on physical devices is dominated by Firebase initialization (T3), App Check attestation (T4), and FCM token retrieval (T6) as described in Table III. Full T0–T7 profiling on mobile hardware remains future work.</w:t>
      </w:r>
    </w:p>
    <w:p>
      <w:pPr>
        <w:pStyle w:val="Heading1"/>
        <w:jc w:val="center"/>
      </w:pPr>
      <w:r>
        <w:rPr>
          <w:rFonts w:ascii="Times New Roman" w:hAnsi="Times New Roman"/>
          <w:b/>
          <w:sz w:val="22"/>
        </w:rPr>
        <w:t>VI. AI-ENHANCED MESSAGING</w:t>
      </w:r>
    </w:p>
    <w:p>
      <w:pPr>
        <w:jc w:val="both"/>
      </w:pPr>
      <w:r>
        <w:t>Quitxt includes a server-side retrieval-augmented generation (RAG) layer [16] that grounds its AI responses in domain-specific evidence. Where QuitBot [15] matches against a fixed library of 11,000 QnA pairs, Quitxt retrieves relevant content from a vector index for each query and generates a grounded response on the fly using Gemini 2.0 Flash. The end-to-end pipeline works as follows: (1) the Flutter client sends a user message through the Firestore pipeline described in Section III-A; (2) a Firebase Cloud Function receives the message and queries a ChromaDB vector store indexed with the Gemini Protocol knowledge base; (3) the top-k retrieved chunks are assembled into a structured prompt and submitted to Gemini 2.0 Flash (gemini-2.0-flash-exp); and (4) the generated response is written back to Firestore, where the client's real-time listener delivers it to the UI. RAG processing time is therefore part of the measured Tresponse.</w:t>
      </w:r>
    </w:p>
    <w:p>
      <w:pPr>
        <w:pStyle w:val="Heading2"/>
      </w:pPr>
      <w:r>
        <w:rPr>
          <w:rFonts w:ascii="Times New Roman" w:hAnsi="Times New Roman"/>
          <w:sz w:val="20"/>
        </w:rPr>
        <w:t>A. Knowledge Base Construction</w:t>
      </w:r>
    </w:p>
    <w:p>
      <w:pPr>
        <w:jc w:val="both"/>
      </w:pPr>
      <w:r>
        <w:t>The production knowledge base is the Human-Curated dataset (n = 4,847 Q&amp;A pairs), professionally curated and verified against the Gemini Protocol—a structured smoking cessation framework developed by Dr. Louis Willis that encodes motivational interviewing (MI) strategies, pharmacotherapy guidance (NRT, varenicline, bupropion), behavioral coping techniques, and relapse prevention protocols. The dataset was refined iteratively: domain experts reviewed retrieval quality metrics after each round of edits and adjusted the corpus to improve downstream RAG performance.</w:t>
      </w:r>
    </w:p>
    <w:p>
      <w:pPr>
        <w:jc w:val="both"/>
      </w:pPr>
      <w:r>
        <w:t>The dataset is indexed in a ChromaDB vector store using cosine similarity over sentence embeddings. At inference, the top-k (k = 3) most similar chunks are retrieved and injected into a structured prompt template alongside the user query and up to five prior turns of conversation history. The prompt instructs the LLM to ground its response in the retrieved evidence while maintaining a conversational tone. Gemini 2.0 Flash (gemini-2.0-flash-exp) generates the response, chosen for its low latency and strong instruction-following in health domains. The generated response is written back to Firestore, where the client's real-time listener delivers it to the UI.</w:t>
      </w:r>
    </w:p>
    <w:p>
      <w:pPr>
        <w:jc w:val="both"/>
      </w:pPr>
      <w:r>
        <w:t>Because embeddings are pre-computed and the ChromaDB index is served locally alongside the server application, vector retrieval adds minimal overhead (≈150 ms measured). The dominant latency component is LLM generation, which varies with response length and model load. Fig. 6 details the retrieval and generation pipeline. Formal evaluation of response quality—including faithfulness, hallucination rate, and retrieval precision using the RAGAS framework [17]—is the subject of a companion study currently in preparation [18].</w:t>
      </w:r>
    </w:p>
    <w:p>
      <w:pPr>
        <w:pStyle w:val="Heading1"/>
        <w:jc w:val="center"/>
      </w:pPr>
      <w:r>
        <w:rPr>
          <w:rFonts w:ascii="Times New Roman" w:hAnsi="Times New Roman"/>
          <w:b/>
          <w:sz w:val="22"/>
        </w:rPr>
        <w:t>VII. DISCUSSION</w:t>
      </w:r>
    </w:p>
    <w:p>
      <w:pPr>
        <w:pStyle w:val="Heading2"/>
      </w:pPr>
      <w:r>
        <w:rPr>
          <w:rFonts w:ascii="Times New Roman" w:hAnsi="Times New Roman"/>
          <w:sz w:val="20"/>
        </w:rPr>
        <w:t>A. Comparison with Prior Work</w:t>
      </w:r>
    </w:p>
    <w:p>
      <w:pPr>
        <w:jc w:val="both"/>
      </w:pPr>
      <w:r>
        <w:t>Inupakutika et al. [7] and Gunnam et al. [8] measured server-side response latency for cloud-based chatbot systems but did not examine client-side costs. Our sorting benchmarks address that gap: the 15× median speedup from binary insertion at N=1000 shows that client-side algorithmic choices affect message ordering latency independently of server-side factors.</w:t>
      </w:r>
    </w:p>
    <w:p>
      <w:pPr>
        <w:jc w:val="both"/>
      </w:pPr>
      <w:r>
        <w:t>Bricker et al. [15] demonstrated the efficacy of conversational chatbot delivery (QuitBot) over linear SMS, using a static library of 11,000 QnA pairs with GPT-3.5 fallback. Quitxt takes a different approach: the Gemini Protocol knowledge base is indexed in ChromaDB and used by Gemini 2.0 Flash to generate grounded responses on the fly, without hand-authored templates. Formal evaluation of response quality is the subject of a companion study [18].</w:t>
      </w:r>
    </w:p>
    <w:p>
      <w:pPr>
        <w:pStyle w:val="Heading2"/>
      </w:pPr>
      <w:r>
        <w:rPr>
          <w:rFonts w:ascii="Times New Roman" w:hAnsi="Times New Roman"/>
          <w:sz w:val="20"/>
        </w:rPr>
        <w:t>B. Architectural Implications</w:t>
      </w:r>
    </w:p>
    <w:p>
      <w:pPr>
        <w:jc w:val="both"/>
      </w:pPr>
      <w:r>
        <w:t>The composition-based architecture (Section III-B) enables independent measurement and optimization of each subsystem. Message sorting has the widest dynamic range: full-sort latency grows roughly 30× from N=10 to N=1000, while binary insertion stays flat. The choice of Flutter over React Native (Section III-A) eliminates the JavaScript bridge, and isolate-based background processing keeps CPU-bound tasks (link preview parsing, metrics collection) off the main rendering thread. The platform-specific HTTP configuration (Section III-C) reflects how Android and iOS handle connection pooling differently—a cross-platform trade-off whose latency impact warrants quantification on physical devices.</w:t>
      </w:r>
    </w:p>
    <w:p>
      <w:pPr>
        <w:pStyle w:val="Heading2"/>
      </w:pPr>
      <w:r>
        <w:rPr>
          <w:rFonts w:ascii="Times New Roman" w:hAnsi="Times New Roman"/>
          <w:sz w:val="20"/>
        </w:rPr>
        <w:t>C. Deployment Implications</w:t>
      </w:r>
    </w:p>
    <w:p>
      <w:pPr>
        <w:jc w:val="both"/>
      </w:pPr>
      <w:r>
        <w:t>Client-side sorting operations complete in under 200 µs even at the 95th percentile for N=1000—well below the 100 ms perception threshold [3]. The dominant contributor to user-perceived latency is Tresponse, the server round-trip including RAG retrieval and LLM generation.</w:t>
      </w:r>
    </w:p>
    <w:p>
      <w:pPr>
        <w:pStyle w:val="Heading2"/>
      </w:pPr>
      <w:r>
        <w:rPr>
          <w:rFonts w:ascii="Times New Roman" w:hAnsi="Times New Roman"/>
          <w:sz w:val="20"/>
        </w:rPr>
        <w:t>D. Threats to Validity</w:t>
      </w:r>
    </w:p>
    <w:p>
      <w:pPr>
        <w:jc w:val="both"/>
      </w:pPr>
      <w:r>
        <w:t>Internal validity: We use Dart's monotonic Stopwatch to avoid clock corrections, and a fixed random seed (42) ensures reproducible test data generation across runs. JIT warm-up variance is mitigated by discarding 10 warm-up iterations before each 50-iteration measurement block.</w:t>
      </w:r>
    </w:p>
    <w:p>
      <w:pPr>
        <w:jc w:val="both"/>
      </w:pPr>
      <w:r>
        <w:t>External validity: Benchmarks run on the Dart VM on a host machine (Apple Silicon), not on mobile hardware. Mobile device performance will differ due to lower clock speeds and thermal throttling. The relative comparison (binary insert vs. full sort) should hold directionally, but absolute latencies will be higher.</w:t>
      </w:r>
    </w:p>
    <w:p>
      <w:pPr>
        <w:jc w:val="both"/>
      </w:pPr>
      <w:r>
        <w:t>Construct validity: Startup measurements capture Dart-level construction cost only and do not include Firebase initialization, App Check, or platform-specific setup that dominate real cold-start time.</w:t>
      </w:r>
    </w:p>
    <w:p>
      <w:pPr>
        <w:jc w:val="both"/>
      </w:pPr>
      <w:r>
        <w:t>Statistical validity: With n = 50 runs per configuration, sample sizes exceed CLT requirements. Microsecond-scale measurements are at the resolution limit of Dart's Stopwatch; speedup ratios should be interpreted as order-of-magnitude indicators rather than precise multipliers.</w:t>
      </w:r>
    </w:p>
    <w:p>
      <w:pPr>
        <w:pStyle w:val="Heading1"/>
        <w:jc w:val="center"/>
      </w:pPr>
      <w:r>
        <w:rPr>
          <w:rFonts w:ascii="Times New Roman" w:hAnsi="Times New Roman"/>
          <w:b/>
          <w:sz w:val="22"/>
        </w:rPr>
        <w:t>VIII. CONCLUSION</w:t>
      </w:r>
    </w:p>
    <w:p>
      <w:pPr>
        <w:jc w:val="both"/>
      </w:pPr>
      <w:r>
        <w:t>We presented the design, implementation, and performance evaluation of Quitxt, a cross-platform Flutter messaging application for smoking cessation with an integrated RAG pipeline. The architectural choices—composition-based service decomposition, binary search message insertion, platform-specific HTTP configuration, and isolate-based background processing—keep all client-side operations well within a single frame budget. Binary search insertion achieves a 15× median speedup over full-sort at N=1000 messages, confirming that algorithmic optimization at the client layer eliminates message ordering as a latency contributor. The server-side RAG layer retrieves from a professionally curated knowledge base via ChromaDB and generates grounded responses through Gemini 2.0 Flash, providing domain-specific AI assistance without requiring users to leave the messaging interface. The measurement framework and analysis scripts are available at https://github.com/anudeepadi/quit-txt-rag-eval.</w:t>
      </w:r>
    </w:p>
    <w:p>
      <w:pPr>
        <w:pStyle w:val="Heading2"/>
      </w:pPr>
      <w:r>
        <w:rPr>
          <w:rFonts w:ascii="Times New Roman" w:hAnsi="Times New Roman"/>
          <w:sz w:val="20"/>
        </w:rPr>
        <w:t>A. Future Work</w:t>
      </w:r>
    </w:p>
    <w:p>
      <w:pPr>
        <w:jc w:val="both"/>
      </w:pPr>
      <w:r>
        <w:t>Three directions follow from this work: (1) on-device validation on physical Android and iOS hardware with Firebase backend load testing, following the testbed methodology of Inupakutika et al. [7], to characterize end-to-end message delivery latency under concurrent load; (2) formal evaluation of RAG response quality using the RAGAS framework [17], comparing human-curated and AI-generated knowledge bases, with results to be reported in a companion study [18]; and (3) field deployment monitoring to compare laboratory benchmarks against real-world usage patterns.</w:t>
      </w:r>
    </w:p>
    <w:p>
      <w:pPr>
        <w:pStyle w:val="Heading1"/>
        <w:jc w:val="center"/>
      </w:pPr>
      <w:r>
        <w:rPr>
          <w:rFonts w:ascii="Times New Roman" w:hAnsi="Times New Roman"/>
          <w:b/>
          <w:sz w:val="22"/>
        </w:rPr>
        <w:t>REFERENCES</w:t>
      </w:r>
    </w:p>
    <w:p>
      <w:pPr>
        <w:ind w:left="360" w:hanging="360"/>
        <w:jc w:val="both"/>
      </w:pPr>
      <w:r>
        <w:rPr>
          <w:rFonts w:ascii="Times New Roman" w:hAnsi="Times New Roman"/>
          <w:sz w:val="18"/>
        </w:rPr>
        <w:t>[1] World Health Organization, "WHO report on the global tobacco epidemic 2023: Protect people from tobacco smoke," WHO, Tech. Rep., 2023.</w:t>
      </w:r>
    </w:p>
    <w:p>
      <w:pPr>
        <w:ind w:left="360" w:hanging="360"/>
        <w:jc w:val="both"/>
      </w:pPr>
      <w:r>
        <w:rPr>
          <w:rFonts w:ascii="Times New Roman" w:hAnsi="Times New Roman"/>
          <w:sz w:val="18"/>
        </w:rPr>
        <w:t>[2] R. Whittaker, H. McRobbie, C. Bullen, R. Rodgers, Y. Gu, and R. Dobson, "Mobile phone text messaging and app-based interventions for smoking cessation," Cochrane Database of Systematic Reviews, no. 10, 2019.</w:t>
      </w:r>
    </w:p>
    <w:p>
      <w:pPr>
        <w:ind w:left="360" w:hanging="360"/>
        <w:jc w:val="both"/>
      </w:pPr>
      <w:r>
        <w:rPr>
          <w:rFonts w:ascii="Times New Roman" w:hAnsi="Times New Roman"/>
          <w:sz w:val="18"/>
        </w:rPr>
        <w:t>[3] W. T. Riley, D. E. Rivera, A. A. Atienza, W. Nilsen, S. M. Allison, and R. Mermelstein, "Health behavior models in the age of mobile interventions: Are our theories up to the task?" Translational Behavioral Medicine, vol. 1, no. 1, pp. 53–71, 2011.</w:t>
      </w:r>
    </w:p>
    <w:p>
      <w:pPr>
        <w:ind w:left="360" w:hanging="360"/>
        <w:jc w:val="both"/>
      </w:pPr>
      <w:r>
        <w:rPr>
          <w:rFonts w:ascii="Times New Roman" w:hAnsi="Times New Roman"/>
          <w:sz w:val="18"/>
        </w:rPr>
        <w:t>[4] S. Nicola, J. Ferreira, and J. P. Fernandes, "Flutter vs. native vs. React Native: Examining performance of mobile development approaches," SN Computer Science, vol. 3, no. 5, p. 385, 2022.</w:t>
      </w:r>
    </w:p>
    <w:p>
      <w:pPr>
        <w:ind w:left="360" w:hanging="360"/>
        <w:jc w:val="both"/>
      </w:pPr>
      <w:r>
        <w:rPr>
          <w:rFonts w:ascii="Times New Roman" w:hAnsi="Times New Roman"/>
          <w:sz w:val="18"/>
        </w:rPr>
        <w:t>[5] A. Biørn-Hansen, T.-M. Grønli, and G. Ghinea, "A survey and taxonomy of core concepts and research challenges in cross-platform mobile development," ACM Computing Surveys, vol. 51, no. 5, pp. 1–34, 2020.</w:t>
      </w:r>
    </w:p>
    <w:p>
      <w:pPr>
        <w:ind w:left="360" w:hanging="360"/>
        <w:jc w:val="both"/>
      </w:pPr>
      <w:r>
        <w:rPr>
          <w:rFonts w:ascii="Times New Roman" w:hAnsi="Times New Roman"/>
          <w:sz w:val="18"/>
        </w:rPr>
        <w:t>[6] T. A. Majchrzak, A. Biørn-Hansen, and T.-M. Grønli, "Progressive web apps: The definite approach to cross-platform development?" in Proc. 51st Hawaii Int. Conf. System Sciences (HICSS), 2018, pp. 5735–5744.</w:t>
      </w:r>
    </w:p>
    <w:p>
      <w:pPr>
        <w:ind w:left="360" w:hanging="360"/>
        <w:jc w:val="both"/>
      </w:pPr>
      <w:r>
        <w:rPr>
          <w:rFonts w:ascii="Times New Roman" w:hAnsi="Times New Roman"/>
          <w:sz w:val="18"/>
        </w:rPr>
        <w:t>[7] D. Inupakutika, G. Rodriguez, D. Akopian, P. Lama, P. Chalela, and A. G. Ramirez, "On the performance of cloud-based mHealth applications: A methodology on measuring service response time and a case study," IEEE Access, vol. 10, pp. 53208–53224, 2022.</w:t>
      </w:r>
    </w:p>
    <w:p>
      <w:pPr>
        <w:ind w:left="360" w:hanging="360"/>
        <w:jc w:val="both"/>
      </w:pPr>
      <w:r>
        <w:rPr>
          <w:rFonts w:ascii="Times New Roman" w:hAnsi="Times New Roman"/>
          <w:sz w:val="18"/>
        </w:rPr>
        <w:t>[8] G. R. Gunnam, D. Inupakutika, R. Mundlamuri, S. Kaghyan, and D. Akopian, "Assessing performance of cloud-based heterogeneous chatbot systems and a case study," IEEE Access, vol. 12, pp. 81631–81645, 2024.</w:t>
      </w:r>
    </w:p>
    <w:p>
      <w:pPr>
        <w:ind w:left="360" w:hanging="360"/>
        <w:jc w:val="both"/>
      </w:pPr>
      <w:r>
        <w:rPr>
          <w:rFonts w:ascii="Times New Roman" w:hAnsi="Times New Roman"/>
          <w:sz w:val="18"/>
        </w:rPr>
        <w:t>[9] L. Moroney, The Definitive Guide to Firebase. Berkeley, CA, USA: Apress, 2017.</w:t>
      </w:r>
    </w:p>
    <w:p>
      <w:pPr>
        <w:ind w:left="360" w:hanging="360"/>
        <w:jc w:val="both"/>
      </w:pPr>
      <w:r>
        <w:rPr>
          <w:rFonts w:ascii="Times New Roman" w:hAnsi="Times New Roman"/>
          <w:sz w:val="18"/>
        </w:rPr>
        <w:t>[10] E. Gamma, R. Helm, R. Johnson, and J. Vlissides, Design Patterns: Elements of Reusable Object-Oriented Software. Reading, MA, USA: Addison-Wesley, 1994.</w:t>
      </w:r>
    </w:p>
    <w:p>
      <w:pPr>
        <w:ind w:left="360" w:hanging="360"/>
        <w:jc w:val="both"/>
      </w:pPr>
      <w:r>
        <w:rPr>
          <w:rFonts w:ascii="Times New Roman" w:hAnsi="Times New Roman"/>
          <w:sz w:val="18"/>
        </w:rPr>
        <w:t>[11] N. Megiddo and D. S. Modha, "ARC: A self-tuning, low overhead replacement cache," in Proc. USENIX FAST, 2003, pp. 115–130.</w:t>
      </w:r>
    </w:p>
    <w:p>
      <w:pPr>
        <w:ind w:left="360" w:hanging="360"/>
        <w:jc w:val="both"/>
      </w:pPr>
      <w:r>
        <w:rPr>
          <w:rFonts w:ascii="Times New Roman" w:hAnsi="Times New Roman"/>
          <w:sz w:val="18"/>
        </w:rPr>
        <w:t>[12] M. L. Ybarra, M. Holtrop, T. B. Prescott, and D. Strong, "Process evaluation of a mHealth program: Lessons learned from Stop My Smoking USA," Patient Education and Counseling, vol. 97, no. 2, pp. 239–243, 2014.</w:t>
      </w:r>
    </w:p>
    <w:p>
      <w:pPr>
        <w:ind w:left="360" w:hanging="360"/>
        <w:jc w:val="both"/>
      </w:pPr>
      <w:r>
        <w:rPr>
          <w:rFonts w:ascii="Times New Roman" w:hAnsi="Times New Roman"/>
          <w:sz w:val="18"/>
        </w:rPr>
        <w:t>[13] G. R. Gunnam, D. Akopian, A. Adiraju, et al., "Design and implementation of a cross-platform RCS messaging application for mHealth," Int. J. Computer Applications, vol. 186, 2024.</w:t>
      </w:r>
    </w:p>
    <w:p>
      <w:pPr>
        <w:ind w:left="360" w:hanging="360"/>
        <w:jc w:val="both"/>
      </w:pPr>
      <w:r>
        <w:rPr>
          <w:rFonts w:ascii="Times New Roman" w:hAnsi="Times New Roman"/>
          <w:sz w:val="18"/>
        </w:rPr>
        <w:t>[14] A. Adiraju, "Design and implementation of a cross-platform RCS messaging application for smoking cessation mHealth intervention," M.S. thesis, Dept. Elect. Comput. Eng., Univ. Texas San Antonio, San Antonio, TX, USA, 2025.</w:t>
      </w:r>
    </w:p>
    <w:p>
      <w:pPr>
        <w:ind w:left="360" w:hanging="360"/>
        <w:jc w:val="both"/>
      </w:pPr>
      <w:r>
        <w:rPr>
          <w:rFonts w:ascii="Times New Roman" w:hAnsi="Times New Roman"/>
          <w:sz w:val="18"/>
        </w:rPr>
        <w:t>[15] J. B. Bricker et al., "Conversational chatbot for cigarette smoking cessation: Results from the 11-step user-centered design development process and randomized controlled trial," JMIR mHealth and uHealth, vol. 12, no. 1, e57318, 2024.</w:t>
      </w:r>
    </w:p>
    <w:p>
      <w:pPr>
        <w:ind w:left="360" w:hanging="360"/>
        <w:jc w:val="both"/>
      </w:pPr>
      <w:r>
        <w:rPr>
          <w:rFonts w:ascii="Times New Roman" w:hAnsi="Times New Roman"/>
          <w:sz w:val="18"/>
        </w:rPr>
        <w:t>[16] P. Lewis et al., "Retrieval-augmented generation for knowledge-intensive NLP tasks," in Advances in Neural Information Processing Systems (NeurIPS), vol. 33, 2020, pp. 9459–9474.</w:t>
      </w:r>
    </w:p>
    <w:p>
      <w:pPr>
        <w:ind w:left="360" w:hanging="360"/>
        <w:jc w:val="both"/>
      </w:pPr>
      <w:r>
        <w:rPr>
          <w:rFonts w:ascii="Times New Roman" w:hAnsi="Times New Roman"/>
          <w:sz w:val="18"/>
        </w:rPr>
        <w:t>[17] S. Es, J. James, L. Espinosa-Anke, and S. Schockaert, "RAGAS: Automated evaluation of retrieval augmented generation," arXiv preprint arXiv:2309.15217, 2023.</w:t>
      </w:r>
    </w:p>
    <w:p>
      <w:pPr>
        <w:ind w:left="360" w:hanging="360"/>
        <w:jc w:val="both"/>
      </w:pPr>
      <w:r>
        <w:rPr>
          <w:rFonts w:ascii="Times New Roman" w:hAnsi="Times New Roman"/>
          <w:sz w:val="18"/>
        </w:rPr>
        <w:t>[18] E. Mellatdoust Pordel, D. Akopian, and L. Velez, "Web retrieval-augmented generation for a smoking cessation counseling assistant: Evaluation of faithfulness and latency," [Manuscript in preparation],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