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Continuation Prompt</w:t>
      </w:r>
    </w:p>
    <w:p>
      <w:pPr>
        <w:jc w:val="center"/>
      </w:pPr>
      <w:r>
        <w:t>ACL BioNLP 2026 — Smoking Cessation RAG Evaluation Paper</w:t>
      </w:r>
    </w:p>
    <w:p>
      <w:pPr>
        <w:jc w:val="center"/>
      </w:pPr>
      <w:r>
        <w:t>Created: March 17, 2026 | Deadline: April 17, 2026</w:t>
      </w:r>
    </w:p>
    <w:p/>
    <w:p>
      <w:pPr>
        <w:pStyle w:val="Heading1"/>
      </w:pPr>
      <w:r>
        <w:t>Repository</w:t>
      </w:r>
    </w:p>
    <w:p>
      <w:r>
        <w:t>https://github.com/anudeepadi/laughing-memory</w:t>
      </w:r>
    </w:p>
    <w:p>
      <w:r>
        <w:rPr>
          <w:b/>
        </w:rPr>
        <w:t xml:space="preserve">Branch: </w:t>
      </w:r>
      <w:r>
        <w:t>master — fully committed and pushed</w:t>
      </w:r>
    </w:p>
    <w:p>
      <w:pPr>
        <w:pStyle w:val="Heading1"/>
      </w:pPr>
      <w:r>
        <w:t>What's Done</w:t>
      </w:r>
    </w:p>
    <w:p>
      <w:pPr>
        <w:pStyle w:val="ListBullet"/>
      </w:pPr>
      <w:r>
        <w:t>RAGAS evaluation complete for all 4 configs (baseline, ai_rag, human_rag, web_rag), n=100, concise mode</w:t>
      </w:r>
    </w:p>
    <w:p>
      <w:pPr>
        <w:pStyle w:val="ListBullet"/>
      </w:pPr>
      <w:r>
        <w:t>BERTScore evaluation complete (roberta-large)</w:t>
      </w:r>
    </w:p>
    <w:p>
      <w:pPr>
        <w:pStyle w:val="ListBullet"/>
      </w:pPr>
      <w:r>
        <w:t>Statistical significance tests complete (Wilcoxon + Cliff's delta + bootstrap CIs)</w:t>
      </w:r>
    </w:p>
    <w:p>
      <w:pPr>
        <w:pStyle w:val="ListBullet"/>
      </w:pPr>
      <w:r>
        <w:t>All results saved in results/ragas_evaluation/, results/bertscore/, results/statistical_tests/</w:t>
      </w:r>
    </w:p>
    <w:p>
      <w:pPr>
        <w:pStyle w:val="ListBullet"/>
      </w:pPr>
      <w:r>
        <w:t>Scripts modified: ragas_evaluation.py (auth fail-fast, removed NaN masking), statistical_tests.py (merged multi-file loading)</w:t>
      </w:r>
    </w:p>
    <w:p>
      <w:pPr>
        <w:pStyle w:val="Heading1"/>
      </w:pPr>
      <w:r>
        <w:t>Key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Baseline (no RAG)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AI RAG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Human RAG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Web RAG</w:t>
            </w:r>
          </w:p>
        </w:tc>
      </w:tr>
      <w:tr>
        <w:tc>
          <w:tcPr>
            <w:tcW w:type="dxa" w:w="1728"/>
          </w:tcPr>
          <w:p>
            <w:r>
              <w:t>Faithfulness</w:t>
            </w:r>
          </w:p>
        </w:tc>
        <w:tc>
          <w:tcPr>
            <w:tcW w:type="dxa" w:w="1728"/>
          </w:tcPr>
          <w:p>
            <w:r>
              <w:t>0.147</w:t>
            </w:r>
          </w:p>
        </w:tc>
        <w:tc>
          <w:tcPr>
            <w:tcW w:type="dxa" w:w="1728"/>
          </w:tcPr>
          <w:p>
            <w:r>
              <w:t>0.727</w:t>
            </w:r>
          </w:p>
        </w:tc>
        <w:tc>
          <w:tcPr>
            <w:tcW w:type="dxa" w:w="1728"/>
          </w:tcPr>
          <w:p>
            <w:r>
              <w:t>0.800</w:t>
            </w:r>
          </w:p>
        </w:tc>
        <w:tc>
          <w:tcPr>
            <w:tcW w:type="dxa" w:w="1728"/>
          </w:tcPr>
          <w:p>
            <w:r>
              <w:t>0.741</w:t>
            </w:r>
          </w:p>
        </w:tc>
      </w:tr>
      <w:tr>
        <w:tc>
          <w:tcPr>
            <w:tcW w:type="dxa" w:w="1728"/>
          </w:tcPr>
          <w:p>
            <w:r>
              <w:t>BERTScore F1</w:t>
            </w:r>
          </w:p>
        </w:tc>
        <w:tc>
          <w:tcPr>
            <w:tcW w:type="dxa" w:w="1728"/>
          </w:tcPr>
          <w:p>
            <w:r>
              <w:t>0.898</w:t>
            </w:r>
          </w:p>
        </w:tc>
        <w:tc>
          <w:tcPr>
            <w:tcW w:type="dxa" w:w="1728"/>
          </w:tcPr>
          <w:p>
            <w:r>
              <w:t>0.885</w:t>
            </w:r>
          </w:p>
        </w:tc>
        <w:tc>
          <w:tcPr>
            <w:tcW w:type="dxa" w:w="1728"/>
          </w:tcPr>
          <w:p>
            <w:r>
              <w:t>0.889</w:t>
            </w:r>
          </w:p>
        </w:tc>
        <w:tc>
          <w:tcPr>
            <w:tcW w:type="dxa" w:w="1728"/>
          </w:tcPr>
          <w:p>
            <w:r>
              <w:t>0.883</w:t>
            </w:r>
          </w:p>
        </w:tc>
      </w:tr>
      <w:tr>
        <w:tc>
          <w:tcPr>
            <w:tcW w:type="dxa" w:w="1728"/>
          </w:tcPr>
          <w:p>
            <w:r>
              <w:t>Hallucination Rate</w:t>
            </w:r>
          </w:p>
        </w:tc>
        <w:tc>
          <w:tcPr>
            <w:tcW w:type="dxa" w:w="1728"/>
          </w:tcPr>
          <w:p>
            <w:r>
              <w:t>85.3%</w:t>
            </w:r>
          </w:p>
        </w:tc>
        <w:tc>
          <w:tcPr>
            <w:tcW w:type="dxa" w:w="1728"/>
          </w:tcPr>
          <w:p>
            <w:r>
              <w:t>27.3%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  <w:tc>
          <w:tcPr>
            <w:tcW w:type="dxa" w:w="1728"/>
          </w:tcPr>
          <w:p>
            <w:r>
              <w:t>25.9%</w:t>
            </w:r>
          </w:p>
        </w:tc>
      </w:tr>
      <w:tr>
        <w:tc>
          <w:tcPr>
            <w:tcW w:type="dxa" w:w="1728"/>
          </w:tcPr>
          <w:p>
            <w:r>
              <w:t>Answer Relevancy</w:t>
            </w:r>
          </w:p>
        </w:tc>
        <w:tc>
          <w:tcPr>
            <w:tcW w:type="dxa" w:w="1728"/>
          </w:tcPr>
          <w:p>
            <w:r>
              <w:t>0.841</w:t>
            </w:r>
          </w:p>
        </w:tc>
        <w:tc>
          <w:tcPr>
            <w:tcW w:type="dxa" w:w="1728"/>
          </w:tcPr>
          <w:p>
            <w:r>
              <w:t>0.564</w:t>
            </w:r>
          </w:p>
        </w:tc>
        <w:tc>
          <w:tcPr>
            <w:tcW w:type="dxa" w:w="1728"/>
          </w:tcPr>
          <w:p>
            <w:r>
              <w:t>0.708</w:t>
            </w:r>
          </w:p>
        </w:tc>
        <w:tc>
          <w:tcPr>
            <w:tcW w:type="dxa" w:w="1728"/>
          </w:tcPr>
          <w:p>
            <w:r>
              <w:t>0.526</w:t>
            </w:r>
          </w:p>
        </w:tc>
      </w:tr>
    </w:tbl>
    <w:p/>
    <w:p>
      <w:pPr>
        <w:pStyle w:val="Heading1"/>
      </w:pPr>
      <w:r>
        <w:t>Core Finding (The Paradox)</w:t>
      </w:r>
    </w:p>
    <w:p>
      <w:r>
        <w:rPr>
          <w:b/>
        </w:rPr>
        <w:t xml:space="preserve">Baseline has the HIGHEST BERTScore but LOWEST faithfulness. </w:t>
      </w:r>
      <w:r>
        <w:t>RAG provides grounding/traceability — not new knowledge. GPT-4o-mini already knows smoking cessation well (domain saturation), so RAG's value is auditable evidence, not content improvement.</w:t>
      </w:r>
    </w:p>
    <w:p>
      <w:pPr>
        <w:pStyle w:val="Heading1"/>
      </w:pPr>
      <w:r>
        <w:t>Statistical Significance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 / effect</w:t>
            </w:r>
          </w:p>
        </w:tc>
      </w:tr>
      <w:tr>
        <w:tc>
          <w:tcPr>
            <w:tcW w:type="dxa" w:w="2880"/>
          </w:tcPr>
          <w:p>
            <w:r>
              <w:t>BERTScore</w:t>
            </w:r>
          </w:p>
        </w:tc>
        <w:tc>
          <w:tcPr>
            <w:tcW w:type="dxa" w:w="2880"/>
          </w:tcPr>
          <w:p>
            <w:r>
              <w:t>Baseline &gt; all RAG configs</w:t>
            </w:r>
          </w:p>
        </w:tc>
        <w:tc>
          <w:tcPr>
            <w:tcW w:type="dxa" w:w="2880"/>
          </w:tcPr>
          <w:p>
            <w:r>
              <w:t>p&lt;0.001, large Cliff's d (0.48–0.58)</w:t>
            </w:r>
          </w:p>
        </w:tc>
      </w:tr>
      <w:tr>
        <w:tc>
          <w:tcPr>
            <w:tcW w:type="dxa" w:w="2880"/>
          </w:tcPr>
          <w:p>
            <w:r>
              <w:t>Faithfulness</w:t>
            </w:r>
          </w:p>
        </w:tc>
        <w:tc>
          <w:tcPr>
            <w:tcW w:type="dxa" w:w="2880"/>
          </w:tcPr>
          <w:p>
            <w:r>
              <w:t>Cannot pair baseline vs RAG (different scoring basis)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Among RAG configs — Faithfulness</w:t>
            </w:r>
          </w:p>
        </w:tc>
        <w:tc>
          <w:tcPr>
            <w:tcW w:type="dxa" w:w="2880"/>
          </w:tcPr>
          <w:p>
            <w:r>
              <w:t>Differences NOT significant</w:t>
            </w:r>
          </w:p>
        </w:tc>
        <w:tc>
          <w:tcPr>
            <w:tcW w:type="dxa" w:w="2880"/>
          </w:tcPr>
          <w:p>
            <w:r>
              <w:t>p&gt;0.05, negligible effect</w:t>
            </w:r>
          </w:p>
        </w:tc>
      </w:tr>
      <w:tr>
        <w:tc>
          <w:tcPr>
            <w:tcW w:type="dxa" w:w="2880"/>
          </w:tcPr>
          <w:p>
            <w:r>
              <w:t>Answer Relevancy</w:t>
            </w:r>
          </w:p>
        </w:tc>
        <w:tc>
          <w:tcPr>
            <w:tcW w:type="dxa" w:w="2880"/>
          </w:tcPr>
          <w:p>
            <w:r>
              <w:t>Baseline &gt; RAG; Human RAG &gt; AI RAG</w:t>
            </w:r>
          </w:p>
        </w:tc>
        <w:tc>
          <w:tcPr>
            <w:tcW w:type="dxa" w:w="2880"/>
          </w:tcPr>
          <w:p>
            <w:r>
              <w:t>p&lt;0.001; p=0.004</w:t>
            </w:r>
          </w:p>
        </w:tc>
      </w:tr>
      <w:tr>
        <w:tc>
          <w:tcPr>
            <w:tcW w:type="dxa" w:w="2880"/>
          </w:tcPr>
          <w:p>
            <w:r>
              <w:t>Context Recall</w:t>
            </w:r>
          </w:p>
        </w:tc>
        <w:tc>
          <w:tcPr>
            <w:tcW w:type="dxa" w:w="2880"/>
          </w:tcPr>
          <w:p>
            <w:r>
              <w:t>Human RAG &gt; AI RAG &gt; Web RAG</w:t>
            </w:r>
          </w:p>
        </w:tc>
        <w:tc>
          <w:tcPr>
            <w:tcW w:type="dxa" w:w="2880"/>
          </w:tcPr>
          <w:p>
            <w:r>
              <w:t>p&lt;0.001</w:t>
            </w:r>
          </w:p>
        </w:tc>
      </w:tr>
    </w:tbl>
    <w:p/>
    <w:p>
      <w:pPr>
        <w:pStyle w:val="Heading1"/>
      </w:pPr>
      <w:r>
        <w:t>Priority Action Items</w:t>
      </w:r>
    </w:p>
    <w:p>
      <w:r>
        <w:rPr>
          <w:b/>
        </w:rPr>
        <w:t>1. Add a second LLM [HIGH]</w:t>
        <w:br/>
      </w:r>
      <w:r>
        <w:t>Run experiments with Llama-3-8B-Instruct or GPT-4o to test if the paradox replicates. This is the most important improvement for reviewers. ~2 days work.</w:t>
      </w:r>
    </w:p>
    <w:p/>
    <w:p>
      <w:r>
        <w:rPr>
          <w:b/>
        </w:rPr>
        <w:t>2. Fix baseline faithfulness methodology [HIGH]</w:t>
        <w:br/>
      </w:r>
      <w:r>
        <w:t>Currently uses "placeholder" context. Need to either: (a) use ground-truth as context for all conditions, (b) frame baseline faithfulness=0.147 as "grounding floor" rather than hallucination metric. Current approach is methodologically questionable.</w:t>
      </w:r>
    </w:p>
    <w:p/>
    <w:p>
      <w:r>
        <w:rPr>
          <w:b/>
        </w:rPr>
        <w:t>3. PubMedBERT embedding ablation [MEDIUM]</w:t>
        <w:br/>
      </w:r>
      <w:r>
        <w:t>Compare domain-specific vs default ChromaDB embeddings (all-MiniLM-L6-v2). If results are similar, it strengthens conclusions. ~1 day work.</w:t>
      </w:r>
    </w:p>
    <w:p/>
    <w:p>
      <w:r>
        <w:rPr>
          <w:b/>
        </w:rPr>
        <w:t>4. Write the 4-page short paper [CRITICAL]</w:t>
        <w:br/>
      </w:r>
      <w:r>
        <w:t>ACL format. Lead with faithfulness–BERTScore paradox. Frame as evaluation framework paper. The KB-source comparison (human vs AI-generated vs web) is the genuinely novel contribution.</w:t>
      </w:r>
    </w:p>
    <w:p/>
    <w:p>
      <w:pPr>
        <w:pStyle w:val="Heading1"/>
      </w:pPr>
      <w:r>
        <w:t>Key Citations (Must-Cite)</w:t>
      </w:r>
    </w:p>
    <w:p>
      <w:r>
        <w:rPr>
          <w:b/>
        </w:rPr>
        <w:t xml:space="preserve">RAG² (Sohn et al., NAACL 2025 Oral): </w:t>
      </w:r>
      <w:r>
        <w:t>Shows RAG underperforms for strong models — direct parallel to this study</w:t>
      </w:r>
    </w:p>
    <w:p>
      <w:r>
        <w:rPr>
          <w:b/>
        </w:rPr>
        <w:t xml:space="preserve">MedMeta (Ha et al., ICLR 2026): </w:t>
      </w:r>
      <w:r>
        <w:t>Domain saturation + BERTScore limitations in medical QA</w:t>
      </w:r>
    </w:p>
    <w:p>
      <w:r>
        <w:rPr>
          <w:b/>
        </w:rPr>
        <w:t xml:space="preserve">MIRAGE/MedRAG (Xiong et al., ACL 2024): </w:t>
      </w:r>
      <w:r>
        <w:t>Foundational medical RAG benchmark</w:t>
      </w:r>
    </w:p>
    <w:p>
      <w:r>
        <w:rPr>
          <w:b/>
        </w:rPr>
        <w:t xml:space="preserve">QuitBot (Bock et al., JMIR mHealth 2024): </w:t>
      </w:r>
      <w:r>
        <w:t>Closest smoking cessation + LLM work</w:t>
      </w:r>
    </w:p>
    <w:p>
      <w:r>
        <w:rPr>
          <w:b/>
        </w:rPr>
        <w:t xml:space="preserve">RAGAS (Es et al., EACL 2024): </w:t>
      </w:r>
      <w:r>
        <w:t>Evaluation framework used in this study</w:t>
      </w:r>
    </w:p>
    <w:p>
      <w:r>
        <w:rPr>
          <w:b/>
        </w:rPr>
        <w:t xml:space="preserve">Lewis et al. (2020): </w:t>
      </w:r>
      <w:r>
        <w:t>Original RAG paper — foundational reference</w:t>
      </w:r>
    </w:p>
    <w:p>
      <w:pPr>
        <w:pStyle w:val="Heading1"/>
      </w:pPr>
      <w:r>
        <w:t>Paper Framing</w:t>
      </w:r>
    </w:p>
    <w:p>
      <w:r>
        <w:t>Frame as: Evaluation framework paper with the paradox as the headline finding. Main claim: "In domains where LLMs already possess strong parametric knowledge, RAG's primary value is providing auditable grounding and reducing hallucination — not injecting new knowledge. Furthermore, AI-generated knowledge bases can approximate human-curated ones at minimal cost (~$0.50 vs. expert curation)."</w:t>
      </w:r>
    </w:p>
    <w:p>
      <w:r>
        <w:t>Do NOT frame as a negative result. RAG still reduces hallucination from 85% → 20%. Frame the BERTScore paradox as revealing what kind of improvement RAG provides.</w:t>
      </w:r>
    </w:p>
    <w:p>
      <w:pPr>
        <w:pStyle w:val="Heading1"/>
      </w:pPr>
      <w:r>
        <w:t>Important Notes</w:t>
      </w:r>
    </w:p>
    <w:p>
      <w:pPr>
        <w:pStyle w:val="ListBullet"/>
      </w:pPr>
      <w:r>
        <w:t>.env has updated OpenAI API key (updated 2026-03-12, old one was deactivated)</w:t>
      </w:r>
    </w:p>
    <w:p>
      <w:pPr>
        <w:pStyle w:val="ListBullet"/>
      </w:pPr>
      <w:r>
        <w:t>.env is gitignored — copy keys manually on new device from 1Password/secure store</w:t>
      </w:r>
    </w:p>
    <w:p>
      <w:pPr>
        <w:pStyle w:val="ListBullet"/>
      </w:pPr>
      <w:r>
        <w:t>RERUN_PLAN.md and ANALYSIS_AND_RECOMMENDATIONS.md have full methodology details in repo</w:t>
      </w:r>
    </w:p>
    <w:p>
      <w:pPr>
        <w:pStyle w:val="ListBullet"/>
      </w:pPr>
      <w:r>
        <w:t>Separate project parked: mnemonic-autoimprove (plan in .claude/plans/declarative-hatching-lamport.md)</w:t>
      </w:r>
    </w:p>
    <w:p>
      <w:pPr>
        <w:pStyle w:val="ListBullet"/>
      </w:pPr>
      <w:r>
        <w:t>Statistical tests load from multiple result files — this was fixed in this session</w:t>
      </w:r>
    </w:p>
    <w:p>
      <w:pPr>
        <w:pStyle w:val="ListBullet"/>
      </w:pPr>
      <w:r>
        <w:t>Perplexity literature review confirmed novelty of KB-source comparison and "grounding not knowledge" framing</w:t>
      </w:r>
    </w:p>
    <w:p>
      <w:pPr>
        <w:pStyle w:val="Heading1"/>
      </w:pPr>
      <w:r>
        <w:t>Timeline to April 17 Deadline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</w:tcPr>
          <w:p>
            <w:r>
              <w:t>Mar 17–20</w:t>
            </w:r>
          </w:p>
        </w:tc>
        <w:tc>
          <w:tcPr>
            <w:tcW w:type="dxa" w:w="4320"/>
          </w:tcPr>
          <w:p>
            <w:r>
              <w:t>Run second LLM experiments (Llama-3-8B or GPT-4o subset)</w:t>
            </w:r>
          </w:p>
        </w:tc>
      </w:tr>
      <w:tr>
        <w:tc>
          <w:tcPr>
            <w:tcW w:type="dxa" w:w="4320"/>
          </w:tcPr>
          <w:p>
            <w:r>
              <w:t>Mar 20–27</w:t>
            </w:r>
          </w:p>
        </w:tc>
        <w:tc>
          <w:tcPr>
            <w:tcW w:type="dxa" w:w="4320"/>
          </w:tcPr>
          <w:p>
            <w:r>
              <w:t>Fix baseline faithfulness; PubMedBERT ablation; mini human evaluation</w:t>
            </w:r>
          </w:p>
        </w:tc>
      </w:tr>
      <w:tr>
        <w:tc>
          <w:tcPr>
            <w:tcW w:type="dxa" w:w="4320"/>
          </w:tcPr>
          <w:p>
            <w:r>
              <w:t>Mar 27–Apr 3</w:t>
            </w:r>
          </w:p>
        </w:tc>
        <w:tc>
          <w:tcPr>
            <w:tcW w:type="dxa" w:w="4320"/>
          </w:tcPr>
          <w:p>
            <w:r>
              <w:t>Write paper; integrate new results</w:t>
            </w:r>
          </w:p>
        </w:tc>
      </w:tr>
      <w:tr>
        <w:tc>
          <w:tcPr>
            <w:tcW w:type="dxa" w:w="4320"/>
          </w:tcPr>
          <w:p>
            <w:r>
              <w:t>Apr 3–10</w:t>
            </w:r>
          </w:p>
        </w:tc>
        <w:tc>
          <w:tcPr>
            <w:tcW w:type="dxa" w:w="4320"/>
          </w:tcPr>
          <w:p>
            <w:r>
              <w:t>Internal review; revise framing; finalize related work</w:t>
            </w:r>
          </w:p>
        </w:tc>
      </w:tr>
      <w:tr>
        <w:tc>
          <w:tcPr>
            <w:tcW w:type="dxa" w:w="4320"/>
          </w:tcPr>
          <w:p>
            <w:r>
              <w:t>Apr 10–17</w:t>
            </w:r>
          </w:p>
        </w:tc>
        <w:tc>
          <w:tcPr>
            <w:tcW w:type="dxa" w:w="4320"/>
          </w:tcPr>
          <w:p>
            <w:r>
              <w:t>Final polish; ACL style files; submit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