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proofErr w:type="gramStart"/>
      <w:r w:rsidRPr="00643480">
        <w:rPr>
          <w:lang w:eastAsia="en-IN"/>
        </w:rPr>
        <w:t>secondary</w:t>
      </w:r>
      <w:proofErr w:type="gramEnd"/>
      <w:r w:rsidRPr="00643480">
        <w:rPr>
          <w:lang w:eastAsia="en-IN"/>
        </w:rPr>
        <w:t>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proofErr w:type="gramStart"/>
      <w:r w:rsidRPr="000B7FDD">
        <w:rPr>
          <w:lang w:eastAsia="en-IN"/>
        </w:rPr>
        <w:t>is</w:t>
      </w:r>
      <w:proofErr w:type="gramEnd"/>
      <w:r w:rsidRPr="000B7FDD">
        <w:rPr>
          <w:lang w:eastAsia="en-IN"/>
        </w:rPr>
        <w:t>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proofErr w:type="gramStart"/>
      <w:r>
        <w:rPr>
          <w:lang w:eastAsia="en-IN"/>
        </w:rPr>
        <w:t>So</w:t>
      </w:r>
      <w:proofErr w:type="gramEnd"/>
      <w:r>
        <w:rPr>
          <w:lang w:eastAsia="en-IN"/>
        </w:rPr>
        <w:t xml:space="preserve">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w:t>
      </w:r>
      <w:r w:rsidRPr="00520817">
        <w:rPr>
          <w:lang w:eastAsia="en-IN"/>
        </w:rPr>
        <w:t>data frame</w:t>
      </w:r>
      <w:r w:rsidRPr="00520817">
        <w:rPr>
          <w:lang w:eastAsia="en-IN"/>
        </w:rPr>
        <w:t>.</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w:t>
      </w:r>
      <w:r w:rsidR="00854DB2">
        <w:rPr>
          <w:lang w:eastAsia="en-IN"/>
        </w:rPr>
        <w:t>—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proofErr w:type="gramStart"/>
      <w:r w:rsidRPr="001679A5">
        <w:rPr>
          <w:lang w:eastAsia="en-IN"/>
        </w:rPr>
        <w:t>sale</w:t>
      </w:r>
      <w:proofErr w:type="gramEnd"/>
      <w:r w:rsidRPr="001679A5">
        <w:rPr>
          <w:lang w:eastAsia="en-IN"/>
        </w:rPr>
        <w:t>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 xml:space="preserve">Exploratory Data Analysis (EDA) is performed to understand the overall characteristics of Sephora's product </w:t>
      </w:r>
      <w:r>
        <w:t>catalogue</w:t>
      </w:r>
      <w:r>
        <w:t>, identify satisfaction patterns, and evaluate the key factors</w:t>
      </w:r>
      <w:r>
        <w:t xml:space="preserve"> </w:t>
      </w:r>
      <w:r>
        <w:t>influencing Customer Satisfaction Score (CSS). EDA helps validate business hypotheses,</w:t>
      </w:r>
      <w:r>
        <w:t xml:space="preserve"> </w:t>
      </w:r>
      <w:r>
        <w:t>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r>
                            <w:r w:rsidRPr="004252EC">
                              <w:t>Kurtosis: 4.325</w:t>
                            </w:r>
                            <w:r w:rsidRPr="004252EC">
                              <w:br/>
                            </w:r>
                            <w:r w:rsidRPr="004252EC">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r>
                      <w:r w:rsidRPr="004252EC">
                        <w:t>Kurtosis: 4.325</w:t>
                      </w:r>
                      <w:r w:rsidRPr="004252EC">
                        <w:br/>
                      </w:r>
                      <w:r w:rsidRPr="004252EC">
                        <w:t xml:space="preserve">Mean: 4.195 </w:t>
                      </w:r>
                      <w:r>
                        <w:br/>
                      </w:r>
                      <w:r w:rsidRPr="004252EC">
                        <w:t>Median: 4.289</w:t>
                      </w:r>
                    </w:p>
                  </w:txbxContent>
                </v:textbox>
                <w10:wrap anchorx="margin"/>
              </v:shape>
            </w:pict>
          </mc:Fallback>
        </mc:AlternateContent>
      </w:r>
      <w:r>
        <w:rPr>
          <w:b/>
          <w:bCs/>
        </w:rPr>
        <w:t>`</w:t>
      </w:r>
      <w:r w:rsidR="0009356A" w:rsidRPr="0009356A">
        <w:rPr>
          <w:b/>
          <w:bCs/>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77777777" w:rsidR="004252EC" w:rsidRPr="004252EC" w:rsidRDefault="004252EC" w:rsidP="0009356A"/>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7D6EBA67">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pPr>
        <w:pStyle w:val="ListParagraph"/>
        <w:numPr>
          <w:ilvl w:val="0"/>
          <w:numId w:val="9"/>
        </w:numPr>
        <w:rPr>
          <w:lang w:eastAsia="en-IN"/>
        </w:rPr>
      </w:pPr>
      <w:r w:rsidRPr="001C3410">
        <w:rPr>
          <w:lang w:eastAsia="en-IN"/>
        </w:rPr>
        <w:lastRenderedPageBreak/>
        <w:t>The LRR decomposition is mathematically valid, with individual loan status contributions summing exactly to the overall portfolio LRR (51.27%).</w:t>
      </w:r>
    </w:p>
    <w:p w14:paraId="49608CD0" w14:textId="3136966F" w:rsidR="008619DB" w:rsidRDefault="001C3410">
      <w:pPr>
        <w:pStyle w:val="ListParagraph"/>
        <w:numPr>
          <w:ilvl w:val="0"/>
          <w:numId w:val="9"/>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pPr>
        <w:pStyle w:val="ListParagraph"/>
        <w:numPr>
          <w:ilvl w:val="0"/>
          <w:numId w:val="9"/>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pPr>
        <w:pStyle w:val="ListParagraph"/>
        <w:numPr>
          <w:ilvl w:val="0"/>
          <w:numId w:val="9"/>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pPr>
        <w:pStyle w:val="ListParagraph"/>
        <w:numPr>
          <w:ilvl w:val="0"/>
          <w:numId w:val="10"/>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pPr>
        <w:pStyle w:val="ListParagraph"/>
        <w:numPr>
          <w:ilvl w:val="0"/>
          <w:numId w:val="10"/>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pPr>
        <w:pStyle w:val="ListParagraph"/>
        <w:numPr>
          <w:ilvl w:val="0"/>
          <w:numId w:val="10"/>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34A3728F">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pPr>
        <w:pStyle w:val="ListParagraph"/>
        <w:numPr>
          <w:ilvl w:val="0"/>
          <w:numId w:val="11"/>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pPr>
        <w:pStyle w:val="ListParagraph"/>
        <w:numPr>
          <w:ilvl w:val="0"/>
          <w:numId w:val="11"/>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pPr>
        <w:pStyle w:val="ListParagraph"/>
        <w:numPr>
          <w:ilvl w:val="0"/>
          <w:numId w:val="11"/>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pPr>
        <w:pStyle w:val="ListParagraph"/>
        <w:numPr>
          <w:ilvl w:val="0"/>
          <w:numId w:val="12"/>
        </w:numPr>
        <w:rPr>
          <w:lang w:eastAsia="en-IN"/>
        </w:rPr>
      </w:pPr>
      <w:r w:rsidRPr="001C3410">
        <w:rPr>
          <w:lang w:eastAsia="en-IN"/>
        </w:rPr>
        <w:lastRenderedPageBreak/>
        <w:t>Repayment improvement initiatives should focus on the large middle-income borrower segment rather than a small number of high-income customers, as they represent the majority of the portfolio.</w:t>
      </w:r>
    </w:p>
    <w:p w14:paraId="2C523AD6" w14:textId="04CDCA5C" w:rsidR="001C3410" w:rsidRDefault="001C3410">
      <w:pPr>
        <w:pStyle w:val="ListParagraph"/>
        <w:numPr>
          <w:ilvl w:val="0"/>
          <w:numId w:val="12"/>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pPr>
        <w:pStyle w:val="ListParagraph"/>
        <w:numPr>
          <w:ilvl w:val="0"/>
          <w:numId w:val="12"/>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pPr>
        <w:pStyle w:val="ListParagraph"/>
        <w:numPr>
          <w:ilvl w:val="0"/>
          <w:numId w:val="12"/>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pPr>
        <w:pStyle w:val="ListParagraph"/>
        <w:numPr>
          <w:ilvl w:val="0"/>
          <w:numId w:val="13"/>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pPr>
        <w:pStyle w:val="ListParagraph"/>
        <w:numPr>
          <w:ilvl w:val="0"/>
          <w:numId w:val="13"/>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pPr>
        <w:pStyle w:val="ListParagraph"/>
        <w:numPr>
          <w:ilvl w:val="0"/>
          <w:numId w:val="13"/>
        </w:numPr>
        <w:rPr>
          <w:lang w:eastAsia="en-IN"/>
        </w:rPr>
      </w:pPr>
      <w:r>
        <w:rPr>
          <w:lang w:eastAsia="en-IN"/>
        </w:rPr>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pPr>
        <w:pStyle w:val="ListParagraph"/>
        <w:numPr>
          <w:ilvl w:val="0"/>
          <w:numId w:val="14"/>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pPr>
        <w:pStyle w:val="ListParagraph"/>
        <w:numPr>
          <w:ilvl w:val="0"/>
          <w:numId w:val="14"/>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pPr>
        <w:pStyle w:val="ListParagraph"/>
        <w:numPr>
          <w:ilvl w:val="0"/>
          <w:numId w:val="14"/>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lastRenderedPageBreak/>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pPr>
        <w:pStyle w:val="ListParagraph"/>
        <w:numPr>
          <w:ilvl w:val="0"/>
          <w:numId w:val="15"/>
        </w:numPr>
      </w:pPr>
      <w:r w:rsidRPr="00277A5E">
        <w:t>Default rate increases consistently from Grade A (1.8%) to Grade G (15.7%), indicating that lower loan grades are associated with substantially higher credit risk.</w:t>
      </w:r>
    </w:p>
    <w:p w14:paraId="3EB1B1ED" w14:textId="0FE8B2C5" w:rsidR="00277A5E" w:rsidRDefault="00277A5E">
      <w:pPr>
        <w:pStyle w:val="ListParagraph"/>
        <w:numPr>
          <w:ilvl w:val="0"/>
          <w:numId w:val="15"/>
        </w:numPr>
      </w:pPr>
      <w:r w:rsidRPr="00277A5E">
        <w:t>60-month loans have a higher default rate (6.1%) than 36-month loans (4.8%), confirming the additional risk of longer repayment periods.</w:t>
      </w:r>
    </w:p>
    <w:p w14:paraId="5415D8E2" w14:textId="7DDE656B" w:rsidR="00277A5E" w:rsidRDefault="00277A5E">
      <w:pPr>
        <w:pStyle w:val="ListParagraph"/>
        <w:numPr>
          <w:ilvl w:val="0"/>
          <w:numId w:val="15"/>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16"/>
        </w:numPr>
      </w:pPr>
      <w:r w:rsidRPr="00277A5E">
        <w:t>Strengthen underwriting and monitoring for lower-grade (E–G) borrowers, as they contribute disproportionately to portfolio default risk.</w:t>
      </w:r>
    </w:p>
    <w:p w14:paraId="5EC87A9B" w14:textId="1BBF2A53" w:rsidR="00277A5E" w:rsidRDefault="00277A5E">
      <w:pPr>
        <w:pStyle w:val="ListParagraph"/>
        <w:numPr>
          <w:ilvl w:val="0"/>
          <w:numId w:val="16"/>
        </w:numPr>
      </w:pPr>
      <w:r w:rsidRPr="00277A5E">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16"/>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lastRenderedPageBreak/>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17"/>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17"/>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17"/>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18"/>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18"/>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18"/>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19"/>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19"/>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19"/>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19"/>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0"/>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0"/>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0"/>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2561D134">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1"/>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1"/>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1"/>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2"/>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2"/>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2"/>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25"/>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5"/>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26"/>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26"/>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3"/>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3"/>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3"/>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3"/>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4"/>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4"/>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EE128" w14:textId="77777777" w:rsidR="003B67C2" w:rsidRDefault="003B67C2" w:rsidP="00FA2011">
      <w:pPr>
        <w:spacing w:after="0" w:line="240" w:lineRule="auto"/>
      </w:pPr>
      <w:r>
        <w:separator/>
      </w:r>
    </w:p>
  </w:endnote>
  <w:endnote w:type="continuationSeparator" w:id="0">
    <w:p w14:paraId="28E8F311" w14:textId="77777777" w:rsidR="003B67C2" w:rsidRDefault="003B67C2"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A8E79" w14:textId="77777777" w:rsidR="003B67C2" w:rsidRDefault="003B67C2" w:rsidP="00FA2011">
      <w:pPr>
        <w:spacing w:after="0" w:line="240" w:lineRule="auto"/>
      </w:pPr>
      <w:r>
        <w:separator/>
      </w:r>
    </w:p>
  </w:footnote>
  <w:footnote w:type="continuationSeparator" w:id="0">
    <w:p w14:paraId="25A048C4" w14:textId="77777777" w:rsidR="003B67C2" w:rsidRDefault="003B67C2"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2"/>
  </w:num>
  <w:num w:numId="3" w16cid:durableId="1561214085">
    <w:abstractNumId w:val="6"/>
  </w:num>
  <w:num w:numId="4" w16cid:durableId="787118944">
    <w:abstractNumId w:val="34"/>
  </w:num>
  <w:num w:numId="5" w16cid:durableId="662273419">
    <w:abstractNumId w:val="9"/>
  </w:num>
  <w:num w:numId="6" w16cid:durableId="1337028227">
    <w:abstractNumId w:val="31"/>
  </w:num>
  <w:num w:numId="7" w16cid:durableId="1479149790">
    <w:abstractNumId w:val="25"/>
  </w:num>
  <w:num w:numId="8" w16cid:durableId="1395666342">
    <w:abstractNumId w:val="26"/>
  </w:num>
  <w:num w:numId="9" w16cid:durableId="2069642767">
    <w:abstractNumId w:val="7"/>
  </w:num>
  <w:num w:numId="10" w16cid:durableId="1117918506">
    <w:abstractNumId w:val="10"/>
  </w:num>
  <w:num w:numId="11" w16cid:durableId="981230692">
    <w:abstractNumId w:val="4"/>
  </w:num>
  <w:num w:numId="12" w16cid:durableId="1529678564">
    <w:abstractNumId w:val="32"/>
  </w:num>
  <w:num w:numId="13" w16cid:durableId="1865828128">
    <w:abstractNumId w:val="21"/>
  </w:num>
  <w:num w:numId="14" w16cid:durableId="1723938365">
    <w:abstractNumId w:val="0"/>
  </w:num>
  <w:num w:numId="15" w16cid:durableId="219293330">
    <w:abstractNumId w:val="35"/>
  </w:num>
  <w:num w:numId="16" w16cid:durableId="1669751919">
    <w:abstractNumId w:val="16"/>
  </w:num>
  <w:num w:numId="17" w16cid:durableId="1181628346">
    <w:abstractNumId w:val="11"/>
  </w:num>
  <w:num w:numId="18" w16cid:durableId="1920367612">
    <w:abstractNumId w:val="22"/>
  </w:num>
  <w:num w:numId="19" w16cid:durableId="1430739624">
    <w:abstractNumId w:val="13"/>
  </w:num>
  <w:num w:numId="20" w16cid:durableId="366150123">
    <w:abstractNumId w:val="19"/>
  </w:num>
  <w:num w:numId="21" w16cid:durableId="537401937">
    <w:abstractNumId w:val="18"/>
  </w:num>
  <w:num w:numId="22" w16cid:durableId="1058015444">
    <w:abstractNumId w:val="23"/>
  </w:num>
  <w:num w:numId="23" w16cid:durableId="476532285">
    <w:abstractNumId w:val="14"/>
  </w:num>
  <w:num w:numId="24" w16cid:durableId="1638336745">
    <w:abstractNumId w:val="2"/>
  </w:num>
  <w:num w:numId="25" w16cid:durableId="1554347269">
    <w:abstractNumId w:val="1"/>
  </w:num>
  <w:num w:numId="26" w16cid:durableId="1322926734">
    <w:abstractNumId w:val="33"/>
  </w:num>
  <w:num w:numId="27" w16cid:durableId="696084576">
    <w:abstractNumId w:val="30"/>
  </w:num>
  <w:num w:numId="28" w16cid:durableId="760031443">
    <w:abstractNumId w:val="28"/>
  </w:num>
  <w:num w:numId="29" w16cid:durableId="1412386055">
    <w:abstractNumId w:val="17"/>
  </w:num>
  <w:num w:numId="30" w16cid:durableId="2017614191">
    <w:abstractNumId w:val="15"/>
  </w:num>
  <w:num w:numId="31" w16cid:durableId="820658787">
    <w:abstractNumId w:val="8"/>
  </w:num>
  <w:num w:numId="32" w16cid:durableId="1544093939">
    <w:abstractNumId w:val="5"/>
  </w:num>
  <w:num w:numId="33" w16cid:durableId="819617006">
    <w:abstractNumId w:val="24"/>
  </w:num>
  <w:num w:numId="34" w16cid:durableId="1066876000">
    <w:abstractNumId w:val="29"/>
  </w:num>
  <w:num w:numId="35" w16cid:durableId="4290819">
    <w:abstractNumId w:val="20"/>
  </w:num>
  <w:num w:numId="36" w16cid:durableId="1651668795">
    <w:abstractNumId w:val="2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9356A"/>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8F"/>
    <w:rsid w:val="003B4072"/>
    <w:rsid w:val="003B67C2"/>
    <w:rsid w:val="003E76BC"/>
    <w:rsid w:val="00411019"/>
    <w:rsid w:val="00414C67"/>
    <w:rsid w:val="004252EC"/>
    <w:rsid w:val="00425375"/>
    <w:rsid w:val="00431C93"/>
    <w:rsid w:val="004A520A"/>
    <w:rsid w:val="004A54E2"/>
    <w:rsid w:val="00510488"/>
    <w:rsid w:val="00511BF2"/>
    <w:rsid w:val="00512E39"/>
    <w:rsid w:val="005138FB"/>
    <w:rsid w:val="00520817"/>
    <w:rsid w:val="00520A87"/>
    <w:rsid w:val="005239B4"/>
    <w:rsid w:val="0054572F"/>
    <w:rsid w:val="00577306"/>
    <w:rsid w:val="005814C0"/>
    <w:rsid w:val="00595EC0"/>
    <w:rsid w:val="005A1052"/>
    <w:rsid w:val="005B15D7"/>
    <w:rsid w:val="005B5886"/>
    <w:rsid w:val="005C0F49"/>
    <w:rsid w:val="005E0577"/>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336AC"/>
    <w:rsid w:val="008365CE"/>
    <w:rsid w:val="008408D6"/>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7776"/>
    <w:rsid w:val="00AB31AA"/>
    <w:rsid w:val="00AC4DFC"/>
    <w:rsid w:val="00AD6DC1"/>
    <w:rsid w:val="00B0660B"/>
    <w:rsid w:val="00B75E37"/>
    <w:rsid w:val="00B963AC"/>
    <w:rsid w:val="00BB71A9"/>
    <w:rsid w:val="00BD6BFA"/>
    <w:rsid w:val="00BE2DD0"/>
    <w:rsid w:val="00BE6B5A"/>
    <w:rsid w:val="00BF3CF8"/>
    <w:rsid w:val="00C0565E"/>
    <w:rsid w:val="00C13309"/>
    <w:rsid w:val="00C169D1"/>
    <w:rsid w:val="00C3788E"/>
    <w:rsid w:val="00C4212A"/>
    <w:rsid w:val="00C5661F"/>
    <w:rsid w:val="00C660C3"/>
    <w:rsid w:val="00C75DFC"/>
    <w:rsid w:val="00C81204"/>
    <w:rsid w:val="00C91D2A"/>
    <w:rsid w:val="00C95C61"/>
    <w:rsid w:val="00CD0CDD"/>
    <w:rsid w:val="00CD4D12"/>
    <w:rsid w:val="00D03D81"/>
    <w:rsid w:val="00D03E9E"/>
    <w:rsid w:val="00D2120B"/>
    <w:rsid w:val="00D27643"/>
    <w:rsid w:val="00D309C0"/>
    <w:rsid w:val="00D46FB3"/>
    <w:rsid w:val="00D5203F"/>
    <w:rsid w:val="00D66CF4"/>
    <w:rsid w:val="00D725EC"/>
    <w:rsid w:val="00D8076C"/>
    <w:rsid w:val="00D9708E"/>
    <w:rsid w:val="00DA171E"/>
    <w:rsid w:val="00DA47A3"/>
    <w:rsid w:val="00DB224A"/>
    <w:rsid w:val="00DB44AE"/>
    <w:rsid w:val="00DD3521"/>
    <w:rsid w:val="00DE0CA9"/>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12401</TotalTime>
  <Pages>14</Pages>
  <Words>4908</Words>
  <Characters>27980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96</cp:revision>
  <cp:lastPrinted>2026-07-02T13:58:00Z</cp:lastPrinted>
  <dcterms:created xsi:type="dcterms:W3CDTF">2026-06-15T05:56:00Z</dcterms:created>
  <dcterms:modified xsi:type="dcterms:W3CDTF">2026-08-04T07:34:00Z</dcterms:modified>
</cp:coreProperties>
</file>