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 xml:space="preserve">expectations continue to evolve Sephora’s merchandising and category </w:t>
      </w:r>
      <w:r w:rsidR="00235E1F" w:rsidRPr="00235E1F">
        <w:t>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w:t>
      </w:r>
      <w:r w:rsidR="00235E1F" w:rsidRPr="00235E1F">
        <w:t xml:space="preserve">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 xml:space="preserve">With millions of customer interactions and reviews generated across its product </w:t>
      </w:r>
      <w:r w:rsidRPr="00D309C0">
        <w:t>catalogue</w:t>
      </w:r>
      <w:r w:rsidRPr="00D309C0">
        <w:t>,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0EA5FE7C" w:rsidR="007864B8" w:rsidRDefault="007864B8" w:rsidP="007864B8">
      <w:pPr>
        <w:pStyle w:val="ListParagraph"/>
        <w:numPr>
          <w:ilvl w:val="0"/>
          <w:numId w:val="1"/>
        </w:numPr>
      </w:pPr>
      <w:r w:rsidRPr="007864B8">
        <w:rPr>
          <w:b/>
          <w:bCs/>
        </w:rPr>
        <w:t>Define Key Metrics and Hypotheses</w:t>
      </w:r>
      <w:r w:rsidRPr="007864B8">
        <w:t xml:space="preserve">: Establish the primary KPI (Loan Repayment Rate) and supporting KPIs such as </w:t>
      </w:r>
      <w:r>
        <w:t>“</w:t>
      </w:r>
      <w:r w:rsidRPr="007864B8">
        <w:t>Default Rate</w:t>
      </w:r>
      <w:r>
        <w:t>”</w:t>
      </w:r>
      <w:r w:rsidRPr="007864B8">
        <w:t xml:space="preserve">, </w:t>
      </w:r>
      <w:r>
        <w:t>“</w:t>
      </w:r>
      <w:r w:rsidRPr="007864B8">
        <w:t>Recovery Rate</w:t>
      </w:r>
      <w:r>
        <w:t>”</w:t>
      </w:r>
      <w:r w:rsidRPr="007864B8">
        <w:t xml:space="preserve">, and </w:t>
      </w:r>
      <w:r>
        <w:t>“</w:t>
      </w:r>
      <w:r w:rsidRPr="007864B8">
        <w:t>Average Interest Rate</w:t>
      </w:r>
      <w:r>
        <w:t>”</w:t>
      </w:r>
      <w:r w:rsidRPr="007864B8">
        <w:t xml:space="preserve"> by Grade. Formulate hypotheses around borrower characteristics, loan features, and credit history factors that may influence repayment outcomes.</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3D124F40" w14:textId="58498AD8" w:rsidR="007864B8" w:rsidRDefault="007864B8" w:rsidP="007864B8">
      <w:pPr>
        <w:pStyle w:val="ListParagraph"/>
        <w:numPr>
          <w:ilvl w:val="0"/>
          <w:numId w:val="1"/>
        </w:numPr>
      </w:pPr>
      <w:r w:rsidRPr="007864B8">
        <w:rPr>
          <w:b/>
          <w:bCs/>
        </w:rPr>
        <w:t>Portfolio Overview Analysis:</w:t>
      </w:r>
      <w:r w:rsidRPr="007864B8">
        <w:t xml:space="preserve"> Evaluate the overall health of the loan portfolio by analysing total loans issued, funded amounts, repayment amounts, loan status distribution, Loan Repayment Rate (LRR), and Default Rate.</w:t>
      </w:r>
    </w:p>
    <w:p w14:paraId="70466663" w14:textId="19796AD8" w:rsidR="00BE6B5A" w:rsidRDefault="00BE6B5A" w:rsidP="007864B8">
      <w:pPr>
        <w:pStyle w:val="ListParagraph"/>
        <w:numPr>
          <w:ilvl w:val="0"/>
          <w:numId w:val="1"/>
        </w:numPr>
      </w:pPr>
      <w:r w:rsidRPr="00BE6B5A">
        <w:rPr>
          <w:b/>
          <w:bCs/>
        </w:rPr>
        <w:t>Loan Repayment Rate Driver Analysis:</w:t>
      </w:r>
      <w:r w:rsidRPr="00BE6B5A">
        <w:t xml:space="preserve"> Examine how LRR varies across loan grades, sub-grades, loan terms, interest rates, loan purposes, and other loan characteristics to identify the key drivers of repayment performance.</w:t>
      </w:r>
    </w:p>
    <w:p w14:paraId="1DADCFBA" w14:textId="154A3CFB" w:rsidR="00BE6B5A" w:rsidRDefault="00BE6B5A" w:rsidP="007864B8">
      <w:pPr>
        <w:pStyle w:val="ListParagraph"/>
        <w:numPr>
          <w:ilvl w:val="0"/>
          <w:numId w:val="1"/>
        </w:numPr>
      </w:pPr>
      <w:r w:rsidRPr="00BE6B5A">
        <w:rPr>
          <w:b/>
          <w:bCs/>
        </w:rPr>
        <w:t>Default Risk Analysis:</w:t>
      </w:r>
      <w:r w:rsidRPr="00BE6B5A">
        <w:t xml:space="preserve"> Analyse charged-off loans and default rates across different borrower and loan segments to identify factors associated with increased default risk.</w:t>
      </w:r>
    </w:p>
    <w:p w14:paraId="41352AC9" w14:textId="5603A4B4" w:rsidR="00BE6B5A" w:rsidRDefault="00BE6B5A" w:rsidP="007864B8">
      <w:pPr>
        <w:pStyle w:val="ListParagraph"/>
        <w:numPr>
          <w:ilvl w:val="0"/>
          <w:numId w:val="1"/>
        </w:numPr>
      </w:pPr>
      <w:r w:rsidRPr="00BE6B5A">
        <w:rPr>
          <w:b/>
          <w:bCs/>
        </w:rPr>
        <w:t>Borrower Risk Profiling:</w:t>
      </w:r>
      <w:r w:rsidRPr="00BE6B5A">
        <w:t xml:space="preserve"> Investigate the relationship between borrower financial profiles, debt-to-income ratio, annual income, employment history, and credit behaviour to identify high-risk and low-risk borrower segments.</w:t>
      </w:r>
    </w:p>
    <w:p w14:paraId="08CD0AAC" w14:textId="1164D9AB" w:rsidR="00A45406" w:rsidRDefault="00A45406" w:rsidP="007864B8">
      <w:pPr>
        <w:pStyle w:val="ListParagraph"/>
        <w:numPr>
          <w:ilvl w:val="0"/>
          <w:numId w:val="1"/>
        </w:numPr>
      </w:pPr>
      <w:r w:rsidRPr="00A45406">
        <w:rPr>
          <w:b/>
          <w:bCs/>
        </w:rPr>
        <w:t>Recovery Performance Analysis:</w:t>
      </w:r>
      <w:r w:rsidRPr="00A45406">
        <w:t xml:space="preserve"> Evaluate recovery rates on defaulted loans and assess which borrower and loan segments contribute to stronger or weaker post-default recoveries.</w:t>
      </w:r>
    </w:p>
    <w:p w14:paraId="3510E5FA" w14:textId="6FB66207" w:rsidR="00A45406" w:rsidRDefault="00A45406" w:rsidP="007864B8">
      <w:pPr>
        <w:pStyle w:val="ListParagraph"/>
        <w:numPr>
          <w:ilvl w:val="0"/>
          <w:numId w:val="1"/>
        </w:numPr>
      </w:pPr>
      <w:r w:rsidRPr="00A45406">
        <w:rPr>
          <w:b/>
          <w:bCs/>
        </w:rPr>
        <w:t>Hypothesis Testing and Relationship Analysis:</w:t>
      </w:r>
      <w:r w:rsidRPr="00A45406">
        <w:t xml:space="preserve"> Test the predefined hypotheses and </w:t>
      </w:r>
      <w:r w:rsidR="001C0524" w:rsidRPr="00A45406">
        <w:t>analyse</w:t>
      </w:r>
      <w:r w:rsidRPr="00A45406">
        <w:t xml:space="preserve"> relationships between key variables and repayment outcomes to validate findings and uncover meaningful patterns.</w:t>
      </w:r>
    </w:p>
    <w:p w14:paraId="609AB2DB" w14:textId="2CBFC014" w:rsidR="00A45406" w:rsidRDefault="00A45406" w:rsidP="007864B8">
      <w:pPr>
        <w:pStyle w:val="ListParagraph"/>
        <w:numPr>
          <w:ilvl w:val="0"/>
          <w:numId w:val="1"/>
        </w:numPr>
      </w:pPr>
      <w:r w:rsidRPr="00A45406">
        <w:rPr>
          <w:b/>
          <w:bCs/>
        </w:rPr>
        <w:lastRenderedPageBreak/>
        <w:t>Visualization and Insight Generation:</w:t>
      </w:r>
      <w:r w:rsidRPr="00A45406">
        <w:t xml:space="preserve"> Develop appropriate visualizations to communicate trends, comparisons, and relationships effectively, ensuring findings are clear and actionable for stakeholders.</w:t>
      </w:r>
    </w:p>
    <w:p w14:paraId="4D30AE47" w14:textId="3A926D72"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t>Recommendations and Business Impact:</w:t>
      </w:r>
      <w:r w:rsidRPr="00A45406">
        <w:rPr>
          <w:rFonts w:eastAsia="Times New Roman" w:cs="Times New Roman"/>
          <w:kern w:val="0"/>
          <w:lang w:eastAsia="en-IN"/>
          <w14:ligatures w14:val="none"/>
        </w:rPr>
        <w:t xml:space="preserve"> Summarize key findings and provide data-driven recommendations to improve Loan Repayment Rate (LRR), optimize risk-based pricing, reduce default risk, and support sustainable portfolio growth. </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1A7F9A0D" w:rsidR="008D00DF" w:rsidRDefault="008D00DF" w:rsidP="00A45406">
      <w:pPr>
        <w:rPr>
          <w:lang w:eastAsia="en-IN"/>
        </w:rPr>
      </w:pPr>
      <w:r w:rsidRPr="008D00DF">
        <w:rPr>
          <w:lang w:eastAsia="en-IN"/>
        </w:rPr>
        <w:t xml:space="preserve">This dataset contains loan-level information from UCUCI Bank's retail lending portfolio, including borrower profiles, credit history, loan characteristics, and repayment outcomes. Key variables include loan amount, interest rate, loan term, risk grade, annual income, debt-to-income ratio, credit utilization, and loan status. Using Python and Tableau, this dataset can be </w:t>
      </w:r>
      <w:r w:rsidR="001C0524" w:rsidRPr="008D00DF">
        <w:rPr>
          <w:lang w:eastAsia="en-IN"/>
        </w:rPr>
        <w:t>analysed</w:t>
      </w:r>
      <w:r w:rsidRPr="008D00DF">
        <w:rPr>
          <w:lang w:eastAsia="en-IN"/>
        </w:rPr>
        <w:t xml:space="preserve"> to identify repayment trends, evaluate risk factors, and generate actionable insights to improve the Loan Repayment Rate (LRR), reduce defaults, and support better lending decisions.</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7314764" w:rsidR="00EF71DF" w:rsidRDefault="00631AAA" w:rsidP="00EF71DF">
      <w:pPr>
        <w:rPr>
          <w:lang w:eastAsia="en-IN"/>
        </w:rPr>
      </w:pPr>
      <w:r>
        <w:rPr>
          <w:noProof/>
        </w:rPr>
        <mc:AlternateContent>
          <mc:Choice Requires="wps">
            <w:drawing>
              <wp:anchor distT="0" distB="0" distL="114300" distR="114300" simplePos="0" relativeHeight="251659264" behindDoc="0" locked="0" layoutInCell="1" allowOverlap="1" wp14:anchorId="30DD7DEA" wp14:editId="06DA87D7">
                <wp:simplePos x="0" y="0"/>
                <wp:positionH relativeFrom="margin">
                  <wp:posOffset>4974301</wp:posOffset>
                </wp:positionH>
                <wp:positionV relativeFrom="paragraph">
                  <wp:posOffset>60787</wp:posOffset>
                </wp:positionV>
                <wp:extent cx="1641591" cy="519545"/>
                <wp:effectExtent l="0" t="0" r="15875" b="13970"/>
                <wp:wrapNone/>
                <wp:docPr id="1430292855" name="Text Box 3"/>
                <wp:cNvGraphicFramePr/>
                <a:graphic xmlns:a="http://schemas.openxmlformats.org/drawingml/2006/main">
                  <a:graphicData uri="http://schemas.microsoft.com/office/word/2010/wordprocessingShape">
                    <wps:wsp>
                      <wps:cNvSpPr txBox="1"/>
                      <wps:spPr>
                        <a:xfrm>
                          <a:off x="0" y="0"/>
                          <a:ext cx="1641591" cy="519545"/>
                        </a:xfrm>
                        <a:prstGeom prst="rect">
                          <a:avLst/>
                        </a:prstGeom>
                        <a:solidFill>
                          <a:schemeClr val="lt1"/>
                        </a:solidFill>
                        <a:ln w="6350">
                          <a:solidFill>
                            <a:prstClr val="black"/>
                          </a:solidFill>
                        </a:ln>
                      </wps:spPr>
                      <wps:txbx>
                        <w:txbxContent>
                          <w:p w14:paraId="1C684727" w14:textId="75AA4508" w:rsidR="00E66E46" w:rsidRDefault="00E66E46">
                            <w:r w:rsidRPr="000455B3">
                              <w:rPr>
                                <w:b/>
                                <w:bCs/>
                              </w:rPr>
                              <w:t>Default Rate</w:t>
                            </w:r>
                            <w:r>
                              <w:t xml:space="preserve"> is loan-count based </w:t>
                            </w:r>
                            <w:r w:rsidR="000455B3">
                              <w:t>and not a component of LRR.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DD7DEA" id="_x0000_t202" coordsize="21600,21600" o:spt="202" path="m,l,21600r21600,l21600,xe">
                <v:stroke joinstyle="miter"/>
                <v:path gradientshapeok="t" o:connecttype="rect"/>
              </v:shapetype>
              <v:shape id="Text Box 3" o:spid="_x0000_s1026" type="#_x0000_t202" style="position:absolute;left:0;text-align:left;margin-left:391.7pt;margin-top:4.8pt;width:129.25pt;height:40.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" fillcolor="white [3201]" strokeweight=".5pt">
                <v:textbox>
                  <w:txbxContent>
                    <w:p w14:paraId="1C684727" w14:textId="75AA4508" w:rsidR="00E66E46" w:rsidRDefault="00E66E46">
                      <w:r w:rsidRPr="000455B3">
                        <w:rPr>
                          <w:b/>
                          <w:bCs/>
                        </w:rPr>
                        <w:t>Default Rate</w:t>
                      </w:r>
                      <w:r>
                        <w:t xml:space="preserve"> is loan-count based </w:t>
                      </w:r>
                      <w:r w:rsidR="000455B3">
                        <w:t>and not a component of LRR.</w:t>
                      </w:r>
                    </w:p>
                  </w:txbxContent>
                </v:textbox>
                <w10:wrap anchorx="margin"/>
              </v:shape>
            </w:pict>
          </mc:Fallback>
        </mc:AlternateContent>
      </w:r>
      <w:r w:rsidR="001C0524">
        <w:rPr>
          <w:noProof/>
        </w:rPr>
        <w:drawing>
          <wp:inline distT="0" distB="0" distL="0" distR="0" wp14:anchorId="19E01096" wp14:editId="2DF6CF52">
            <wp:extent cx="4794250" cy="3595916"/>
            <wp:effectExtent l="19050" t="19050" r="25400" b="24130"/>
            <wp:docPr id="19207012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94250" cy="3595916"/>
                    </a:xfrm>
                    <a:prstGeom prst="rect">
                      <a:avLst/>
                    </a:prstGeom>
                    <a:noFill/>
                    <a:ln>
                      <a:solidFill>
                        <a:schemeClr val="tx1"/>
                      </a:solidFill>
                    </a:ln>
                  </pic:spPr>
                </pic:pic>
              </a:graphicData>
            </a:graphic>
          </wp:inline>
        </w:drawing>
      </w:r>
      <w:r w:rsidR="00C0565E">
        <w:rPr>
          <w:noProof/>
        </w:rPr>
        <mc:AlternateContent>
          <mc:Choice Requires="wps">
            <w:drawing>
              <wp:anchor distT="0" distB="0" distL="114300" distR="114300" simplePos="0" relativeHeight="251662336" behindDoc="0" locked="0" layoutInCell="1" allowOverlap="1" wp14:anchorId="4CB6D6F8" wp14:editId="12F8C96B">
                <wp:simplePos x="0" y="0"/>
                <wp:positionH relativeFrom="column">
                  <wp:posOffset>5081270</wp:posOffset>
                </wp:positionH>
                <wp:positionV relativeFrom="paragraph">
                  <wp:posOffset>808990</wp:posOffset>
                </wp:positionV>
                <wp:extent cx="346710" cy="0"/>
                <wp:effectExtent l="0" t="0" r="0" b="0"/>
                <wp:wrapNone/>
                <wp:docPr id="606322979" name="Straight Connector 4"/>
                <wp:cNvGraphicFramePr/>
                <a:graphic xmlns:a="http://schemas.openxmlformats.org/drawingml/2006/main">
                  <a:graphicData uri="http://schemas.microsoft.com/office/word/2010/wordprocessingShape">
                    <wps:wsp>
                      <wps:cNvCnPr/>
                      <wps:spPr>
                        <a:xfrm flipV="1">
                          <a:off x="0" y="0"/>
                          <a:ext cx="34671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2F4FED" id="Straight Connector 4"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0.1pt,63.7pt" to="427.4pt,6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" strokecolor="black [3213]">
                <v:stroke joinstyle="miter"/>
              </v:line>
            </w:pict>
          </mc:Fallback>
        </mc:AlternateContent>
      </w:r>
      <w:r w:rsidR="00C0565E">
        <w:rPr>
          <w:noProof/>
        </w:rPr>
        <mc:AlternateContent>
          <mc:Choice Requires="wps">
            <w:drawing>
              <wp:anchor distT="0" distB="0" distL="114300" distR="114300" simplePos="0" relativeHeight="251661312" behindDoc="0" locked="0" layoutInCell="1" allowOverlap="1" wp14:anchorId="7DF8AB8D" wp14:editId="0DF4A2A2">
                <wp:simplePos x="0" y="0"/>
                <wp:positionH relativeFrom="margin">
                  <wp:posOffset>4988560</wp:posOffset>
                </wp:positionH>
                <wp:positionV relativeFrom="paragraph">
                  <wp:posOffset>663575</wp:posOffset>
                </wp:positionV>
                <wp:extent cx="1641475" cy="1670050"/>
                <wp:effectExtent l="0" t="0" r="20955" b="25400"/>
                <wp:wrapNone/>
                <wp:docPr id="1613554300" name="Text Box 3"/>
                <wp:cNvGraphicFramePr/>
                <a:graphic xmlns:a="http://schemas.openxmlformats.org/drawingml/2006/main">
                  <a:graphicData uri="http://schemas.microsoft.com/office/word/2010/wordprocessingShape">
                    <wps:wsp>
                      <wps:cNvSpPr txBox="1"/>
                      <wps:spPr>
                        <a:xfrm>
                          <a:off x="0" y="0"/>
                          <a:ext cx="1641475" cy="1670050"/>
                        </a:xfrm>
                        <a:prstGeom prst="rect">
                          <a:avLst/>
                        </a:prstGeom>
                        <a:solidFill>
                          <a:schemeClr val="lt1"/>
                        </a:solidFill>
                        <a:ln w="6350">
                          <a:solidFill>
                            <a:prstClr val="black"/>
                          </a:solidFill>
                        </a:ln>
                      </wps:spPr>
                      <wps:txbx>
                        <w:txbxContent>
                          <w:p w14:paraId="7E7B50EB" w14:textId="1F385104" w:rsidR="000455B3" w:rsidRDefault="000455B3" w:rsidP="000455B3">
                            <w:r>
                              <w:t xml:space="preserve">           Indicates analytical relationship/ influence</w:t>
                            </w:r>
                          </w:p>
                          <w:p w14:paraId="1CB0476B" w14:textId="5175FF35" w:rsidR="000455B3" w:rsidRPr="000455B3" w:rsidRDefault="000455B3" w:rsidP="000455B3">
                            <w:r>
                              <w:t xml:space="preserve">           Indicates KPI grouping (not mathematical aggregation)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F8AB8D" id="_x0000_s1027" type="#_x0000_t202" style="position:absolute;left:0;text-align:left;margin-left:392.8pt;margin-top:52.25pt;width:129.25pt;height:13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" fillcolor="white [3201]" strokeweight=".5pt">
                <v:textbox>
                  <w:txbxContent>
                    <w:p w14:paraId="7E7B50EB" w14:textId="1F385104" w:rsidR="000455B3" w:rsidRDefault="000455B3" w:rsidP="000455B3">
                      <w:r>
                        <w:t xml:space="preserve">           Indicates analytical relationship/ influence</w:t>
                      </w:r>
                    </w:p>
                    <w:p w14:paraId="1CB0476B" w14:textId="5175FF35" w:rsidR="000455B3" w:rsidRPr="000455B3" w:rsidRDefault="000455B3" w:rsidP="000455B3">
                      <w:r>
                        <w:t xml:space="preserve">           Indicates KPI grouping (not mathematical aggregation)</w:t>
                      </w:r>
                    </w:p>
                  </w:txbxContent>
                </v:textbox>
                <w10:wrap anchorx="margin"/>
              </v:shape>
            </w:pict>
          </mc:Fallback>
        </mc:AlternateContent>
      </w:r>
      <w:r w:rsidR="00C0565E">
        <w:rPr>
          <w:noProof/>
        </w:rPr>
        <mc:AlternateContent>
          <mc:Choice Requires="wps">
            <w:drawing>
              <wp:anchor distT="0" distB="0" distL="114300" distR="114300" simplePos="0" relativeHeight="251664384" behindDoc="0" locked="0" layoutInCell="1" allowOverlap="1" wp14:anchorId="2CE32B3A" wp14:editId="412543EF">
                <wp:simplePos x="0" y="0"/>
                <wp:positionH relativeFrom="column">
                  <wp:posOffset>5081270</wp:posOffset>
                </wp:positionH>
                <wp:positionV relativeFrom="paragraph">
                  <wp:posOffset>1523423</wp:posOffset>
                </wp:positionV>
                <wp:extent cx="347133" cy="0"/>
                <wp:effectExtent l="0" t="0" r="0" b="0"/>
                <wp:wrapNone/>
                <wp:docPr id="1419731003" name="Straight Connector 4"/>
                <wp:cNvGraphicFramePr/>
                <a:graphic xmlns:a="http://schemas.openxmlformats.org/drawingml/2006/main">
                  <a:graphicData uri="http://schemas.microsoft.com/office/word/2010/wordprocessingShape">
                    <wps:wsp>
                      <wps:cNvCnPr/>
                      <wps:spPr>
                        <a:xfrm flipV="1">
                          <a:off x="0" y="0"/>
                          <a:ext cx="347133" cy="0"/>
                        </a:xfrm>
                        <a:prstGeom prst="line">
                          <a:avLst/>
                        </a:prstGeom>
                        <a:ln w="9525">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77C2C5" id="Straight Connector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0.1pt,119.95pt" to="427.45pt,1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" strokecolor="black [3213]">
                <v:stroke dashstyle="3 1" joinstyle="miter"/>
              </v:line>
            </w:pict>
          </mc:Fallback>
        </mc:AlternateContent>
      </w:r>
    </w:p>
    <w:p w14:paraId="04C970B3" w14:textId="2D966541" w:rsidR="0038498F" w:rsidRDefault="00624DE1" w:rsidP="0038498F">
      <w:pPr>
        <w:jc w:val="left"/>
        <w:rPr>
          <w:lang w:eastAsia="en-IN"/>
        </w:rPr>
      </w:pPr>
      <w:r>
        <w:rPr>
          <w:lang w:eastAsia="en-IN"/>
        </w:rPr>
        <w:t>T</w:t>
      </w:r>
      <w:r w:rsidRPr="00624DE1">
        <w:rPr>
          <w:lang w:eastAsia="en-IN"/>
        </w:rPr>
        <w:t>his analysis is centred around Loan Repayment Rate (LRR) as the primary business KPI. LRR measures the proportion of funded loan amounts that are successfully recovered from borrowers and serves as a key indicator of portfolio performance and credit risk management effectiveness.</w:t>
      </w:r>
    </w:p>
    <w:p w14:paraId="710F8E18" w14:textId="5DE62F32" w:rsidR="00624DE1" w:rsidRDefault="00624DE1" w:rsidP="0038498F">
      <w:pPr>
        <w:jc w:val="left"/>
        <w:rPr>
          <w:lang w:eastAsia="en-IN"/>
        </w:rPr>
      </w:pPr>
      <w:r w:rsidRPr="00624DE1">
        <w:rPr>
          <w:lang w:eastAsia="en-IN"/>
        </w:rPr>
        <w:t>To better understand the factors influencing LRR, three supporting diagnostic KPIs are considered:</w:t>
      </w:r>
    </w:p>
    <w:p w14:paraId="35B4AB95" w14:textId="1033EB48" w:rsidR="00624DE1" w:rsidRDefault="00624DE1" w:rsidP="00624DE1">
      <w:pPr>
        <w:pStyle w:val="ListParagraph"/>
        <w:numPr>
          <w:ilvl w:val="0"/>
          <w:numId w:val="3"/>
        </w:numPr>
        <w:jc w:val="left"/>
        <w:rPr>
          <w:lang w:eastAsia="en-IN"/>
        </w:rPr>
      </w:pPr>
      <w:r w:rsidRPr="00624DE1">
        <w:rPr>
          <w:b/>
          <w:bCs/>
          <w:lang w:eastAsia="en-IN"/>
        </w:rPr>
        <w:t>Repayment Rate</w:t>
      </w:r>
      <w:r w:rsidRPr="00624DE1">
        <w:rPr>
          <w:lang w:eastAsia="en-IN"/>
        </w:rPr>
        <w:t xml:space="preserve"> measures the percentage of funded loan amounts that have been repaid by borrowers and provides direct insight into repayment performance.</w:t>
      </w:r>
    </w:p>
    <w:p w14:paraId="516425B0" w14:textId="4A81B7A6" w:rsidR="00624DE1" w:rsidRDefault="00624DE1" w:rsidP="00624DE1">
      <w:pPr>
        <w:pStyle w:val="ListParagraph"/>
        <w:numPr>
          <w:ilvl w:val="0"/>
          <w:numId w:val="3"/>
        </w:numPr>
        <w:jc w:val="left"/>
        <w:rPr>
          <w:lang w:eastAsia="en-IN"/>
        </w:rPr>
      </w:pPr>
      <w:r w:rsidRPr="00624DE1">
        <w:rPr>
          <w:b/>
          <w:bCs/>
          <w:lang w:eastAsia="en-IN"/>
        </w:rPr>
        <w:t>Default Rate</w:t>
      </w:r>
      <w:r w:rsidRPr="00624DE1">
        <w:rPr>
          <w:lang w:eastAsia="en-IN"/>
        </w:rPr>
        <w:t xml:space="preserve"> measures the proportion of loans that have been charged off, helping identify the extent of credit losses within the portfolio.</w:t>
      </w:r>
    </w:p>
    <w:p w14:paraId="5E0341DD" w14:textId="07A60707" w:rsidR="00624DE1" w:rsidRDefault="00624DE1" w:rsidP="00624DE1">
      <w:pPr>
        <w:pStyle w:val="ListParagraph"/>
        <w:numPr>
          <w:ilvl w:val="0"/>
          <w:numId w:val="3"/>
        </w:numPr>
        <w:jc w:val="left"/>
        <w:rPr>
          <w:lang w:eastAsia="en-IN"/>
        </w:rPr>
      </w:pPr>
      <w:r w:rsidRPr="00624DE1">
        <w:rPr>
          <w:b/>
          <w:bCs/>
          <w:lang w:eastAsia="en-IN"/>
        </w:rPr>
        <w:t>Recovery Rate</w:t>
      </w:r>
      <w:r w:rsidRPr="00624DE1">
        <w:rPr>
          <w:lang w:eastAsia="en-IN"/>
        </w:rPr>
        <w:t xml:space="preserve"> evaluates the effectiveness of post-default recovery efforts by measuring the amount recovered from defaulted loans relative to the outstanding principal.</w:t>
      </w:r>
    </w:p>
    <w:p w14:paraId="18E55025" w14:textId="0D1B8B6E" w:rsidR="00624DE1" w:rsidRDefault="00624DE1" w:rsidP="0038498F">
      <w:pPr>
        <w:jc w:val="left"/>
        <w:rPr>
          <w:lang w:eastAsia="en-IN"/>
        </w:rPr>
      </w:pPr>
      <w:r w:rsidRPr="00624DE1">
        <w:rPr>
          <w:lang w:eastAsia="en-IN"/>
        </w:rPr>
        <w:lastRenderedPageBreak/>
        <w:t>The analysis further examines the underlying business drivers influencing these KPIs. These drivers are grouped into three key categories:</w:t>
      </w:r>
    </w:p>
    <w:p w14:paraId="20F63915" w14:textId="2A24A004" w:rsidR="00624DE1" w:rsidRDefault="00624DE1" w:rsidP="00624DE1">
      <w:pPr>
        <w:pStyle w:val="ListParagraph"/>
        <w:numPr>
          <w:ilvl w:val="0"/>
          <w:numId w:val="4"/>
        </w:numPr>
        <w:jc w:val="left"/>
        <w:rPr>
          <w:lang w:eastAsia="en-IN"/>
        </w:rPr>
      </w:pPr>
      <w:r w:rsidRPr="00624DE1">
        <w:rPr>
          <w:b/>
          <w:bCs/>
          <w:lang w:eastAsia="en-IN"/>
        </w:rPr>
        <w:t>Borrower Profile</w:t>
      </w:r>
      <w:r w:rsidRPr="00624DE1">
        <w:rPr>
          <w:lang w:eastAsia="en-IN"/>
        </w:rPr>
        <w:t xml:space="preserve"> – including annual income, employment length, and verification status.</w:t>
      </w:r>
    </w:p>
    <w:p w14:paraId="6D564848" w14:textId="3E7CED26" w:rsidR="00624DE1" w:rsidRDefault="00624DE1" w:rsidP="00624DE1">
      <w:pPr>
        <w:pStyle w:val="ListParagraph"/>
        <w:numPr>
          <w:ilvl w:val="0"/>
          <w:numId w:val="4"/>
        </w:numPr>
        <w:jc w:val="left"/>
        <w:rPr>
          <w:lang w:eastAsia="en-IN"/>
        </w:rPr>
      </w:pPr>
      <w:r w:rsidRPr="00624DE1">
        <w:rPr>
          <w:b/>
          <w:bCs/>
          <w:lang w:eastAsia="en-IN"/>
        </w:rPr>
        <w:t>Loan Characteristics</w:t>
      </w:r>
      <w:r w:rsidRPr="00624DE1">
        <w:rPr>
          <w:lang w:eastAsia="en-IN"/>
        </w:rPr>
        <w:t xml:space="preserve"> – including loan amount, loan term, grade/sub-grade, and interest rate.</w:t>
      </w:r>
    </w:p>
    <w:p w14:paraId="4DEC92A0" w14:textId="70D6A265" w:rsidR="00624DE1" w:rsidRDefault="00624DE1" w:rsidP="00624DE1">
      <w:pPr>
        <w:pStyle w:val="ListParagraph"/>
        <w:numPr>
          <w:ilvl w:val="0"/>
          <w:numId w:val="4"/>
        </w:numPr>
        <w:jc w:val="left"/>
        <w:rPr>
          <w:lang w:eastAsia="en-IN"/>
        </w:rPr>
      </w:pPr>
      <w:r w:rsidRPr="00624DE1">
        <w:rPr>
          <w:b/>
          <w:bCs/>
          <w:lang w:eastAsia="en-IN"/>
        </w:rPr>
        <w:t>Credit Behaviour</w:t>
      </w:r>
      <w:r w:rsidRPr="00624DE1">
        <w:rPr>
          <w:lang w:eastAsia="en-IN"/>
        </w:rPr>
        <w:t xml:space="preserve"> – including debt-to-income ratio (DTI), credit utilization, delinquency history, and credit history length.</w:t>
      </w:r>
    </w:p>
    <w:p w14:paraId="25A90C91" w14:textId="486E3411" w:rsidR="00624DE1" w:rsidRDefault="00624DE1" w:rsidP="00624DE1">
      <w:pPr>
        <w:pStyle w:val="Heading2"/>
        <w:rPr>
          <w:lang w:eastAsia="en-IN"/>
        </w:rPr>
      </w:pPr>
      <w:r>
        <w:rPr>
          <w:lang w:eastAsia="en-IN"/>
        </w:rPr>
        <w:t>HYPOTHESES</w:t>
      </w:r>
    </w:p>
    <w:p w14:paraId="42DE7F2E" w14:textId="733CDE94" w:rsidR="005A1052" w:rsidRPr="005A1052" w:rsidRDefault="005A1052" w:rsidP="005A1052">
      <w:pPr>
        <w:pStyle w:val="Heading3"/>
        <w:rPr>
          <w:lang w:eastAsia="en-IN"/>
        </w:rPr>
      </w:pPr>
      <w:r w:rsidRPr="005A1052">
        <w:rPr>
          <w:lang w:eastAsia="en-IN"/>
        </w:rPr>
        <w:t xml:space="preserve">Loan </w:t>
      </w:r>
      <w:r>
        <w:rPr>
          <w:lang w:eastAsia="en-IN"/>
        </w:rPr>
        <w:t>C</w:t>
      </w:r>
      <w:r w:rsidRPr="005A1052">
        <w:rPr>
          <w:lang w:eastAsia="en-IN"/>
        </w:rPr>
        <w:t>haracteristics</w:t>
      </w:r>
      <w:r w:rsidR="00DD3521">
        <w:rPr>
          <w:lang w:eastAsia="en-IN"/>
        </w:rPr>
        <w:t xml:space="preserve"> </w:t>
      </w:r>
      <w:r w:rsidR="00DD3521" w:rsidRPr="00AD6DC1">
        <w:rPr>
          <w:lang w:eastAsia="en-IN"/>
        </w:rPr>
        <w:t>Hypotheses</w:t>
      </w:r>
    </w:p>
    <w:p w14:paraId="2C0F856D" w14:textId="46D61EB3" w:rsidR="007610E1" w:rsidRDefault="00C81204" w:rsidP="005A1052">
      <w:pPr>
        <w:pStyle w:val="ListParagraph"/>
        <w:numPr>
          <w:ilvl w:val="0"/>
          <w:numId w:val="5"/>
        </w:numPr>
        <w:rPr>
          <w:lang w:eastAsia="en-IN"/>
        </w:rPr>
      </w:pPr>
      <w:r w:rsidRPr="005A1052">
        <w:rPr>
          <w:b/>
          <w:bCs/>
          <w:lang w:eastAsia="en-IN"/>
        </w:rPr>
        <w:t>H1</w:t>
      </w:r>
      <w:r>
        <w:rPr>
          <w:lang w:eastAsia="en-IN"/>
        </w:rPr>
        <w:t xml:space="preserve">: </w:t>
      </w:r>
      <w:r w:rsidR="005A1052" w:rsidRPr="005A1052">
        <w:rPr>
          <w:lang w:eastAsia="en-IN"/>
        </w:rPr>
        <w:t>Higher-risk loan grades exhibit disproportionately higher default rates relative to the increase in interest rates, indicating potential inefficiencies in risk-based pricing.</w:t>
      </w:r>
    </w:p>
    <w:p w14:paraId="0F972535" w14:textId="5E728DF8" w:rsidR="005A1052" w:rsidRDefault="005A1052" w:rsidP="005A1052">
      <w:pPr>
        <w:pStyle w:val="ListParagraph"/>
        <w:numPr>
          <w:ilvl w:val="0"/>
          <w:numId w:val="5"/>
        </w:numPr>
        <w:rPr>
          <w:lang w:eastAsia="en-IN"/>
        </w:rPr>
      </w:pPr>
      <w:r w:rsidRPr="005A1052">
        <w:rPr>
          <w:b/>
          <w:bCs/>
          <w:lang w:eastAsia="en-IN"/>
        </w:rPr>
        <w:t>H2</w:t>
      </w:r>
      <w:r>
        <w:rPr>
          <w:lang w:eastAsia="en-IN"/>
        </w:rPr>
        <w:t xml:space="preserve">: </w:t>
      </w:r>
      <w:r w:rsidRPr="005A1052">
        <w:rPr>
          <w:lang w:eastAsia="en-IN"/>
        </w:rPr>
        <w:t>Longer loan terms are associated with higher default rates, and this relationship persists across multiple loan grades.</w:t>
      </w:r>
    </w:p>
    <w:p w14:paraId="57D7177A" w14:textId="269ACFAD" w:rsidR="005A1052" w:rsidRDefault="005A1052" w:rsidP="005A1052">
      <w:pPr>
        <w:pStyle w:val="ListParagraph"/>
        <w:numPr>
          <w:ilvl w:val="0"/>
          <w:numId w:val="5"/>
        </w:numPr>
        <w:rPr>
          <w:lang w:eastAsia="en-IN"/>
        </w:rPr>
      </w:pPr>
      <w:r w:rsidRPr="005A1052">
        <w:rPr>
          <w:b/>
          <w:bCs/>
          <w:lang w:eastAsia="en-IN"/>
        </w:rPr>
        <w:t>H3</w:t>
      </w:r>
      <w:r>
        <w:rPr>
          <w:lang w:eastAsia="en-IN"/>
        </w:rPr>
        <w:t xml:space="preserve">: </w:t>
      </w:r>
      <w:r w:rsidRPr="005A1052">
        <w:rPr>
          <w:lang w:eastAsia="en-IN"/>
        </w:rPr>
        <w:t>Loan repayment performance varies significantly across loan purposes, indicating that certain borrowing intents carry higher repayment risk than others.</w:t>
      </w:r>
    </w:p>
    <w:p w14:paraId="713B77F5" w14:textId="2A500854" w:rsidR="005A1052" w:rsidRDefault="005A1052" w:rsidP="005A1052">
      <w:pPr>
        <w:pStyle w:val="Heading3"/>
        <w:rPr>
          <w:lang w:eastAsia="en-IN"/>
        </w:rPr>
      </w:pPr>
      <w:r w:rsidRPr="005A1052">
        <w:rPr>
          <w:lang w:eastAsia="en-IN"/>
        </w:rPr>
        <w:t xml:space="preserve">Borrower </w:t>
      </w:r>
      <w:r w:rsidR="006D40D5">
        <w:rPr>
          <w:lang w:eastAsia="en-IN"/>
        </w:rPr>
        <w:t>P</w:t>
      </w:r>
      <w:r w:rsidRPr="005A1052">
        <w:rPr>
          <w:lang w:eastAsia="en-IN"/>
        </w:rPr>
        <w:t>rofile</w:t>
      </w:r>
      <w:r w:rsidR="00DD3521">
        <w:rPr>
          <w:lang w:eastAsia="en-IN"/>
        </w:rPr>
        <w:t xml:space="preserve"> </w:t>
      </w:r>
      <w:r w:rsidR="00DD3521" w:rsidRPr="00AD6DC1">
        <w:rPr>
          <w:lang w:eastAsia="en-IN"/>
        </w:rPr>
        <w:t>Hypotheses</w:t>
      </w:r>
    </w:p>
    <w:p w14:paraId="4CD8443B" w14:textId="09ACD7D4" w:rsidR="005A1052" w:rsidRDefault="006D40D5" w:rsidP="005A1052">
      <w:pPr>
        <w:pStyle w:val="ListParagraph"/>
        <w:numPr>
          <w:ilvl w:val="0"/>
          <w:numId w:val="6"/>
        </w:numPr>
        <w:rPr>
          <w:lang w:eastAsia="en-IN"/>
        </w:rPr>
      </w:pPr>
      <w:r>
        <w:rPr>
          <w:b/>
          <w:bCs/>
          <w:lang w:eastAsia="en-IN"/>
        </w:rPr>
        <w:t>H4</w:t>
      </w:r>
      <w:r>
        <w:rPr>
          <w:lang w:eastAsia="en-IN"/>
        </w:rPr>
        <w:t>:</w:t>
      </w:r>
      <w:r>
        <w:rPr>
          <w:b/>
          <w:bCs/>
          <w:lang w:eastAsia="en-IN"/>
        </w:rPr>
        <w:t xml:space="preserve"> </w:t>
      </w:r>
      <w:r w:rsidRPr="006D40D5">
        <w:rPr>
          <w:lang w:eastAsia="en-IN"/>
        </w:rPr>
        <w:t>Borrowers with higher Debt-to-Income (DTI) ratios exhibit higher default rates, although the relationship may vary across DTI segments.</w:t>
      </w:r>
    </w:p>
    <w:p w14:paraId="25C35024" w14:textId="28785B1D" w:rsidR="006D40D5" w:rsidRDefault="006D40D5" w:rsidP="005A1052">
      <w:pPr>
        <w:pStyle w:val="ListParagraph"/>
        <w:numPr>
          <w:ilvl w:val="0"/>
          <w:numId w:val="6"/>
        </w:numPr>
        <w:rPr>
          <w:lang w:eastAsia="en-IN"/>
        </w:rPr>
      </w:pPr>
      <w:r w:rsidRPr="006D40D5">
        <w:rPr>
          <w:b/>
          <w:bCs/>
          <w:lang w:eastAsia="en-IN"/>
        </w:rPr>
        <w:t>H5</w:t>
      </w:r>
      <w:r>
        <w:rPr>
          <w:lang w:eastAsia="en-IN"/>
        </w:rPr>
        <w:t xml:space="preserve">: </w:t>
      </w:r>
      <w:r w:rsidRPr="006D40D5">
        <w:rPr>
          <w:lang w:eastAsia="en-IN"/>
        </w:rPr>
        <w:t>Income verification status is associated with repayment outcomes, but verified borrowers may not necessarily exhibit lower default rates than non-verified borrowers.</w:t>
      </w:r>
    </w:p>
    <w:p w14:paraId="79837025" w14:textId="39CF670E" w:rsidR="006D40D5" w:rsidRDefault="006D40D5" w:rsidP="005A1052">
      <w:pPr>
        <w:pStyle w:val="ListParagraph"/>
        <w:numPr>
          <w:ilvl w:val="0"/>
          <w:numId w:val="6"/>
        </w:numPr>
        <w:rPr>
          <w:lang w:eastAsia="en-IN"/>
        </w:rPr>
      </w:pPr>
      <w:r w:rsidRPr="006D40D5">
        <w:rPr>
          <w:b/>
          <w:bCs/>
          <w:lang w:eastAsia="en-IN"/>
        </w:rPr>
        <w:t>H6</w:t>
      </w:r>
      <w:r w:rsidRPr="006D40D5">
        <w:rPr>
          <w:lang w:eastAsia="en-IN"/>
        </w:rPr>
        <w:t>: Home ownership status influences repayment performance, with renters expected to exhibit higher default rates than homeowners and mortgage holders.</w:t>
      </w:r>
    </w:p>
    <w:p w14:paraId="0139B81F" w14:textId="7801938B" w:rsidR="006D40D5" w:rsidRDefault="00AD6DC1" w:rsidP="00AD6DC1">
      <w:pPr>
        <w:pStyle w:val="Heading3"/>
        <w:rPr>
          <w:lang w:eastAsia="en-IN"/>
        </w:rPr>
      </w:pPr>
      <w:r w:rsidRPr="00AD6DC1">
        <w:rPr>
          <w:lang w:eastAsia="en-IN"/>
        </w:rPr>
        <w:t>Credit Behaviour Hypotheses</w:t>
      </w:r>
    </w:p>
    <w:p w14:paraId="091231C8" w14:textId="7901EA90" w:rsidR="00AD6DC1" w:rsidRDefault="00AD6DC1" w:rsidP="00AD6DC1">
      <w:pPr>
        <w:pStyle w:val="ListParagraph"/>
        <w:numPr>
          <w:ilvl w:val="0"/>
          <w:numId w:val="7"/>
        </w:numPr>
        <w:rPr>
          <w:lang w:eastAsia="en-IN"/>
        </w:rPr>
      </w:pPr>
      <w:r w:rsidRPr="00AD6DC1">
        <w:rPr>
          <w:b/>
          <w:bCs/>
          <w:lang w:eastAsia="en-IN"/>
        </w:rPr>
        <w:t>H7</w:t>
      </w:r>
      <w:r>
        <w:rPr>
          <w:lang w:eastAsia="en-IN"/>
        </w:rPr>
        <w:t xml:space="preserve">: </w:t>
      </w:r>
      <w:r w:rsidRPr="00AD6DC1">
        <w:rPr>
          <w:lang w:eastAsia="en-IN"/>
        </w:rPr>
        <w:t>Borrowers with higher revolving credit utilization exhibit higher default rates, although the relationship may not be strictly linear across utilization levels.</w:t>
      </w:r>
    </w:p>
    <w:p w14:paraId="1BE80C52" w14:textId="73CD4351" w:rsidR="00AD6DC1" w:rsidRDefault="00AD6DC1" w:rsidP="00AD6DC1">
      <w:pPr>
        <w:pStyle w:val="ListParagraph"/>
        <w:numPr>
          <w:ilvl w:val="0"/>
          <w:numId w:val="7"/>
        </w:numPr>
        <w:rPr>
          <w:lang w:eastAsia="en-IN"/>
        </w:rPr>
      </w:pPr>
      <w:r w:rsidRPr="00AD6DC1">
        <w:rPr>
          <w:b/>
          <w:bCs/>
          <w:lang w:eastAsia="en-IN"/>
        </w:rPr>
        <w:t>H8</w:t>
      </w:r>
      <w:r>
        <w:rPr>
          <w:lang w:eastAsia="en-IN"/>
        </w:rPr>
        <w:t xml:space="preserve">: </w:t>
      </w:r>
      <w:r w:rsidRPr="00AD6DC1">
        <w:rPr>
          <w:lang w:eastAsia="en-IN"/>
        </w:rPr>
        <w:t>Borrowers with a higher number of recent credit inquiries (inq_last_6mths) exhibit higher default rates than borrowers with fewer inquiries.</w:t>
      </w:r>
    </w:p>
    <w:p w14:paraId="1FF43CDD" w14:textId="49E6A1ED" w:rsidR="00AD6DC1" w:rsidRDefault="00AD6DC1" w:rsidP="00AD6DC1">
      <w:pPr>
        <w:pStyle w:val="ListParagraph"/>
        <w:numPr>
          <w:ilvl w:val="0"/>
          <w:numId w:val="7"/>
        </w:numPr>
        <w:rPr>
          <w:lang w:eastAsia="en-IN"/>
        </w:rPr>
      </w:pPr>
      <w:r w:rsidRPr="00AD6DC1">
        <w:rPr>
          <w:b/>
          <w:bCs/>
          <w:lang w:eastAsia="en-IN"/>
        </w:rPr>
        <w:t>H9</w:t>
      </w:r>
      <w:r>
        <w:rPr>
          <w:lang w:eastAsia="en-IN"/>
        </w:rPr>
        <w:t xml:space="preserve">: </w:t>
      </w:r>
      <w:r w:rsidRPr="00AD6DC1">
        <w:rPr>
          <w:lang w:eastAsia="en-IN"/>
        </w:rPr>
        <w:t>Borrowers with longer credit histories exhibit lower default rates and stronger repayment performance than borrowers with shorter credit histories.</w:t>
      </w:r>
    </w:p>
    <w:p w14:paraId="7B2D97F8" w14:textId="701939F4" w:rsidR="00DD3521" w:rsidRDefault="00DD3521" w:rsidP="00DD3521">
      <w:pPr>
        <w:pStyle w:val="Heading3"/>
        <w:rPr>
          <w:lang w:eastAsia="en-IN"/>
        </w:rPr>
      </w:pPr>
      <w:r>
        <w:rPr>
          <w:lang w:eastAsia="en-IN"/>
        </w:rPr>
        <w:t>KPI Validation Hypothesis</w:t>
      </w:r>
    </w:p>
    <w:p w14:paraId="5FC79F03" w14:textId="06623C9F" w:rsidR="00DD3521" w:rsidRDefault="00DD3521" w:rsidP="00DD3521">
      <w:pPr>
        <w:pStyle w:val="ListParagraph"/>
        <w:numPr>
          <w:ilvl w:val="0"/>
          <w:numId w:val="8"/>
        </w:numPr>
        <w:rPr>
          <w:lang w:eastAsia="en-IN"/>
        </w:rPr>
      </w:pPr>
      <w:r w:rsidRPr="00DD3521">
        <w:rPr>
          <w:b/>
          <w:bCs/>
          <w:lang w:eastAsia="en-IN"/>
        </w:rPr>
        <w:t>H10</w:t>
      </w:r>
      <w:r w:rsidRPr="00DD3521">
        <w:rPr>
          <w:lang w:eastAsia="en-IN"/>
        </w:rPr>
        <w:t>: The Recovery Rate metric may not be computable for a significant portion of charged-off loans because outstanding principal balances are already zero at the time of observation.</w:t>
      </w:r>
    </w:p>
    <w:p w14:paraId="44F8D94B" w14:textId="51BB35A1"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15924A93"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 This includes creating borrower segments, deriving credit history length, generating risk indicators, and preparing variables for KPI calculations such as Loan Repayment Rate (LRR), Default Rate, and Recovery Rate.</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lastRenderedPageBreak/>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0A737467" w:rsidR="007C519A" w:rsidRDefault="00A43961" w:rsidP="007C519A">
      <w:pPr>
        <w:rPr>
          <w:lang w:eastAsia="en-IN"/>
        </w:rPr>
      </w:pPr>
      <w:r w:rsidRPr="00A43961">
        <w:rPr>
          <w:lang w:eastAsia="en-IN"/>
        </w:rPr>
        <w:t>The first step in the data cleaning process involves understanding the structure, quality, and characteristics of the loan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rsidP="009E3915">
      <w:pPr>
        <w:pStyle w:val="ListParagraph"/>
        <w:numPr>
          <w:ilvl w:val="0"/>
          <w:numId w:val="8"/>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rsidP="009E3915">
      <w:pPr>
        <w:pStyle w:val="ListParagraph"/>
        <w:numPr>
          <w:ilvl w:val="0"/>
          <w:numId w:val="8"/>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rsidP="009E3915">
      <w:pPr>
        <w:pStyle w:val="ListParagraph"/>
        <w:numPr>
          <w:ilvl w:val="0"/>
          <w:numId w:val="8"/>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rsidP="009E3915">
      <w:pPr>
        <w:pStyle w:val="ListParagraph"/>
        <w:numPr>
          <w:ilvl w:val="0"/>
          <w:numId w:val="8"/>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78BCD56D" w:rsidR="009E3915" w:rsidRDefault="009E3915" w:rsidP="009E3915">
      <w:pPr>
        <w:pStyle w:val="ListParagraph"/>
        <w:numPr>
          <w:ilvl w:val="0"/>
          <w:numId w:val="9"/>
        </w:numPr>
        <w:rPr>
          <w:lang w:eastAsia="en-IN"/>
        </w:rPr>
      </w:pPr>
      <w:r w:rsidRPr="009E3915">
        <w:rPr>
          <w:lang w:eastAsia="en-IN"/>
        </w:rPr>
        <w:t>Columns</w:t>
      </w:r>
      <w:r w:rsidR="003346A1">
        <w:rPr>
          <w:lang w:eastAsia="en-IN"/>
        </w:rPr>
        <w:t xml:space="preserve"> such as “</w:t>
      </w:r>
      <w:r w:rsidR="003346A1" w:rsidRPr="003346A1">
        <w:rPr>
          <w:lang w:eastAsia="en-IN"/>
        </w:rPr>
        <w:t>annual</w:t>
      </w:r>
      <w:r w:rsidR="003346A1">
        <w:rPr>
          <w:lang w:eastAsia="en-IN"/>
        </w:rPr>
        <w:t xml:space="preserve"> </w:t>
      </w:r>
      <w:proofErr w:type="spellStart"/>
      <w:r w:rsidR="003346A1" w:rsidRPr="003346A1">
        <w:rPr>
          <w:lang w:eastAsia="en-IN"/>
        </w:rPr>
        <w:t>inc</w:t>
      </w:r>
      <w:proofErr w:type="spellEnd"/>
      <w:r w:rsidR="003346A1">
        <w:rPr>
          <w:lang w:eastAsia="en-IN"/>
        </w:rPr>
        <w:t xml:space="preserve"> </w:t>
      </w:r>
      <w:r w:rsidR="003346A1" w:rsidRPr="003346A1">
        <w:rPr>
          <w:lang w:eastAsia="en-IN"/>
        </w:rPr>
        <w:t>joint</w:t>
      </w:r>
      <w:r w:rsidR="003346A1">
        <w:rPr>
          <w:lang w:eastAsia="en-IN"/>
        </w:rPr>
        <w:t>”, “</w:t>
      </w:r>
      <w:proofErr w:type="spellStart"/>
      <w:r w:rsidR="003346A1" w:rsidRPr="003346A1">
        <w:rPr>
          <w:lang w:eastAsia="en-IN"/>
        </w:rPr>
        <w:t>dti</w:t>
      </w:r>
      <w:proofErr w:type="spellEnd"/>
      <w:r w:rsidR="003346A1">
        <w:rPr>
          <w:lang w:eastAsia="en-IN"/>
        </w:rPr>
        <w:t xml:space="preserve"> </w:t>
      </w:r>
      <w:r w:rsidR="003346A1" w:rsidRPr="003346A1">
        <w:rPr>
          <w:lang w:eastAsia="en-IN"/>
        </w:rPr>
        <w:t>joint</w:t>
      </w:r>
      <w:r w:rsidR="003346A1">
        <w:rPr>
          <w:lang w:eastAsia="en-IN"/>
        </w:rPr>
        <w:t>”, “</w:t>
      </w:r>
      <w:r w:rsidR="003346A1" w:rsidRPr="003346A1">
        <w:rPr>
          <w:lang w:eastAsia="en-IN"/>
        </w:rPr>
        <w:t>verification</w:t>
      </w:r>
      <w:r w:rsidR="003346A1">
        <w:rPr>
          <w:lang w:eastAsia="en-IN"/>
        </w:rPr>
        <w:t xml:space="preserve"> </w:t>
      </w:r>
      <w:r w:rsidR="003346A1" w:rsidRPr="003346A1">
        <w:rPr>
          <w:lang w:eastAsia="en-IN"/>
        </w:rPr>
        <w:t>status</w:t>
      </w:r>
      <w:r w:rsidR="003346A1">
        <w:rPr>
          <w:lang w:eastAsia="en-IN"/>
        </w:rPr>
        <w:t xml:space="preserve"> </w:t>
      </w:r>
      <w:r w:rsidR="003346A1" w:rsidRPr="003346A1">
        <w:rPr>
          <w:lang w:eastAsia="en-IN"/>
        </w:rPr>
        <w:t>joint</w:t>
      </w:r>
      <w:r w:rsidR="003346A1">
        <w:rPr>
          <w:lang w:eastAsia="en-IN"/>
        </w:rPr>
        <w:t>”, “</w:t>
      </w:r>
      <w:proofErr w:type="spellStart"/>
      <w:r w:rsidR="003346A1" w:rsidRPr="003346A1">
        <w:rPr>
          <w:lang w:eastAsia="en-IN"/>
        </w:rPr>
        <w:t>mths</w:t>
      </w:r>
      <w:proofErr w:type="spellEnd"/>
      <w:r w:rsidR="003346A1">
        <w:rPr>
          <w:lang w:eastAsia="en-IN"/>
        </w:rPr>
        <w:t xml:space="preserve"> </w:t>
      </w:r>
      <w:r w:rsidR="003346A1" w:rsidRPr="003346A1">
        <w:rPr>
          <w:lang w:eastAsia="en-IN"/>
        </w:rPr>
        <w:t>since</w:t>
      </w:r>
      <w:r w:rsidR="003346A1">
        <w:rPr>
          <w:lang w:eastAsia="en-IN"/>
        </w:rPr>
        <w:t xml:space="preserve"> </w:t>
      </w:r>
      <w:r w:rsidR="003346A1" w:rsidRPr="003346A1">
        <w:rPr>
          <w:lang w:eastAsia="en-IN"/>
        </w:rPr>
        <w:t>last</w:t>
      </w:r>
      <w:r w:rsidR="003346A1">
        <w:rPr>
          <w:lang w:eastAsia="en-IN"/>
        </w:rPr>
        <w:t xml:space="preserve"> </w:t>
      </w:r>
      <w:r w:rsidR="003346A1" w:rsidRPr="003346A1">
        <w:rPr>
          <w:lang w:eastAsia="en-IN"/>
        </w:rPr>
        <w:t>record</w:t>
      </w:r>
      <w:r w:rsidR="003346A1">
        <w:rPr>
          <w:lang w:eastAsia="en-IN"/>
        </w:rPr>
        <w:t>”</w:t>
      </w:r>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r w:rsidRPr="009E3915">
        <w:rPr>
          <w:lang w:eastAsia="en-IN"/>
        </w:rPr>
        <w:t xml:space="preserve"> </w:t>
      </w:r>
      <w:r w:rsidR="00C169D1">
        <w:rPr>
          <w:lang w:eastAsia="en-IN"/>
        </w:rPr>
        <w:t>Which</w:t>
      </w:r>
      <w:r w:rsidRPr="009E3915">
        <w:rPr>
          <w:lang w:eastAsia="en-IN"/>
        </w:rPr>
        <w:t xml:space="preserve"> may require remova</w:t>
      </w:r>
      <w:r w:rsidR="00C169D1">
        <w:rPr>
          <w:lang w:eastAsia="en-IN"/>
        </w:rPr>
        <w:t>l</w:t>
      </w:r>
      <w:r w:rsidRPr="009E3915">
        <w:rPr>
          <w:lang w:eastAsia="en-IN"/>
        </w:rPr>
        <w:t>.</w:t>
      </w:r>
    </w:p>
    <w:p w14:paraId="7FDA5EB5" w14:textId="3D699218" w:rsidR="009E3915" w:rsidRDefault="009E3915" w:rsidP="009E3915">
      <w:pPr>
        <w:pStyle w:val="ListParagraph"/>
        <w:numPr>
          <w:ilvl w:val="0"/>
          <w:numId w:val="9"/>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rsidP="009E3915">
      <w:pPr>
        <w:pStyle w:val="ListParagraph"/>
        <w:numPr>
          <w:ilvl w:val="0"/>
          <w:numId w:val="9"/>
        </w:numPr>
        <w:rPr>
          <w:lang w:eastAsia="en-IN"/>
        </w:rPr>
      </w:pPr>
      <w:r w:rsidRPr="009E3915">
        <w:rPr>
          <w:lang w:eastAsia="en-IN"/>
        </w:rPr>
        <w:t>High-cardinality categorical variables that may not be suitable for direct analysis.</w:t>
      </w:r>
    </w:p>
    <w:p w14:paraId="25DA077F" w14:textId="6C625EDE" w:rsidR="009E3915" w:rsidRDefault="009E3915" w:rsidP="009E3915">
      <w:pPr>
        <w:pStyle w:val="ListParagraph"/>
        <w:numPr>
          <w:ilvl w:val="0"/>
          <w:numId w:val="9"/>
        </w:numPr>
        <w:rPr>
          <w:lang w:eastAsia="en-IN"/>
        </w:rPr>
      </w:pPr>
      <w:r w:rsidRPr="009E3915">
        <w:rPr>
          <w:lang w:eastAsia="en-IN"/>
        </w:rPr>
        <w:t>Numerical variables with unusually large ranges that may require further investigation during outlier analysis.</w:t>
      </w:r>
    </w:p>
    <w:p w14:paraId="6463D862" w14:textId="12FDD7D4" w:rsidR="009E3915" w:rsidRDefault="009E3915" w:rsidP="009E3915">
      <w:pPr>
        <w:rPr>
          <w:lang w:eastAsia="en-IN"/>
        </w:rPr>
      </w:pPr>
      <w:r w:rsidRPr="009E3915">
        <w:rPr>
          <w:lang w:eastAsia="en-IN"/>
        </w:rPr>
        <w:t xml:space="preserve">Additionally, descriptive statistics are generated for key financial variables such as loan amount, annual income, debt-to-income ratio (DTI), interest rate, revolving utilization, and </w:t>
      </w:r>
      <w:r w:rsidR="003346A1" w:rsidRPr="009E3915">
        <w:rPr>
          <w:lang w:eastAsia="en-IN"/>
        </w:rPr>
        <w:t>instalment</w:t>
      </w:r>
      <w:r w:rsidRPr="009E3915">
        <w:rPr>
          <w:lang w:eastAsia="en-IN"/>
        </w:rPr>
        <w:t xml:space="preserve"> amount. This provides an initial understanding of borrower characteristics, loan structures, and repayment-related attributes before proceeding with data cleaning and preprocessing.</w:t>
      </w:r>
    </w:p>
    <w:p w14:paraId="60A6809E" w14:textId="30E1654E" w:rsidR="001774AB" w:rsidRDefault="001774AB" w:rsidP="001774AB">
      <w:pPr>
        <w:pStyle w:val="Heading2"/>
        <w:rPr>
          <w:lang w:eastAsia="en-IN"/>
        </w:rPr>
      </w:pPr>
      <w:r>
        <w:rPr>
          <w:lang w:eastAsia="en-IN"/>
        </w:rPr>
        <w:t xml:space="preserve">Step 2: </w:t>
      </w:r>
      <w:r w:rsidR="007A5525">
        <w:rPr>
          <w:lang w:eastAsia="en-IN"/>
        </w:rPr>
        <w:t>Handling Missing Values</w:t>
      </w:r>
    </w:p>
    <w:p w14:paraId="3A72BC9E" w14:textId="5A9236BB" w:rsidR="001774AB" w:rsidRDefault="001774AB" w:rsidP="001774AB">
      <w:pPr>
        <w:rPr>
          <w:lang w:eastAsia="en-IN"/>
        </w:rPr>
      </w:pPr>
      <w:r w:rsidRPr="001774AB">
        <w:rPr>
          <w:lang w:eastAsia="en-IN"/>
        </w:rPr>
        <w:t>Missing values were examined to determine whether they represented true data quality issues or meaningful business information.</w:t>
      </w:r>
    </w:p>
    <w:p w14:paraId="456ED5ED" w14:textId="36B6F5D2" w:rsidR="001774AB" w:rsidRDefault="001774AB" w:rsidP="001774AB">
      <w:pPr>
        <w:pStyle w:val="ListParagraph"/>
        <w:numPr>
          <w:ilvl w:val="0"/>
          <w:numId w:val="10"/>
        </w:numPr>
        <w:rPr>
          <w:lang w:eastAsia="en-IN"/>
        </w:rPr>
      </w:pPr>
      <w:r w:rsidRPr="001774AB">
        <w:rPr>
          <w:lang w:eastAsia="en-IN"/>
        </w:rPr>
        <w:t xml:space="preserve">Columns with extremely high missing percentages (greater than 80%) and limited analytical value, such as </w:t>
      </w:r>
      <w:r>
        <w:rPr>
          <w:lang w:eastAsia="en-IN"/>
        </w:rPr>
        <w:t>“</w:t>
      </w:r>
      <w:r w:rsidRPr="001774AB">
        <w:rPr>
          <w:lang w:eastAsia="en-IN"/>
        </w:rPr>
        <w:t>annual</w:t>
      </w:r>
      <w:r>
        <w:rPr>
          <w:lang w:eastAsia="en-IN"/>
        </w:rPr>
        <w:t xml:space="preserve"> </w:t>
      </w:r>
      <w:proofErr w:type="spellStart"/>
      <w:r w:rsidRPr="001774AB">
        <w:rPr>
          <w:lang w:eastAsia="en-IN"/>
        </w:rPr>
        <w:t>inc</w:t>
      </w:r>
      <w:proofErr w:type="spellEnd"/>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proofErr w:type="spellStart"/>
      <w:r w:rsidRPr="001774AB">
        <w:rPr>
          <w:lang w:eastAsia="en-IN"/>
        </w:rPr>
        <w:t>dti</w:t>
      </w:r>
      <w:proofErr w:type="spellEnd"/>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r w:rsidRPr="001774AB">
        <w:rPr>
          <w:lang w:eastAsia="en-IN"/>
        </w:rPr>
        <w:t>verification</w:t>
      </w:r>
      <w:r>
        <w:rPr>
          <w:lang w:eastAsia="en-IN"/>
        </w:rPr>
        <w:t xml:space="preserve"> </w:t>
      </w:r>
      <w:r w:rsidRPr="001774AB">
        <w:rPr>
          <w:lang w:eastAsia="en-IN"/>
        </w:rPr>
        <w:t>status</w:t>
      </w:r>
      <w:r>
        <w:rPr>
          <w:lang w:eastAsia="en-IN"/>
        </w:rPr>
        <w:t xml:space="preserve"> </w:t>
      </w:r>
      <w:r w:rsidRPr="001774AB">
        <w:rPr>
          <w:lang w:eastAsia="en-IN"/>
        </w:rPr>
        <w:t>joint</w:t>
      </w:r>
      <w:r>
        <w:rPr>
          <w:lang w:eastAsia="en-IN"/>
        </w:rPr>
        <w:t>”</w:t>
      </w:r>
      <w:r w:rsidRPr="001774AB">
        <w:rPr>
          <w:lang w:eastAsia="en-IN"/>
        </w:rPr>
        <w:t xml:space="preserve">, </w:t>
      </w:r>
      <w:r>
        <w:rPr>
          <w:lang w:eastAsia="en-IN"/>
        </w:rPr>
        <w:t>“</w:t>
      </w:r>
      <w:proofErr w:type="spellStart"/>
      <w:r w:rsidRPr="001774AB">
        <w:rPr>
          <w:lang w:eastAsia="en-IN"/>
        </w:rPr>
        <w:t>desc</w:t>
      </w:r>
      <w:proofErr w:type="spellEnd"/>
      <w:r>
        <w:rPr>
          <w:lang w:eastAsia="en-IN"/>
        </w:rPr>
        <w:t>”</w:t>
      </w:r>
      <w:r w:rsidRPr="001774AB">
        <w:rPr>
          <w:lang w:eastAsia="en-IN"/>
        </w:rPr>
        <w:t xml:space="preserve">, and </w:t>
      </w:r>
      <w:r>
        <w:rPr>
          <w:lang w:eastAsia="en-IN"/>
        </w:rPr>
        <w:t>“</w:t>
      </w:r>
      <w:proofErr w:type="spellStart"/>
      <w:r w:rsidRPr="001774AB">
        <w:rPr>
          <w:lang w:eastAsia="en-IN"/>
        </w:rPr>
        <w:t>mths</w:t>
      </w:r>
      <w:proofErr w:type="spellEnd"/>
      <w:r>
        <w:rPr>
          <w:lang w:eastAsia="en-IN"/>
        </w:rPr>
        <w:t xml:space="preserve"> </w:t>
      </w:r>
      <w:r w:rsidRPr="001774AB">
        <w:rPr>
          <w:lang w:eastAsia="en-IN"/>
        </w:rPr>
        <w:t>since</w:t>
      </w:r>
      <w:r>
        <w:rPr>
          <w:lang w:eastAsia="en-IN"/>
        </w:rPr>
        <w:t xml:space="preserve"> </w:t>
      </w:r>
      <w:r w:rsidRPr="001774AB">
        <w:rPr>
          <w:lang w:eastAsia="en-IN"/>
        </w:rPr>
        <w:t>last</w:t>
      </w:r>
      <w:r>
        <w:rPr>
          <w:lang w:eastAsia="en-IN"/>
        </w:rPr>
        <w:t xml:space="preserve"> </w:t>
      </w:r>
      <w:r w:rsidRPr="001774AB">
        <w:rPr>
          <w:lang w:eastAsia="en-IN"/>
        </w:rPr>
        <w:t>record</w:t>
      </w:r>
      <w:r>
        <w:rPr>
          <w:lang w:eastAsia="en-IN"/>
        </w:rPr>
        <w:t>”</w:t>
      </w:r>
      <w:r w:rsidRPr="001774AB">
        <w:rPr>
          <w:lang w:eastAsia="en-IN"/>
        </w:rPr>
        <w:t>, were removed from the dataset.</w:t>
      </w:r>
    </w:p>
    <w:p w14:paraId="6D051EC2" w14:textId="170459E3" w:rsidR="001774AB" w:rsidRDefault="005239B4" w:rsidP="007553D4">
      <w:pPr>
        <w:pStyle w:val="ListParagraph"/>
        <w:numPr>
          <w:ilvl w:val="0"/>
          <w:numId w:val="10"/>
        </w:numPr>
        <w:rPr>
          <w:lang w:eastAsia="en-IN"/>
        </w:rPr>
      </w:pPr>
      <w:r w:rsidRPr="005239B4">
        <w:rPr>
          <w:lang w:eastAsia="en-IN"/>
        </w:rPr>
        <w:t>Missing values in revolving utilization (</w:t>
      </w:r>
      <w:proofErr w:type="spellStart"/>
      <w:r w:rsidRPr="005239B4">
        <w:rPr>
          <w:lang w:eastAsia="en-IN"/>
        </w:rPr>
        <w:t>revol_util</w:t>
      </w:r>
      <w:proofErr w:type="spellEnd"/>
      <w:r w:rsidRPr="005239B4">
        <w:rPr>
          <w:lang w:eastAsia="en-IN"/>
        </w:rPr>
        <w:t>) were replaced using the median value to minimize the influence of outliers.</w:t>
      </w:r>
    </w:p>
    <w:p w14:paraId="739D0163" w14:textId="3E37F425" w:rsidR="005239B4" w:rsidRDefault="005239B4" w:rsidP="005239B4">
      <w:pPr>
        <w:rPr>
          <w:lang w:eastAsia="en-IN"/>
        </w:rPr>
      </w:pPr>
      <w:r w:rsidRPr="005239B4">
        <w:rPr>
          <w:lang w:eastAsia="en-IN"/>
        </w:rPr>
        <w:t>Certain variables required special treatment because missing values carried business meaning rather than representing absent information.</w:t>
      </w:r>
    </w:p>
    <w:p w14:paraId="206F7A95" w14:textId="245A88FA" w:rsidR="005239B4" w:rsidRDefault="005239B4" w:rsidP="005239B4">
      <w:pPr>
        <w:pStyle w:val="ListParagraph"/>
        <w:numPr>
          <w:ilvl w:val="0"/>
          <w:numId w:val="11"/>
        </w:numPr>
        <w:rPr>
          <w:lang w:eastAsia="en-IN"/>
        </w:rPr>
      </w:pPr>
      <w:r w:rsidRPr="005239B4">
        <w:rPr>
          <w:lang w:eastAsia="en-IN"/>
        </w:rPr>
        <w:t xml:space="preserve">For example, missing values in </w:t>
      </w:r>
      <w:r w:rsidR="004A520A">
        <w:rPr>
          <w:lang w:eastAsia="en-IN"/>
        </w:rPr>
        <w:t>“</w:t>
      </w:r>
      <w:proofErr w:type="spellStart"/>
      <w:r w:rsidRPr="005239B4">
        <w:rPr>
          <w:lang w:eastAsia="en-IN"/>
        </w:rPr>
        <w:t>mths</w:t>
      </w:r>
      <w:proofErr w:type="spellEnd"/>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proofErr w:type="spellStart"/>
      <w:r w:rsidRPr="005239B4">
        <w:rPr>
          <w:lang w:eastAsia="en-IN"/>
        </w:rPr>
        <w:t>delinq</w:t>
      </w:r>
      <w:proofErr w:type="spellEnd"/>
      <w:r w:rsidR="004A520A">
        <w:rPr>
          <w:lang w:eastAsia="en-IN"/>
        </w:rPr>
        <w:t>”</w:t>
      </w:r>
      <w:r w:rsidRPr="005239B4">
        <w:rPr>
          <w:lang w:eastAsia="en-IN"/>
        </w:rPr>
        <w:t xml:space="preserve"> and </w:t>
      </w:r>
      <w:r w:rsidR="004A520A">
        <w:rPr>
          <w:lang w:eastAsia="en-IN"/>
        </w:rPr>
        <w:t>“</w:t>
      </w:r>
      <w:proofErr w:type="spellStart"/>
      <w:r w:rsidRPr="005239B4">
        <w:rPr>
          <w:lang w:eastAsia="en-IN"/>
        </w:rPr>
        <w:t>mths</w:t>
      </w:r>
      <w:proofErr w:type="spellEnd"/>
      <w:r w:rsidR="004A520A">
        <w:rPr>
          <w:lang w:eastAsia="en-IN"/>
        </w:rPr>
        <w:t xml:space="preserve"> </w:t>
      </w:r>
      <w:r w:rsidRPr="005239B4">
        <w:rPr>
          <w:lang w:eastAsia="en-IN"/>
        </w:rPr>
        <w:t>since</w:t>
      </w:r>
      <w:r w:rsidR="004A520A">
        <w:rPr>
          <w:lang w:eastAsia="en-IN"/>
        </w:rPr>
        <w:t xml:space="preserve"> </w:t>
      </w:r>
      <w:r w:rsidRPr="005239B4">
        <w:rPr>
          <w:lang w:eastAsia="en-IN"/>
        </w:rPr>
        <w:t>last</w:t>
      </w:r>
      <w:r w:rsidR="004A520A">
        <w:rPr>
          <w:lang w:eastAsia="en-IN"/>
        </w:rPr>
        <w:t xml:space="preserve"> </w:t>
      </w:r>
      <w:r w:rsidRPr="005239B4">
        <w:rPr>
          <w:lang w:eastAsia="en-IN"/>
        </w:rPr>
        <w:t>major</w:t>
      </w:r>
      <w:r w:rsidR="004A520A">
        <w:rPr>
          <w:lang w:eastAsia="en-IN"/>
        </w:rPr>
        <w:t xml:space="preserve"> </w:t>
      </w:r>
      <w:proofErr w:type="spellStart"/>
      <w:r w:rsidRPr="005239B4">
        <w:rPr>
          <w:lang w:eastAsia="en-IN"/>
        </w:rPr>
        <w:t>derog</w:t>
      </w:r>
      <w:proofErr w:type="spellEnd"/>
      <w:r w:rsidR="004A520A">
        <w:rPr>
          <w:lang w:eastAsia="en-IN"/>
        </w:rPr>
        <w:t>”</w:t>
      </w:r>
      <w:r w:rsidRPr="005239B4">
        <w:rPr>
          <w:lang w:eastAsia="en-IN"/>
        </w:rPr>
        <w:t xml:space="preserve"> were interpreted as borrowers having no prior delinquency or major derogatory records and were therefore replaced with a flag value of -1</w:t>
      </w:r>
      <w:r>
        <w:rPr>
          <w:lang w:eastAsia="en-IN"/>
        </w:rPr>
        <w:t>.</w:t>
      </w:r>
    </w:p>
    <w:p w14:paraId="0BBA3BC0" w14:textId="17627594" w:rsidR="005239B4" w:rsidRDefault="005239B4" w:rsidP="005239B4">
      <w:pPr>
        <w:pStyle w:val="ListParagraph"/>
        <w:numPr>
          <w:ilvl w:val="0"/>
          <w:numId w:val="11"/>
        </w:numPr>
        <w:rPr>
          <w:lang w:eastAsia="en-IN"/>
        </w:rPr>
      </w:pPr>
      <w:r>
        <w:rPr>
          <w:lang w:eastAsia="en-IN"/>
        </w:rPr>
        <w:t>M</w:t>
      </w:r>
      <w:r w:rsidRPr="005239B4">
        <w:rPr>
          <w:lang w:eastAsia="en-IN"/>
        </w:rPr>
        <w:t xml:space="preserve">issing values in </w:t>
      </w:r>
      <w:r w:rsidR="004A520A">
        <w:rPr>
          <w:lang w:eastAsia="en-IN"/>
        </w:rPr>
        <w:t>“</w:t>
      </w:r>
      <w:r w:rsidRPr="005239B4">
        <w:rPr>
          <w:lang w:eastAsia="en-IN"/>
        </w:rPr>
        <w:t>next</w:t>
      </w:r>
      <w:r w:rsidR="004A520A">
        <w:rPr>
          <w:lang w:eastAsia="en-IN"/>
        </w:rPr>
        <w:t xml:space="preserve"> </w:t>
      </w:r>
      <w:proofErr w:type="spellStart"/>
      <w:r w:rsidRPr="005239B4">
        <w:rPr>
          <w:lang w:eastAsia="en-IN"/>
        </w:rPr>
        <w:t>pymnt</w:t>
      </w:r>
      <w:proofErr w:type="spellEnd"/>
      <w:r w:rsidR="004A520A">
        <w:rPr>
          <w:lang w:eastAsia="en-IN"/>
        </w:rPr>
        <w:t xml:space="preserve"> </w:t>
      </w:r>
      <w:r w:rsidRPr="005239B4">
        <w:rPr>
          <w:lang w:eastAsia="en-IN"/>
        </w:rPr>
        <w:t>d</w:t>
      </w:r>
      <w:r w:rsidR="004A520A">
        <w:rPr>
          <w:lang w:eastAsia="en-IN"/>
        </w:rPr>
        <w:t>”</w:t>
      </w:r>
      <w:r w:rsidRPr="005239B4">
        <w:rPr>
          <w:lang w:eastAsia="en-IN"/>
        </w:rPr>
        <w:t xml:space="preserve"> were retained because loans that are fully paid or charged off naturally do not have a future payment date.</w:t>
      </w:r>
    </w:p>
    <w:p w14:paraId="29234440" w14:textId="6109BF69" w:rsidR="00431C93" w:rsidRDefault="00431C93" w:rsidP="00431C93">
      <w:pPr>
        <w:pStyle w:val="ListParagraph"/>
        <w:numPr>
          <w:ilvl w:val="0"/>
          <w:numId w:val="11"/>
        </w:numPr>
        <w:rPr>
          <w:lang w:eastAsia="en-IN"/>
        </w:rPr>
      </w:pPr>
      <w:r w:rsidRPr="00431C93">
        <w:rPr>
          <w:lang w:eastAsia="en-IN"/>
        </w:rPr>
        <w:t xml:space="preserve">Analysis of the </w:t>
      </w:r>
      <w:r w:rsidR="007B538D">
        <w:rPr>
          <w:lang w:eastAsia="en-IN"/>
        </w:rPr>
        <w:t>“</w:t>
      </w:r>
      <w:proofErr w:type="spellStart"/>
      <w:r w:rsidRPr="00431C93">
        <w:rPr>
          <w:lang w:eastAsia="en-IN"/>
        </w:rPr>
        <w:t>next_pymnt_d</w:t>
      </w:r>
      <w:proofErr w:type="spellEnd"/>
      <w:r w:rsidR="007B538D">
        <w:rPr>
          <w:lang w:eastAsia="en-IN"/>
        </w:rPr>
        <w:t>”</w:t>
      </w:r>
      <w:r w:rsidRPr="00431C93">
        <w:rPr>
          <w:lang w:eastAsia="en-IN"/>
        </w:rPr>
        <w:t xml:space="preserve"> variable revealed that all missing values are concentrated within loans that have a status of Fully Paid or Charged Off. In contrast, active loan statuses such as Current, Issued, Late, and In Grace Period consistently contain valid next payment dates. This confirms that the missing values are driven by business logic</w:t>
      </w:r>
      <w:r>
        <w:rPr>
          <w:lang w:eastAsia="en-IN"/>
        </w:rPr>
        <w:t xml:space="preserve">. </w:t>
      </w:r>
      <w:r w:rsidRPr="00431C93">
        <w:rPr>
          <w:lang w:eastAsia="en-IN"/>
        </w:rPr>
        <w:t>S</w:t>
      </w:r>
      <w:r w:rsidR="007A5525">
        <w:rPr>
          <w:lang w:eastAsia="en-IN"/>
        </w:rPr>
        <w:t xml:space="preserve">o </w:t>
      </w:r>
      <w:r w:rsidRPr="00431C93">
        <w:rPr>
          <w:lang w:eastAsia="en-IN"/>
        </w:rPr>
        <w:t>no imputation was performed and the null values were retained</w:t>
      </w:r>
      <w:r w:rsidR="007A5525">
        <w:rPr>
          <w:lang w:eastAsia="en-IN"/>
        </w:rPr>
        <w:t>.</w:t>
      </w:r>
    </w:p>
    <w:p w14:paraId="4F95C9A2" w14:textId="3977B8A2" w:rsidR="003346A1" w:rsidRDefault="00595EC0" w:rsidP="00595EC0">
      <w:pPr>
        <w:pStyle w:val="Heading2"/>
        <w:rPr>
          <w:lang w:eastAsia="en-IN"/>
        </w:rPr>
      </w:pPr>
      <w:r>
        <w:rPr>
          <w:lang w:eastAsia="en-IN"/>
        </w:rPr>
        <w:lastRenderedPageBreak/>
        <w:t>Step 3: CONVERTING DATA TYPES</w:t>
      </w:r>
    </w:p>
    <w:p w14:paraId="4377F8C4" w14:textId="5D7017BC" w:rsidR="00595EC0" w:rsidRDefault="005E47D7" w:rsidP="00595EC0">
      <w:pPr>
        <w:rPr>
          <w:lang w:eastAsia="en-IN"/>
        </w:rPr>
      </w:pPr>
      <w:r w:rsidRPr="005E47D7">
        <w:rPr>
          <w:lang w:eastAsia="en-IN"/>
        </w:rPr>
        <w:t>Variables stored in inappropriate formats can lead to incorrect calculations, grouping errors, and inefficient data processing.</w:t>
      </w:r>
    </w:p>
    <w:p w14:paraId="04B9F855" w14:textId="0EC701E8" w:rsidR="005E47D7" w:rsidRPr="005E47D7" w:rsidRDefault="007A5525" w:rsidP="005E47D7">
      <w:pPr>
        <w:pStyle w:val="ListParagraph"/>
        <w:numPr>
          <w:ilvl w:val="0"/>
          <w:numId w:val="12"/>
        </w:numPr>
        <w:rPr>
          <w:lang w:eastAsia="en-IN"/>
        </w:rPr>
      </w:pPr>
      <w:r>
        <w:rPr>
          <w:lang w:eastAsia="en-IN"/>
        </w:rPr>
        <w:t>A</w:t>
      </w:r>
      <w:r w:rsidR="005E47D7" w:rsidRPr="005E47D7">
        <w:rPr>
          <w:lang w:eastAsia="en-IN"/>
        </w:rPr>
        <w:t>ll date-related variables, including issue date (issue</w:t>
      </w:r>
      <w:r w:rsidR="005E47D7">
        <w:rPr>
          <w:lang w:eastAsia="en-IN"/>
        </w:rPr>
        <w:t xml:space="preserve"> </w:t>
      </w:r>
      <w:r w:rsidR="005E47D7" w:rsidRPr="005E47D7">
        <w:rPr>
          <w:lang w:eastAsia="en-IN"/>
        </w:rPr>
        <w:t>d), earliest credit line (earliest</w:t>
      </w:r>
      <w:r w:rsidR="005E47D7">
        <w:rPr>
          <w:lang w:eastAsia="en-IN"/>
        </w:rPr>
        <w:t xml:space="preserve"> </w:t>
      </w:r>
      <w:proofErr w:type="spellStart"/>
      <w:r w:rsidR="005E47D7" w:rsidRPr="005E47D7">
        <w:rPr>
          <w:lang w:eastAsia="en-IN"/>
        </w:rPr>
        <w:t>cr</w:t>
      </w:r>
      <w:proofErr w:type="spellEnd"/>
      <w:r w:rsidR="005E47D7">
        <w:rPr>
          <w:lang w:eastAsia="en-IN"/>
        </w:rPr>
        <w:t xml:space="preserve"> </w:t>
      </w:r>
      <w:r w:rsidR="005E47D7" w:rsidRPr="005E47D7">
        <w:rPr>
          <w:lang w:eastAsia="en-IN"/>
        </w:rPr>
        <w:t>line), last payment date (last</w:t>
      </w:r>
      <w:r w:rsidR="005E47D7">
        <w:rPr>
          <w:lang w:eastAsia="en-IN"/>
        </w:rPr>
        <w:t xml:space="preserve"> </w:t>
      </w:r>
      <w:proofErr w:type="spellStart"/>
      <w:r w:rsidR="005E47D7" w:rsidRPr="005E47D7">
        <w:rPr>
          <w:lang w:eastAsia="en-IN"/>
        </w:rPr>
        <w:t>pymnt</w:t>
      </w:r>
      <w:proofErr w:type="spellEnd"/>
      <w:r w:rsidR="005E47D7">
        <w:rPr>
          <w:lang w:eastAsia="en-IN"/>
        </w:rPr>
        <w:t xml:space="preserve"> </w:t>
      </w:r>
      <w:r w:rsidR="005E47D7" w:rsidRPr="005E47D7">
        <w:rPr>
          <w:lang w:eastAsia="en-IN"/>
        </w:rPr>
        <w:t>d), next payment date (next</w:t>
      </w:r>
      <w:r w:rsidR="005E47D7">
        <w:rPr>
          <w:lang w:eastAsia="en-IN"/>
        </w:rPr>
        <w:t xml:space="preserve"> </w:t>
      </w:r>
      <w:proofErr w:type="spellStart"/>
      <w:r w:rsidR="005E47D7" w:rsidRPr="005E47D7">
        <w:rPr>
          <w:lang w:eastAsia="en-IN"/>
        </w:rPr>
        <w:t>pymnt</w:t>
      </w:r>
      <w:proofErr w:type="spellEnd"/>
      <w:r w:rsidR="005E47D7">
        <w:rPr>
          <w:lang w:eastAsia="en-IN"/>
        </w:rPr>
        <w:t xml:space="preserve"> </w:t>
      </w:r>
      <w:r w:rsidR="005E47D7" w:rsidRPr="005E47D7">
        <w:rPr>
          <w:lang w:eastAsia="en-IN"/>
        </w:rPr>
        <w:t>d), and last credit pull date (last</w:t>
      </w:r>
      <w:r w:rsidR="005E47D7">
        <w:rPr>
          <w:lang w:eastAsia="en-IN"/>
        </w:rPr>
        <w:t xml:space="preserve"> </w:t>
      </w:r>
      <w:r w:rsidR="005E47D7" w:rsidRPr="005E47D7">
        <w:rPr>
          <w:lang w:eastAsia="en-IN"/>
        </w:rPr>
        <w:t>credit</w:t>
      </w:r>
      <w:r w:rsidR="005E47D7">
        <w:rPr>
          <w:lang w:eastAsia="en-IN"/>
        </w:rPr>
        <w:t xml:space="preserve"> </w:t>
      </w:r>
      <w:r w:rsidR="005E47D7" w:rsidRPr="005E47D7">
        <w:rPr>
          <w:lang w:eastAsia="en-IN"/>
        </w:rPr>
        <w:t>pull</w:t>
      </w:r>
      <w:r w:rsidR="005E47D7">
        <w:rPr>
          <w:lang w:eastAsia="en-IN"/>
        </w:rPr>
        <w:t xml:space="preserve"> </w:t>
      </w:r>
      <w:r w:rsidR="005E47D7" w:rsidRPr="005E47D7">
        <w:rPr>
          <w:lang w:eastAsia="en-IN"/>
        </w:rPr>
        <w:t>d), were converted from object type to datetime format.</w:t>
      </w:r>
    </w:p>
    <w:p w14:paraId="5EF06F9A" w14:textId="5CF572B8" w:rsidR="005E47D7" w:rsidRDefault="005E47D7" w:rsidP="005E47D7">
      <w:pPr>
        <w:pStyle w:val="ListParagraph"/>
        <w:numPr>
          <w:ilvl w:val="0"/>
          <w:numId w:val="12"/>
        </w:numPr>
        <w:rPr>
          <w:lang w:eastAsia="en-IN"/>
        </w:rPr>
      </w:pPr>
      <w:r w:rsidRPr="005E47D7">
        <w:rPr>
          <w:lang w:eastAsia="en-IN"/>
        </w:rPr>
        <w:t>Categorical variables such as grade, sub</w:t>
      </w:r>
      <w:r>
        <w:rPr>
          <w:lang w:eastAsia="en-IN"/>
        </w:rPr>
        <w:t xml:space="preserve"> </w:t>
      </w:r>
      <w:r w:rsidRPr="005E47D7">
        <w:rPr>
          <w:lang w:eastAsia="en-IN"/>
        </w:rPr>
        <w:t>grade, home</w:t>
      </w:r>
      <w:r>
        <w:rPr>
          <w:lang w:eastAsia="en-IN"/>
        </w:rPr>
        <w:t xml:space="preserve"> </w:t>
      </w:r>
      <w:r w:rsidRPr="005E47D7">
        <w:rPr>
          <w:lang w:eastAsia="en-IN"/>
        </w:rPr>
        <w:t>ownership, verification</w:t>
      </w:r>
      <w:r>
        <w:rPr>
          <w:lang w:eastAsia="en-IN"/>
        </w:rPr>
        <w:t xml:space="preserve"> </w:t>
      </w:r>
      <w:r w:rsidRPr="005E47D7">
        <w:rPr>
          <w:lang w:eastAsia="en-IN"/>
        </w:rPr>
        <w:t>status, and loan</w:t>
      </w:r>
      <w:r>
        <w:rPr>
          <w:lang w:eastAsia="en-IN"/>
        </w:rPr>
        <w:t xml:space="preserve"> </w:t>
      </w:r>
      <w:r w:rsidRPr="005E47D7">
        <w:rPr>
          <w:lang w:eastAsia="en-IN"/>
        </w:rPr>
        <w:t>status were retained in their original object format.</w:t>
      </w:r>
    </w:p>
    <w:p w14:paraId="574AC0D2" w14:textId="458D296D" w:rsidR="00C4212A" w:rsidRDefault="00DA47A3" w:rsidP="00DA47A3">
      <w:pPr>
        <w:pStyle w:val="Heading2"/>
        <w:rPr>
          <w:lang w:eastAsia="en-IN"/>
        </w:rPr>
      </w:pPr>
      <w:r>
        <w:rPr>
          <w:lang w:eastAsia="en-IN"/>
        </w:rPr>
        <w:t xml:space="preserve">Step 5: </w:t>
      </w:r>
      <w:r w:rsidR="007B415F" w:rsidRPr="007B415F">
        <w:rPr>
          <w:lang w:eastAsia="en-IN"/>
        </w:rPr>
        <w:t>GROUPING HOME OWNERSHIP CATEGORIES</w:t>
      </w:r>
    </w:p>
    <w:p w14:paraId="3427DA39" w14:textId="503E5D13" w:rsidR="007B415F" w:rsidRPr="007B415F" w:rsidRDefault="007B415F" w:rsidP="007B415F">
      <w:pPr>
        <w:rPr>
          <w:lang w:eastAsia="en-IN"/>
        </w:rPr>
      </w:pPr>
      <w:r w:rsidRPr="007B415F">
        <w:rPr>
          <w:lang w:eastAsia="en-IN"/>
        </w:rPr>
        <w:t xml:space="preserve">The categories </w:t>
      </w:r>
      <w:r>
        <w:rPr>
          <w:lang w:eastAsia="en-IN"/>
        </w:rPr>
        <w:t>“</w:t>
      </w:r>
      <w:r w:rsidRPr="007B415F">
        <w:rPr>
          <w:lang w:eastAsia="en-IN"/>
        </w:rPr>
        <w:t>ANY</w:t>
      </w:r>
      <w:r>
        <w:rPr>
          <w:lang w:eastAsia="en-IN"/>
        </w:rPr>
        <w:t>”</w:t>
      </w:r>
      <w:r w:rsidRPr="007B415F">
        <w:rPr>
          <w:lang w:eastAsia="en-IN"/>
        </w:rPr>
        <w:t xml:space="preserve"> and </w:t>
      </w:r>
      <w:r>
        <w:rPr>
          <w:lang w:eastAsia="en-IN"/>
        </w:rPr>
        <w:t>“</w:t>
      </w:r>
      <w:r w:rsidRPr="007B415F">
        <w:rPr>
          <w:lang w:eastAsia="en-IN"/>
        </w:rPr>
        <w:t>NONE</w:t>
      </w:r>
      <w:r>
        <w:rPr>
          <w:lang w:eastAsia="en-IN"/>
        </w:rPr>
        <w:t>”</w:t>
      </w:r>
      <w:r w:rsidRPr="007B415F">
        <w:rPr>
          <w:lang w:eastAsia="en-IN"/>
        </w:rPr>
        <w:t xml:space="preserve"> represent a very small proportion of the dataset and do not describe distinct borrower groups for repayment analysis.</w:t>
      </w:r>
    </w:p>
    <w:p w14:paraId="7F59C304" w14:textId="04D65992" w:rsidR="007B415F" w:rsidRDefault="007B415F" w:rsidP="007B415F">
      <w:pPr>
        <w:rPr>
          <w:lang w:eastAsia="en-IN"/>
        </w:rPr>
      </w:pPr>
      <w:r w:rsidRPr="007B415F">
        <w:rPr>
          <w:lang w:eastAsia="en-IN"/>
        </w:rPr>
        <w:t>To improve interpretability</w:t>
      </w:r>
      <w:r w:rsidR="007A5525">
        <w:rPr>
          <w:lang w:eastAsia="en-IN"/>
        </w:rPr>
        <w:t xml:space="preserve">, </w:t>
      </w:r>
      <w:r w:rsidRPr="007B415F">
        <w:rPr>
          <w:lang w:eastAsia="en-IN"/>
        </w:rPr>
        <w:t xml:space="preserve">these categories were consolidated into the broader </w:t>
      </w:r>
      <w:r>
        <w:rPr>
          <w:lang w:eastAsia="en-IN"/>
        </w:rPr>
        <w:t>“</w:t>
      </w:r>
      <w:r w:rsidRPr="007B415F">
        <w:rPr>
          <w:lang w:eastAsia="en-IN"/>
        </w:rPr>
        <w:t>OTHER</w:t>
      </w:r>
      <w:r>
        <w:rPr>
          <w:lang w:eastAsia="en-IN"/>
        </w:rPr>
        <w:t>”</w:t>
      </w:r>
      <w:r w:rsidRPr="007B415F">
        <w:rPr>
          <w:lang w:eastAsia="en-IN"/>
        </w:rPr>
        <w:t xml:space="preserve"> category, while the major categories (RENT, OWN, and MORTGAGE) were unchanged.</w:t>
      </w:r>
    </w:p>
    <w:p w14:paraId="3192E916" w14:textId="0AF45C2D" w:rsidR="007B415F" w:rsidRDefault="007B415F" w:rsidP="007B415F">
      <w:pPr>
        <w:pStyle w:val="Heading2"/>
        <w:rPr>
          <w:lang w:eastAsia="en-IN"/>
        </w:rPr>
      </w:pPr>
      <w:r>
        <w:rPr>
          <w:lang w:eastAsia="en-IN"/>
        </w:rPr>
        <w:t xml:space="preserve">Step 6: </w:t>
      </w:r>
      <w:r w:rsidRPr="007B415F">
        <w:rPr>
          <w:lang w:eastAsia="en-IN"/>
        </w:rPr>
        <w:t>FEATURE ENGINEERING</w:t>
      </w:r>
      <w:r>
        <w:rPr>
          <w:lang w:eastAsia="en-IN"/>
        </w:rPr>
        <w:t xml:space="preserve"> LOAN STATUS COLUMN</w:t>
      </w:r>
    </w:p>
    <w:p w14:paraId="78356B8E" w14:textId="181CE11B" w:rsidR="007B415F" w:rsidRDefault="007B415F" w:rsidP="007B415F">
      <w:pPr>
        <w:rPr>
          <w:lang w:eastAsia="en-IN"/>
        </w:rPr>
      </w:pPr>
      <w:r w:rsidRPr="007B415F">
        <w:rPr>
          <w:lang w:eastAsia="en-IN"/>
        </w:rPr>
        <w:t xml:space="preserve">To simplify repayment analysis while preserving the original loan information, two additional business-oriented variables were created from the </w:t>
      </w:r>
      <w:r>
        <w:rPr>
          <w:lang w:eastAsia="en-IN"/>
        </w:rPr>
        <w:t>“</w:t>
      </w:r>
      <w:r w:rsidRPr="007B415F">
        <w:rPr>
          <w:lang w:eastAsia="en-IN"/>
        </w:rPr>
        <w:t>loan</w:t>
      </w:r>
      <w:r>
        <w:rPr>
          <w:lang w:eastAsia="en-IN"/>
        </w:rPr>
        <w:t xml:space="preserve"> </w:t>
      </w:r>
      <w:r w:rsidRPr="007B415F">
        <w:rPr>
          <w:lang w:eastAsia="en-IN"/>
        </w:rPr>
        <w:t>status</w:t>
      </w:r>
      <w:r>
        <w:rPr>
          <w:lang w:eastAsia="en-IN"/>
        </w:rPr>
        <w:t>”</w:t>
      </w:r>
      <w:r w:rsidRPr="007B415F">
        <w:rPr>
          <w:lang w:eastAsia="en-IN"/>
        </w:rPr>
        <w:t xml:space="preserve"> column.</w:t>
      </w:r>
    </w:p>
    <w:p w14:paraId="0EB232C7" w14:textId="2F8E4F5C" w:rsidR="007B415F" w:rsidRPr="007B415F" w:rsidRDefault="007B415F" w:rsidP="007B415F">
      <w:pPr>
        <w:pStyle w:val="ListParagraph"/>
        <w:numPr>
          <w:ilvl w:val="0"/>
          <w:numId w:val="13"/>
        </w:numPr>
        <w:rPr>
          <w:lang w:eastAsia="en-IN"/>
        </w:rPr>
      </w:pPr>
      <w:r w:rsidRPr="007B415F">
        <w:rPr>
          <w:lang w:eastAsia="en-IN"/>
        </w:rPr>
        <w:t xml:space="preserve">The first variable, </w:t>
      </w:r>
      <w:r>
        <w:rPr>
          <w:lang w:eastAsia="en-IN"/>
        </w:rPr>
        <w:t>“</w:t>
      </w:r>
      <w:r w:rsidRPr="009B5D33">
        <w:rPr>
          <w:b/>
          <w:bCs/>
          <w:lang w:eastAsia="en-IN"/>
        </w:rPr>
        <w:t>loan status clean</w:t>
      </w:r>
      <w:r>
        <w:rPr>
          <w:lang w:eastAsia="en-IN"/>
        </w:rPr>
        <w:t>”</w:t>
      </w:r>
      <w:r w:rsidRPr="007B415F">
        <w:rPr>
          <w:lang w:eastAsia="en-IN"/>
        </w:rPr>
        <w:t xml:space="preserve">, </w:t>
      </w:r>
      <w:r>
        <w:rPr>
          <w:lang w:eastAsia="en-IN"/>
        </w:rPr>
        <w:t xml:space="preserve"> </w:t>
      </w:r>
      <w:r w:rsidRPr="007B415F">
        <w:rPr>
          <w:lang w:eastAsia="en-IN"/>
        </w:rPr>
        <w:t>groups detailed loan statuses into broader repayment stages such as Fully Paid, Current, Late – Early, Late – Severe, Default, and Charged Off. This grouping provides a clearer representation of the loan lifecycle and enables more meaningful comparisons</w:t>
      </w:r>
      <w:r w:rsidR="009B5D33">
        <w:rPr>
          <w:lang w:eastAsia="en-IN"/>
        </w:rPr>
        <w:t>.</w:t>
      </w:r>
    </w:p>
    <w:p w14:paraId="0EC55445" w14:textId="2C8EC4DC" w:rsidR="007B415F" w:rsidRDefault="007B415F" w:rsidP="007B415F">
      <w:pPr>
        <w:pStyle w:val="ListParagraph"/>
        <w:numPr>
          <w:ilvl w:val="0"/>
          <w:numId w:val="13"/>
        </w:numPr>
        <w:rPr>
          <w:lang w:eastAsia="en-IN"/>
        </w:rPr>
      </w:pPr>
      <w:r w:rsidRPr="007B415F">
        <w:rPr>
          <w:lang w:eastAsia="en-IN"/>
        </w:rPr>
        <w:t xml:space="preserve">The second variable, </w:t>
      </w:r>
      <w:r>
        <w:rPr>
          <w:lang w:eastAsia="en-IN"/>
        </w:rPr>
        <w:t>“</w:t>
      </w:r>
      <w:r w:rsidRPr="007B415F">
        <w:rPr>
          <w:lang w:eastAsia="en-IN"/>
        </w:rPr>
        <w:t>meets</w:t>
      </w:r>
      <w:r>
        <w:rPr>
          <w:lang w:eastAsia="en-IN"/>
        </w:rPr>
        <w:t xml:space="preserve"> </w:t>
      </w:r>
      <w:r w:rsidRPr="007B415F">
        <w:rPr>
          <w:lang w:eastAsia="en-IN"/>
        </w:rPr>
        <w:t>credit</w:t>
      </w:r>
      <w:r>
        <w:rPr>
          <w:lang w:eastAsia="en-IN"/>
        </w:rPr>
        <w:t xml:space="preserve"> </w:t>
      </w:r>
      <w:r w:rsidRPr="007B415F">
        <w:rPr>
          <w:lang w:eastAsia="en-IN"/>
        </w:rPr>
        <w:t>policy</w:t>
      </w:r>
      <w:r>
        <w:rPr>
          <w:lang w:eastAsia="en-IN"/>
        </w:rPr>
        <w:t>”</w:t>
      </w:r>
      <w:r w:rsidRPr="007B415F">
        <w:rPr>
          <w:lang w:eastAsia="en-IN"/>
        </w:rPr>
        <w:t xml:space="preserve">, identifies whether a loan satisfied the bank's credit policy at the time of issuance. Loans with statuses prefixed by </w:t>
      </w:r>
      <w:r w:rsidRPr="007B415F">
        <w:rPr>
          <w:i/>
          <w:iCs/>
          <w:lang w:eastAsia="en-IN"/>
        </w:rPr>
        <w:t>"Does not meet the credit policy"</w:t>
      </w:r>
      <w:r w:rsidRPr="007B415F">
        <w:rPr>
          <w:lang w:eastAsia="en-IN"/>
        </w:rPr>
        <w:t xml:space="preserve"> were assigned a value of No, while all remaining loans were assigned Yes. This feature enables additional analysis to evaluate whether loans issued outside the standard credit policy exhibit different repayment patterns.</w:t>
      </w:r>
    </w:p>
    <w:p w14:paraId="7416F2BE" w14:textId="6B475C4F" w:rsidR="002A0F9C" w:rsidRPr="007B415F" w:rsidRDefault="002A0F9C" w:rsidP="007B415F">
      <w:pPr>
        <w:pStyle w:val="ListParagraph"/>
        <w:numPr>
          <w:ilvl w:val="0"/>
          <w:numId w:val="13"/>
        </w:numPr>
        <w:rPr>
          <w:lang w:eastAsia="en-IN"/>
        </w:rPr>
      </w:pPr>
      <w:r w:rsidRPr="002A0F9C">
        <w:rPr>
          <w:lang w:eastAsia="en-IN"/>
        </w:rPr>
        <w:t>The major categorical variables (grade, sub</w:t>
      </w:r>
      <w:r>
        <w:rPr>
          <w:lang w:eastAsia="en-IN"/>
        </w:rPr>
        <w:t xml:space="preserve"> </w:t>
      </w:r>
      <w:r w:rsidRPr="002A0F9C">
        <w:rPr>
          <w:lang w:eastAsia="en-IN"/>
        </w:rPr>
        <w:t>grade, verification</w:t>
      </w:r>
      <w:r>
        <w:rPr>
          <w:lang w:eastAsia="en-IN"/>
        </w:rPr>
        <w:t xml:space="preserve"> </w:t>
      </w:r>
      <w:r w:rsidRPr="002A0F9C">
        <w:rPr>
          <w:lang w:eastAsia="en-IN"/>
        </w:rPr>
        <w:t>status, and purpose) were found to be consistent and required no standardization.</w:t>
      </w:r>
    </w:p>
    <w:p w14:paraId="1E1377FA" w14:textId="1C0F575C" w:rsidR="00DA47A3" w:rsidRDefault="005F57AB" w:rsidP="005F57AB">
      <w:pPr>
        <w:pStyle w:val="Heading2"/>
        <w:rPr>
          <w:lang w:eastAsia="en-IN"/>
        </w:rPr>
      </w:pPr>
      <w:r>
        <w:rPr>
          <w:lang w:eastAsia="en-IN"/>
        </w:rPr>
        <w:t xml:space="preserve">Step 7: </w:t>
      </w:r>
      <w:r w:rsidRPr="005F57AB">
        <w:rPr>
          <w:lang w:eastAsia="en-IN"/>
        </w:rPr>
        <w:t>OUTLIER ANALYSIS</w:t>
      </w:r>
    </w:p>
    <w:p w14:paraId="26FB1E8A" w14:textId="0C6B992F" w:rsidR="005F57AB" w:rsidRDefault="00DB44AE" w:rsidP="005F57AB">
      <w:pPr>
        <w:rPr>
          <w:lang w:eastAsia="en-IN"/>
        </w:rPr>
      </w:pPr>
      <w:r w:rsidRPr="00DB44AE">
        <w:rPr>
          <w:lang w:eastAsia="en-IN"/>
        </w:rPr>
        <w:t>Outlier analysis was performed on key numerical variables using the Interquartile Range (IQR) method and further validated through boxplot visualizations.</w:t>
      </w:r>
    </w:p>
    <w:p w14:paraId="2DD3DC9A" w14:textId="51368975" w:rsidR="00DB44AE" w:rsidRPr="00DB44AE" w:rsidRDefault="00DB44AE" w:rsidP="00DB44AE">
      <w:pPr>
        <w:pStyle w:val="ListParagraph"/>
        <w:numPr>
          <w:ilvl w:val="0"/>
          <w:numId w:val="14"/>
        </w:numPr>
        <w:rPr>
          <w:lang w:val="en-US" w:eastAsia="en-IN"/>
        </w:rPr>
      </w:pPr>
      <w:r w:rsidRPr="00DB44AE">
        <w:rPr>
          <w:lang w:val="en-US" w:eastAsia="en-IN"/>
        </w:rPr>
        <w:t xml:space="preserve">variables such as </w:t>
      </w:r>
      <w:r w:rsidR="00B0660B">
        <w:rPr>
          <w:lang w:val="en-US" w:eastAsia="en-IN"/>
        </w:rPr>
        <w:t>“</w:t>
      </w:r>
      <w:r w:rsidRPr="00DB44AE">
        <w:rPr>
          <w:lang w:val="en-US" w:eastAsia="en-IN"/>
        </w:rPr>
        <w:t>annual</w:t>
      </w:r>
      <w:r>
        <w:rPr>
          <w:lang w:val="en-US" w:eastAsia="en-IN"/>
        </w:rPr>
        <w:t xml:space="preserve"> </w:t>
      </w:r>
      <w:proofErr w:type="spellStart"/>
      <w:r w:rsidRPr="00DB44AE">
        <w:rPr>
          <w:lang w:val="en-US" w:eastAsia="en-IN"/>
        </w:rPr>
        <w:t>inc</w:t>
      </w:r>
      <w:proofErr w:type="spellEnd"/>
      <w:r w:rsidR="00B0660B">
        <w:rPr>
          <w:lang w:val="en-US" w:eastAsia="en-IN"/>
        </w:rPr>
        <w:t>”</w:t>
      </w:r>
      <w:r w:rsidRPr="00DB44AE">
        <w:rPr>
          <w:lang w:val="en-US" w:eastAsia="en-IN"/>
        </w:rPr>
        <w:t xml:space="preserve">, </w:t>
      </w:r>
      <w:r w:rsidR="00B0660B">
        <w:rPr>
          <w:lang w:val="en-US" w:eastAsia="en-IN"/>
        </w:rPr>
        <w:t>“</w:t>
      </w:r>
      <w:proofErr w:type="spellStart"/>
      <w:r w:rsidRPr="00DB44AE">
        <w:rPr>
          <w:lang w:val="en-US" w:eastAsia="en-IN"/>
        </w:rPr>
        <w:t>revol</w:t>
      </w:r>
      <w:proofErr w:type="spellEnd"/>
      <w:r>
        <w:rPr>
          <w:lang w:val="en-US" w:eastAsia="en-IN"/>
        </w:rPr>
        <w:t xml:space="preserve"> </w:t>
      </w:r>
      <w:proofErr w:type="spellStart"/>
      <w:r w:rsidRPr="00DB44AE">
        <w:rPr>
          <w:lang w:val="en-US" w:eastAsia="en-IN"/>
        </w:rPr>
        <w:t>bal</w:t>
      </w:r>
      <w:proofErr w:type="spellEnd"/>
      <w:r w:rsidRPr="00DB44AE">
        <w:rPr>
          <w:lang w:val="en-US" w:eastAsia="en-IN"/>
        </w:rPr>
        <w:t xml:space="preserve">, received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proofErr w:type="spellStart"/>
      <w:r w:rsidRPr="00DB44AE">
        <w:rPr>
          <w:lang w:val="en-US" w:eastAsia="en-IN"/>
        </w:rPr>
        <w:t>prncp</w:t>
      </w:r>
      <w:proofErr w:type="spellEnd"/>
      <w:r w:rsidR="00B0660B">
        <w:rPr>
          <w:lang w:val="en-US" w:eastAsia="en-IN"/>
        </w:rPr>
        <w:t>”</w:t>
      </w:r>
      <w:r w:rsidRPr="00DB44AE">
        <w:rPr>
          <w:lang w:val="en-US" w:eastAsia="en-IN"/>
        </w:rPr>
        <w:t xml:space="preserve">,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int</w:t>
      </w:r>
      <w:r w:rsidR="00B0660B">
        <w:rPr>
          <w:lang w:val="en-US" w:eastAsia="en-IN"/>
        </w:rPr>
        <w:t>”</w:t>
      </w:r>
      <w:r w:rsidRPr="00DB44AE">
        <w:rPr>
          <w:lang w:val="en-US" w:eastAsia="en-IN"/>
        </w:rPr>
        <w:t xml:space="preserve">, and </w:t>
      </w:r>
      <w:r w:rsidR="00B0660B">
        <w:rPr>
          <w:lang w:val="en-US" w:eastAsia="en-IN"/>
        </w:rPr>
        <w:t>“</w:t>
      </w:r>
      <w:r w:rsidRPr="00DB44AE">
        <w:rPr>
          <w:lang w:val="en-US" w:eastAsia="en-IN"/>
        </w:rPr>
        <w:t>last</w:t>
      </w:r>
      <w:r>
        <w:rPr>
          <w:lang w:val="en-US" w:eastAsia="en-IN"/>
        </w:rPr>
        <w:t xml:space="preserve"> </w:t>
      </w:r>
      <w:proofErr w:type="spellStart"/>
      <w:r w:rsidRPr="00DB44AE">
        <w:rPr>
          <w:lang w:val="en-US" w:eastAsia="en-IN"/>
        </w:rPr>
        <w:t>pymnt</w:t>
      </w:r>
      <w:proofErr w:type="spellEnd"/>
      <w:r>
        <w:rPr>
          <w:lang w:val="en-US" w:eastAsia="en-IN"/>
        </w:rPr>
        <w:t xml:space="preserve"> </w:t>
      </w:r>
      <w:proofErr w:type="spellStart"/>
      <w:r w:rsidRPr="00DB44AE">
        <w:rPr>
          <w:lang w:val="en-US" w:eastAsia="en-IN"/>
        </w:rPr>
        <w:t>amnt</w:t>
      </w:r>
      <w:proofErr w:type="spellEnd"/>
      <w:r w:rsidR="00B0660B">
        <w:rPr>
          <w:lang w:val="en-US" w:eastAsia="en-IN"/>
        </w:rPr>
        <w:t>”</w:t>
      </w:r>
      <w:r w:rsidRPr="00DB44AE">
        <w:rPr>
          <w:lang w:val="en-US" w:eastAsia="en-IN"/>
        </w:rPr>
        <w:t xml:space="preserve"> contain a relatively higher proportion of potential outliers. </w:t>
      </w:r>
      <w:r w:rsidRPr="00DB44AE">
        <w:rPr>
          <w:lang w:eastAsia="en-IN"/>
        </w:rPr>
        <w:t>The boxplots also indicate that these variables exhibit strong right-skewed distributions, with a small number of borrowers having exceptionally high values.</w:t>
      </w:r>
    </w:p>
    <w:p w14:paraId="39E6E01C" w14:textId="54EDEF9D" w:rsidR="00DB44AE" w:rsidRPr="00DB44AE" w:rsidRDefault="00DB44AE" w:rsidP="00DB44AE">
      <w:pPr>
        <w:pStyle w:val="ListParagraph"/>
        <w:numPr>
          <w:ilvl w:val="0"/>
          <w:numId w:val="14"/>
        </w:numPr>
        <w:rPr>
          <w:lang w:val="en-US" w:eastAsia="en-IN"/>
        </w:rPr>
      </w:pPr>
      <w:r w:rsidRPr="00DB44AE">
        <w:rPr>
          <w:lang w:eastAsia="en-IN"/>
        </w:rPr>
        <w:t xml:space="preserve">On the other hand, variables such as </w:t>
      </w:r>
      <w:r w:rsidR="00B0660B">
        <w:rPr>
          <w:lang w:eastAsia="en-IN"/>
        </w:rPr>
        <w:t>“</w:t>
      </w:r>
      <w:r w:rsidRPr="00DB44AE">
        <w:rPr>
          <w:lang w:eastAsia="en-IN"/>
        </w:rPr>
        <w:t>loan</w:t>
      </w:r>
      <w:r>
        <w:rPr>
          <w:lang w:eastAsia="en-IN"/>
        </w:rPr>
        <w:t xml:space="preserve"> </w:t>
      </w:r>
      <w:proofErr w:type="spellStart"/>
      <w:r w:rsidRPr="00DB44AE">
        <w:rPr>
          <w:lang w:eastAsia="en-IN"/>
        </w:rPr>
        <w:t>amnt</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dti</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revol</w:t>
      </w:r>
      <w:proofErr w:type="spellEnd"/>
      <w:r>
        <w:rPr>
          <w:lang w:eastAsia="en-IN"/>
        </w:rPr>
        <w:t xml:space="preserve"> </w:t>
      </w:r>
      <w:r w:rsidRPr="00DB44AE">
        <w:rPr>
          <w:lang w:eastAsia="en-IN"/>
        </w:rPr>
        <w:t>util</w:t>
      </w:r>
      <w:r w:rsidR="00B0660B">
        <w:rPr>
          <w:lang w:eastAsia="en-IN"/>
        </w:rPr>
        <w:t>”</w:t>
      </w:r>
      <w:r w:rsidRPr="00DB44AE">
        <w:rPr>
          <w:lang w:eastAsia="en-IN"/>
        </w:rPr>
        <w:t xml:space="preserve">, and </w:t>
      </w:r>
      <w:r w:rsidR="00B0660B">
        <w:rPr>
          <w:lang w:eastAsia="en-IN"/>
        </w:rPr>
        <w:t>“</w:t>
      </w:r>
      <w:r w:rsidRPr="00DB44AE">
        <w:rPr>
          <w:lang w:eastAsia="en-IN"/>
        </w:rPr>
        <w:t>int</w:t>
      </w:r>
      <w:r>
        <w:rPr>
          <w:lang w:eastAsia="en-IN"/>
        </w:rPr>
        <w:t xml:space="preserve"> </w:t>
      </w:r>
      <w:r w:rsidRPr="00DB44AE">
        <w:rPr>
          <w:lang w:eastAsia="en-IN"/>
        </w:rPr>
        <w:t>rate</w:t>
      </w:r>
      <w:r w:rsidR="00B0660B">
        <w:rPr>
          <w:lang w:eastAsia="en-IN"/>
        </w:rPr>
        <w:t>”</w:t>
      </w:r>
      <w:r w:rsidRPr="00DB44AE">
        <w:rPr>
          <w:lang w:eastAsia="en-IN"/>
        </w:rPr>
        <w:t xml:space="preserve"> show comparatively fewer outliers and remain within expected business ranges.</w:t>
      </w:r>
    </w:p>
    <w:p w14:paraId="4EF470AE" w14:textId="7AFCAB34" w:rsidR="00DB44AE" w:rsidRDefault="00DB44AE" w:rsidP="00DB44AE">
      <w:pPr>
        <w:rPr>
          <w:lang w:eastAsia="en-IN"/>
        </w:rPr>
      </w:pPr>
      <w:r w:rsidRPr="00DB44AE">
        <w:rPr>
          <w:lang w:eastAsia="en-IN"/>
        </w:rPr>
        <w:t xml:space="preserve">Since the identified outliers correspond to legitimate borrower characteristics and loan repayment </w:t>
      </w:r>
      <w:r w:rsidR="00B0660B" w:rsidRPr="00DB44AE">
        <w:rPr>
          <w:lang w:eastAsia="en-IN"/>
        </w:rPr>
        <w:t>behaviours</w:t>
      </w:r>
      <w:r w:rsidRPr="00DB44AE">
        <w:rPr>
          <w:lang w:eastAsia="en-IN"/>
        </w:rPr>
        <w:t xml:space="preserve"> rather than data entry errors, no observations were removed or transformed.</w:t>
      </w:r>
    </w:p>
    <w:p w14:paraId="4D3D2D96" w14:textId="77777777" w:rsidR="00DB44AE" w:rsidRDefault="00DB44AE" w:rsidP="00DB44AE">
      <w:pPr>
        <w:keepNext/>
      </w:pPr>
      <w:r>
        <w:rPr>
          <w:noProof/>
        </w:rPr>
        <w:lastRenderedPageBreak/>
        <w:drawing>
          <wp:inline distT="0" distB="0" distL="0" distR="0" wp14:anchorId="69DA7AB4" wp14:editId="6B7F155C">
            <wp:extent cx="5808785" cy="2886633"/>
            <wp:effectExtent l="19050" t="19050" r="20955" b="28575"/>
            <wp:docPr id="427972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785" cy="2886633"/>
                    </a:xfrm>
                    <a:prstGeom prst="rect">
                      <a:avLst/>
                    </a:prstGeom>
                    <a:noFill/>
                    <a:ln w="12700">
                      <a:solidFill>
                        <a:schemeClr val="tx1"/>
                      </a:solidFill>
                    </a:ln>
                  </pic:spPr>
                </pic:pic>
              </a:graphicData>
            </a:graphic>
          </wp:inline>
        </w:drawing>
      </w:r>
    </w:p>
    <w:p w14:paraId="1313C343" w14:textId="0E4196FA" w:rsidR="00DB44AE" w:rsidRDefault="00DB44AE" w:rsidP="00DB44AE">
      <w:pPr>
        <w:pStyle w:val="Caption"/>
        <w:rPr>
          <w:i w:val="0"/>
          <w:iCs w:val="0"/>
          <w:sz w:val="22"/>
          <w:szCs w:val="22"/>
        </w:rPr>
      </w:pPr>
      <w:r w:rsidRPr="00DB44AE">
        <w:rPr>
          <w:i w:val="0"/>
          <w:iCs w:val="0"/>
          <w:sz w:val="22"/>
          <w:szCs w:val="22"/>
        </w:rPr>
        <w:t xml:space="preserve">Figure </w:t>
      </w:r>
      <w:r w:rsidRPr="00DB44AE">
        <w:rPr>
          <w:i w:val="0"/>
          <w:iCs w:val="0"/>
          <w:sz w:val="22"/>
          <w:szCs w:val="22"/>
        </w:rPr>
        <w:fldChar w:fldCharType="begin"/>
      </w:r>
      <w:r w:rsidRPr="00DB44AE">
        <w:rPr>
          <w:i w:val="0"/>
          <w:iCs w:val="0"/>
          <w:sz w:val="22"/>
          <w:szCs w:val="22"/>
        </w:rPr>
        <w:instrText xml:space="preserve"> SEQ Figure \* ARABIC </w:instrText>
      </w:r>
      <w:r w:rsidRPr="00DB44AE">
        <w:rPr>
          <w:i w:val="0"/>
          <w:iCs w:val="0"/>
          <w:sz w:val="22"/>
          <w:szCs w:val="22"/>
        </w:rPr>
        <w:fldChar w:fldCharType="separate"/>
      </w:r>
      <w:r w:rsidRPr="00DB44AE">
        <w:rPr>
          <w:i w:val="0"/>
          <w:iCs w:val="0"/>
          <w:noProof/>
          <w:sz w:val="22"/>
          <w:szCs w:val="22"/>
        </w:rPr>
        <w:t>1</w:t>
      </w:r>
      <w:r w:rsidRPr="00DB44AE">
        <w:rPr>
          <w:i w:val="0"/>
          <w:iCs w:val="0"/>
          <w:sz w:val="22"/>
          <w:szCs w:val="22"/>
        </w:rPr>
        <w:fldChar w:fldCharType="end"/>
      </w:r>
      <w:r w:rsidRPr="00DB44AE">
        <w:rPr>
          <w:i w:val="0"/>
          <w:iCs w:val="0"/>
          <w:sz w:val="22"/>
          <w:szCs w:val="22"/>
        </w:rPr>
        <w:t xml:space="preserve"> Boxplot of potential variables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rsidP="00846C17">
      <w:pPr>
        <w:pStyle w:val="ListParagraph"/>
        <w:numPr>
          <w:ilvl w:val="0"/>
          <w:numId w:val="15"/>
        </w:numPr>
      </w:pPr>
      <w:r w:rsidRPr="00846C17">
        <w:t xml:space="preserve">Variables including </w:t>
      </w:r>
      <w:r w:rsidR="00846C17" w:rsidRPr="00846C17">
        <w:t>“</w:t>
      </w:r>
      <w:r w:rsidRPr="00846C17">
        <w:t>out</w:t>
      </w:r>
      <w:r w:rsidR="00846C17" w:rsidRPr="00846C17">
        <w:t xml:space="preserve"> </w:t>
      </w:r>
      <w:proofErr w:type="spellStart"/>
      <w:r w:rsidRPr="00846C17">
        <w:t>prncp</w:t>
      </w:r>
      <w:proofErr w:type="spellEnd"/>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rsidP="00846C17">
      <w:pPr>
        <w:pStyle w:val="ListParagraph"/>
        <w:numPr>
          <w:ilvl w:val="0"/>
          <w:numId w:val="15"/>
        </w:numPr>
      </w:pPr>
      <w:r w:rsidRPr="00846C17">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rsidP="00846C17">
      <w:pPr>
        <w:pStyle w:val="ListParagraph"/>
        <w:numPr>
          <w:ilvl w:val="0"/>
          <w:numId w:val="15"/>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rsidP="00D5203F">
      <w:pPr>
        <w:pStyle w:val="ListParagraph"/>
        <w:numPr>
          <w:ilvl w:val="0"/>
          <w:numId w:val="16"/>
        </w:numPr>
      </w:pPr>
      <w:r w:rsidRPr="00D5203F">
        <w:t>Verification of remaining missing values to ensure that only business-meaningful null values are retained and no critical information is missing.</w:t>
      </w:r>
    </w:p>
    <w:p w14:paraId="19B7BD91" w14:textId="73796325" w:rsidR="00D5203F" w:rsidRPr="00D5203F" w:rsidRDefault="00D5203F" w:rsidP="00D5203F">
      <w:pPr>
        <w:pStyle w:val="ListParagraph"/>
        <w:numPr>
          <w:ilvl w:val="0"/>
          <w:numId w:val="16"/>
        </w:numPr>
      </w:pPr>
      <w:r w:rsidRPr="00D5203F">
        <w:t>Duplicate record validation to confirm that each observation represents a unique loan.</w:t>
      </w:r>
    </w:p>
    <w:p w14:paraId="56852A23" w14:textId="1A400A31" w:rsidR="00D5203F" w:rsidRPr="00D5203F" w:rsidRDefault="00D5203F" w:rsidP="00D5203F">
      <w:pPr>
        <w:pStyle w:val="ListParagraph"/>
        <w:numPr>
          <w:ilvl w:val="0"/>
          <w:numId w:val="16"/>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rsidP="00124723">
      <w:pPr>
        <w:pStyle w:val="ListParagraph"/>
        <w:numPr>
          <w:ilvl w:val="0"/>
          <w:numId w:val="17"/>
        </w:numPr>
      </w:pPr>
      <w:r>
        <w:lastRenderedPageBreak/>
        <w:t>“</w:t>
      </w:r>
      <w:r w:rsidRPr="00124723">
        <w:t>credit</w:t>
      </w:r>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rsidP="00124723">
      <w:pPr>
        <w:pStyle w:val="ListParagraph"/>
        <w:numPr>
          <w:ilvl w:val="0"/>
          <w:numId w:val="17"/>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rsidP="00124723">
      <w:pPr>
        <w:pStyle w:val="ListParagraph"/>
        <w:numPr>
          <w:ilvl w:val="0"/>
          <w:numId w:val="17"/>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rsidP="00124723">
      <w:pPr>
        <w:pStyle w:val="ListParagraph"/>
        <w:numPr>
          <w:ilvl w:val="0"/>
          <w:numId w:val="18"/>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rsidP="00124723">
      <w:pPr>
        <w:pStyle w:val="ListParagraph"/>
        <w:numPr>
          <w:ilvl w:val="0"/>
          <w:numId w:val="18"/>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rsidP="00124723">
      <w:pPr>
        <w:pStyle w:val="ListParagraph"/>
        <w:numPr>
          <w:ilvl w:val="0"/>
          <w:numId w:val="18"/>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rsidP="00124723">
      <w:pPr>
        <w:pStyle w:val="ListParagraph"/>
        <w:numPr>
          <w:ilvl w:val="0"/>
          <w:numId w:val="18"/>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rsidP="002D150A">
      <w:pPr>
        <w:pStyle w:val="ListParagraph"/>
        <w:numPr>
          <w:ilvl w:val="0"/>
          <w:numId w:val="19"/>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rsidP="002D150A">
      <w:pPr>
        <w:pStyle w:val="ListParagraph"/>
        <w:numPr>
          <w:ilvl w:val="0"/>
          <w:numId w:val="19"/>
        </w:numPr>
      </w:pPr>
      <w:r w:rsidRPr="002D150A">
        <w:t xml:space="preserve">The overall Default Rate remains relatively low (5.2%), suggesting satisfactory portfolio quality. </w:t>
      </w:r>
    </w:p>
    <w:p w14:paraId="74C9E5C6" w14:textId="1F918292" w:rsidR="002D150A" w:rsidRPr="002D150A" w:rsidRDefault="002D150A" w:rsidP="002D150A">
      <w:pPr>
        <w:pStyle w:val="ListParagraph"/>
        <w:numPr>
          <w:ilvl w:val="0"/>
          <w:numId w:val="19"/>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rsidP="002D150A">
      <w:pPr>
        <w:pStyle w:val="ListParagraph"/>
        <w:numPr>
          <w:ilvl w:val="0"/>
          <w:numId w:val="19"/>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rsidP="002D150A">
      <w:pPr>
        <w:pStyle w:val="ListParagraph"/>
        <w:numPr>
          <w:ilvl w:val="0"/>
          <w:numId w:val="21"/>
        </w:numPr>
      </w:pPr>
      <w:r w:rsidRPr="002D150A">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rsidP="002D150A">
      <w:pPr>
        <w:pStyle w:val="ListParagraph"/>
        <w:numPr>
          <w:ilvl w:val="0"/>
          <w:numId w:val="21"/>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w:t>
      </w:r>
      <w:r w:rsidRPr="00762752">
        <w:rPr>
          <w:lang w:eastAsia="en-IN"/>
        </w:rPr>
        <w:lastRenderedPageBreak/>
        <w:t>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052B5C42">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rsidP="008619DB">
      <w:pPr>
        <w:pStyle w:val="ListParagraph"/>
        <w:numPr>
          <w:ilvl w:val="0"/>
          <w:numId w:val="20"/>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rsidP="008619DB">
      <w:pPr>
        <w:pStyle w:val="ListParagraph"/>
        <w:numPr>
          <w:ilvl w:val="0"/>
          <w:numId w:val="20"/>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rsidP="008619DB">
      <w:pPr>
        <w:pStyle w:val="ListParagraph"/>
        <w:numPr>
          <w:ilvl w:val="0"/>
          <w:numId w:val="20"/>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rsidP="008619DB">
      <w:pPr>
        <w:pStyle w:val="ListParagraph"/>
        <w:numPr>
          <w:ilvl w:val="0"/>
          <w:numId w:val="20"/>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rsidP="002D150A">
      <w:pPr>
        <w:pStyle w:val="ListParagraph"/>
        <w:numPr>
          <w:ilvl w:val="0"/>
          <w:numId w:val="22"/>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rsidP="009816F1">
      <w:pPr>
        <w:pStyle w:val="ListParagraph"/>
        <w:numPr>
          <w:ilvl w:val="0"/>
          <w:numId w:val="22"/>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rsidP="009816F1">
      <w:pPr>
        <w:pStyle w:val="ListParagraph"/>
        <w:numPr>
          <w:ilvl w:val="0"/>
          <w:numId w:val="22"/>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2FF5D64F">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lastRenderedPageBreak/>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rsidP="001C3410">
      <w:pPr>
        <w:pStyle w:val="ListParagraph"/>
        <w:numPr>
          <w:ilvl w:val="0"/>
          <w:numId w:val="23"/>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DTI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rsidP="00241381">
      <w:pPr>
        <w:pStyle w:val="ListParagraph"/>
        <w:numPr>
          <w:ilvl w:val="0"/>
          <w:numId w:val="23"/>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rsidP="001C3410">
      <w:pPr>
        <w:pStyle w:val="ListParagraph"/>
        <w:numPr>
          <w:ilvl w:val="0"/>
          <w:numId w:val="23"/>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rsidP="00981D06">
      <w:pPr>
        <w:pStyle w:val="ListParagraph"/>
        <w:numPr>
          <w:ilvl w:val="0"/>
          <w:numId w:val="25"/>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rsidP="00981D06">
      <w:pPr>
        <w:pStyle w:val="ListParagraph"/>
        <w:numPr>
          <w:ilvl w:val="0"/>
          <w:numId w:val="25"/>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rsidP="00981D06">
      <w:pPr>
        <w:pStyle w:val="ListParagraph"/>
        <w:numPr>
          <w:ilvl w:val="0"/>
          <w:numId w:val="25"/>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rsidP="00981D06">
      <w:pPr>
        <w:pStyle w:val="ListParagraph"/>
        <w:numPr>
          <w:ilvl w:val="0"/>
          <w:numId w:val="25"/>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rsidP="0032298A">
      <w:pPr>
        <w:pStyle w:val="ListParagraph"/>
        <w:numPr>
          <w:ilvl w:val="0"/>
          <w:numId w:val="26"/>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rsidP="0032298A">
      <w:pPr>
        <w:pStyle w:val="ListParagraph"/>
        <w:numPr>
          <w:ilvl w:val="0"/>
          <w:numId w:val="26"/>
        </w:numPr>
        <w:rPr>
          <w:lang w:eastAsia="en-IN"/>
        </w:rPr>
      </w:pPr>
      <w:r w:rsidRPr="0032298A">
        <w:rPr>
          <w:lang w:eastAsia="en-IN"/>
        </w:rPr>
        <w:lastRenderedPageBreak/>
        <w:t>36-month loans and debt consolidation purpose account for the majority of the loan book, making them the most influential portfolio segments.</w:t>
      </w:r>
    </w:p>
    <w:p w14:paraId="52035B76" w14:textId="19050B93" w:rsidR="0032298A" w:rsidRDefault="0032298A" w:rsidP="0032298A">
      <w:pPr>
        <w:pStyle w:val="ListParagraph"/>
        <w:numPr>
          <w:ilvl w:val="0"/>
          <w:numId w:val="26"/>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rsidP="0032298A">
      <w:pPr>
        <w:pStyle w:val="ListParagraph"/>
        <w:numPr>
          <w:ilvl w:val="0"/>
          <w:numId w:val="26"/>
        </w:numPr>
        <w:rPr>
          <w:lang w:eastAsia="en-IN"/>
        </w:rPr>
      </w:pPr>
      <w:r>
        <w:rPr>
          <w:lang w:eastAsia="en-IN"/>
        </w:rPr>
        <w:t>“debt consolidation” purpose and borrowers with 10+ years employment length  has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rsidP="0032298A">
      <w:pPr>
        <w:pStyle w:val="ListParagraph"/>
        <w:numPr>
          <w:ilvl w:val="0"/>
          <w:numId w:val="27"/>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rsidP="0032298A">
      <w:pPr>
        <w:pStyle w:val="ListParagraph"/>
        <w:numPr>
          <w:ilvl w:val="0"/>
          <w:numId w:val="27"/>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rsidP="0032298A">
      <w:pPr>
        <w:pStyle w:val="ListParagraph"/>
        <w:numPr>
          <w:ilvl w:val="0"/>
          <w:numId w:val="27"/>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rsidP="00277A5E">
      <w:pPr>
        <w:pStyle w:val="ListParagraph"/>
        <w:numPr>
          <w:ilvl w:val="0"/>
          <w:numId w:val="28"/>
        </w:numPr>
      </w:pPr>
      <w:r w:rsidRPr="00277A5E">
        <w:t>Default rate increases consistently from Grade A (1.8%) to Grade G (15.7%), indicating that lower loan grades are associated with substantially higher credit risk.</w:t>
      </w:r>
    </w:p>
    <w:p w14:paraId="3EB1B1ED" w14:textId="0FE8B2C5" w:rsidR="00277A5E" w:rsidRDefault="00277A5E" w:rsidP="00277A5E">
      <w:pPr>
        <w:pStyle w:val="ListParagraph"/>
        <w:numPr>
          <w:ilvl w:val="0"/>
          <w:numId w:val="28"/>
        </w:numPr>
      </w:pPr>
      <w:r w:rsidRPr="00277A5E">
        <w:t>60-month loans have a higher default rate (6.1%) than 36-month loans (4.8%), confirming the additional risk of longer repayment periods.</w:t>
      </w:r>
    </w:p>
    <w:p w14:paraId="5415D8E2" w14:textId="7DDE656B" w:rsidR="00277A5E" w:rsidRDefault="00277A5E" w:rsidP="00277A5E">
      <w:pPr>
        <w:pStyle w:val="ListParagraph"/>
        <w:numPr>
          <w:ilvl w:val="0"/>
          <w:numId w:val="28"/>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lastRenderedPageBreak/>
        <w:t>Actionable Insights</w:t>
      </w:r>
    </w:p>
    <w:p w14:paraId="7DBC4F38" w14:textId="77E7EB7A" w:rsidR="00277A5E" w:rsidRDefault="00277A5E" w:rsidP="00277A5E">
      <w:pPr>
        <w:pStyle w:val="ListParagraph"/>
        <w:numPr>
          <w:ilvl w:val="0"/>
          <w:numId w:val="29"/>
        </w:numPr>
      </w:pPr>
      <w:r w:rsidRPr="00277A5E">
        <w:t>Strengthen underwriting and monitoring for lower-grade (E–G) borrowers, as they contribute disproportionately to portfolio default risk.</w:t>
      </w:r>
    </w:p>
    <w:p w14:paraId="5EC87A9B" w14:textId="1BBF2A53" w:rsidR="00277A5E" w:rsidRDefault="00277A5E" w:rsidP="00277A5E">
      <w:pPr>
        <w:pStyle w:val="ListParagraph"/>
        <w:numPr>
          <w:ilvl w:val="0"/>
          <w:numId w:val="29"/>
        </w:numPr>
      </w:pPr>
      <w:r w:rsidRPr="00277A5E">
        <w:t>Apply enhanced credit assessment for 60-month loans or introduce pricing strategies that better compensate for their higher default probability.</w:t>
      </w:r>
    </w:p>
    <w:p w14:paraId="6EC0CC99" w14:textId="61F1D993" w:rsidR="00277A5E" w:rsidRDefault="00277A5E" w:rsidP="00277A5E">
      <w:pPr>
        <w:pStyle w:val="ListParagraph"/>
        <w:numPr>
          <w:ilvl w:val="0"/>
          <w:numId w:val="29"/>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rsidP="009910D8">
      <w:pPr>
        <w:pStyle w:val="ListParagraph"/>
        <w:numPr>
          <w:ilvl w:val="0"/>
          <w:numId w:val="30"/>
        </w:numPr>
      </w:pPr>
      <w:r w:rsidRPr="009910D8">
        <w:t>Default rate decreases consistently as annual income increases, falling from 7.5% (&lt;30k) to 3.1% (&gt;150k), indicating lower-income borrowers carry higher repayment risk.</w:t>
      </w:r>
    </w:p>
    <w:p w14:paraId="5EA6572E" w14:textId="4618D0E8" w:rsidR="009910D8" w:rsidRDefault="009910D8" w:rsidP="009910D8">
      <w:pPr>
        <w:pStyle w:val="ListParagraph"/>
        <w:numPr>
          <w:ilvl w:val="0"/>
          <w:numId w:val="30"/>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rsidP="009910D8">
      <w:pPr>
        <w:pStyle w:val="ListParagraph"/>
        <w:numPr>
          <w:ilvl w:val="0"/>
          <w:numId w:val="30"/>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rsidP="00657BFA">
      <w:pPr>
        <w:pStyle w:val="ListParagraph"/>
        <w:numPr>
          <w:ilvl w:val="0"/>
          <w:numId w:val="31"/>
        </w:numPr>
      </w:pPr>
      <w:r w:rsidRPr="00657BFA">
        <w:t>Strengthen affordability checks and repayment support for lower-income borrowers, as they contribute disproportionately to default risk.</w:t>
      </w:r>
    </w:p>
    <w:p w14:paraId="2B609550" w14:textId="135C284C" w:rsidR="00657BFA" w:rsidRDefault="00657BFA" w:rsidP="00657BFA">
      <w:pPr>
        <w:pStyle w:val="ListParagraph"/>
        <w:numPr>
          <w:ilvl w:val="0"/>
          <w:numId w:val="31"/>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rsidP="00657BFA">
      <w:pPr>
        <w:pStyle w:val="ListParagraph"/>
        <w:numPr>
          <w:ilvl w:val="0"/>
          <w:numId w:val="31"/>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lastRenderedPageBreak/>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rsidP="0075027A">
      <w:pPr>
        <w:pStyle w:val="ListParagraph"/>
        <w:numPr>
          <w:ilvl w:val="0"/>
          <w:numId w:val="32"/>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rsidP="0075027A">
      <w:pPr>
        <w:pStyle w:val="ListParagraph"/>
        <w:numPr>
          <w:ilvl w:val="0"/>
          <w:numId w:val="32"/>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rsidP="0075027A">
      <w:pPr>
        <w:pStyle w:val="ListParagraph"/>
        <w:numPr>
          <w:ilvl w:val="0"/>
          <w:numId w:val="32"/>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rsidP="0075027A">
      <w:pPr>
        <w:pStyle w:val="ListParagraph"/>
        <w:numPr>
          <w:ilvl w:val="0"/>
          <w:numId w:val="32"/>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rsidP="0075027A">
      <w:pPr>
        <w:pStyle w:val="ListParagraph"/>
        <w:numPr>
          <w:ilvl w:val="0"/>
          <w:numId w:val="33"/>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rsidP="0075027A">
      <w:pPr>
        <w:pStyle w:val="ListParagraph"/>
        <w:numPr>
          <w:ilvl w:val="0"/>
          <w:numId w:val="33"/>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rsidP="0075027A">
      <w:pPr>
        <w:pStyle w:val="ListParagraph"/>
        <w:numPr>
          <w:ilvl w:val="0"/>
          <w:numId w:val="33"/>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lastRenderedPageBreak/>
        <w:t>Analyisis result</w:t>
      </w:r>
    </w:p>
    <w:p w14:paraId="6FA6F1BA" w14:textId="149F1B58" w:rsidR="00FA2011" w:rsidRPr="00FA2011" w:rsidRDefault="00FA2011" w:rsidP="00FA2011">
      <w:r>
        <w:rPr>
          <w:noProof/>
        </w:rPr>
        <w:drawing>
          <wp:inline distT="0" distB="0" distL="0" distR="0" wp14:anchorId="50AD1C02" wp14:editId="674728D1">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rsidP="00FA2011">
      <w:pPr>
        <w:pStyle w:val="ListParagraph"/>
        <w:numPr>
          <w:ilvl w:val="0"/>
          <w:numId w:val="34"/>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rsidP="00FA2011">
      <w:pPr>
        <w:pStyle w:val="ListParagraph"/>
        <w:numPr>
          <w:ilvl w:val="0"/>
          <w:numId w:val="34"/>
        </w:numPr>
      </w:pPr>
      <w:r w:rsidRPr="00FA2011">
        <w:t>36-month loans outperform 60-month loans, with an average LRR of 58.5% compared to 43.2%, indicating shorter loan terms recover a larger proportion of funded amounts.</w:t>
      </w:r>
    </w:p>
    <w:p w14:paraId="44B5F088" w14:textId="701EEE2C" w:rsidR="00FA2011" w:rsidRDefault="00FA2011" w:rsidP="00FA2011">
      <w:pPr>
        <w:pStyle w:val="ListParagraph"/>
        <w:numPr>
          <w:ilvl w:val="0"/>
          <w:numId w:val="34"/>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rsidP="00FA2011">
      <w:pPr>
        <w:pStyle w:val="ListParagraph"/>
        <w:numPr>
          <w:ilvl w:val="0"/>
          <w:numId w:val="35"/>
        </w:numPr>
      </w:pPr>
      <w:r w:rsidRPr="00FA2011">
        <w:t>Prioritize 36-month loans in future lending strategies, as they consistently deliver better repayment performance across all borrower grades.</w:t>
      </w:r>
    </w:p>
    <w:p w14:paraId="07A9B7A3" w14:textId="0C5FD244" w:rsidR="00FA2011" w:rsidRDefault="00FA2011" w:rsidP="00FA2011">
      <w:pPr>
        <w:pStyle w:val="ListParagraph"/>
        <w:numPr>
          <w:ilvl w:val="0"/>
          <w:numId w:val="35"/>
        </w:numPr>
      </w:pPr>
      <w:r w:rsidRPr="00FA2011">
        <w:t>Review pricing and underwriting policies for 60-month loans, particularly in lower grades, to improve portfolio returns and reduce repayment shortfalls.</w:t>
      </w:r>
    </w:p>
    <w:p w14:paraId="7BF84714" w14:textId="3E75F68F" w:rsidR="00FA2011" w:rsidRDefault="00FA2011" w:rsidP="00FA2011">
      <w:pPr>
        <w:pStyle w:val="ListParagraph"/>
        <w:numPr>
          <w:ilvl w:val="0"/>
          <w:numId w:val="35"/>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t>Key Findings</w:t>
      </w:r>
    </w:p>
    <w:p w14:paraId="2D5D94D0" w14:textId="43B28A40" w:rsidR="00806F5A" w:rsidRDefault="00806F5A" w:rsidP="00806F5A">
      <w:pPr>
        <w:pStyle w:val="ListParagraph"/>
        <w:numPr>
          <w:ilvl w:val="0"/>
          <w:numId w:val="38"/>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rsidP="00806F5A">
      <w:pPr>
        <w:pStyle w:val="ListParagraph"/>
        <w:numPr>
          <w:ilvl w:val="0"/>
          <w:numId w:val="38"/>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rsidP="00806F5A">
      <w:pPr>
        <w:pStyle w:val="ListParagraph"/>
        <w:numPr>
          <w:ilvl w:val="0"/>
          <w:numId w:val="39"/>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rsidP="00806F5A">
      <w:pPr>
        <w:pStyle w:val="ListParagraph"/>
        <w:numPr>
          <w:ilvl w:val="0"/>
          <w:numId w:val="39"/>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rsidP="00813B34">
      <w:pPr>
        <w:pStyle w:val="ListParagraph"/>
        <w:numPr>
          <w:ilvl w:val="0"/>
          <w:numId w:val="36"/>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rsidP="00813B34">
      <w:pPr>
        <w:pStyle w:val="ListParagraph"/>
        <w:numPr>
          <w:ilvl w:val="0"/>
          <w:numId w:val="36"/>
        </w:numPr>
      </w:pPr>
      <w:r w:rsidRPr="008365CE">
        <w:t>Interest Rate shows the strongest positive correlation with Default Rate (r = 0.15), suggesting higher-risk borrowers are generally assigned higher interest rates.</w:t>
      </w:r>
    </w:p>
    <w:p w14:paraId="503406F5" w14:textId="77777777" w:rsidR="00813B34" w:rsidRDefault="00813B34" w:rsidP="00813B34">
      <w:pPr>
        <w:pStyle w:val="ListParagraph"/>
        <w:numPr>
          <w:ilvl w:val="0"/>
          <w:numId w:val="36"/>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rsidP="00813B34">
      <w:pPr>
        <w:pStyle w:val="ListParagraph"/>
        <w:numPr>
          <w:ilvl w:val="0"/>
          <w:numId w:val="36"/>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rsidP="00813B34">
      <w:pPr>
        <w:pStyle w:val="ListParagraph"/>
        <w:numPr>
          <w:ilvl w:val="0"/>
          <w:numId w:val="37"/>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rsidP="00C13309">
      <w:pPr>
        <w:pStyle w:val="ListParagraph"/>
        <w:numPr>
          <w:ilvl w:val="0"/>
          <w:numId w:val="37"/>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rsidP="006539A7">
      <w:pPr>
        <w:pStyle w:val="ListParagraph"/>
        <w:numPr>
          <w:ilvl w:val="0"/>
          <w:numId w:val="40"/>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rsidP="006539A7">
      <w:pPr>
        <w:pStyle w:val="ListParagraph"/>
        <w:numPr>
          <w:ilvl w:val="0"/>
          <w:numId w:val="40"/>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rsidP="006539A7">
      <w:pPr>
        <w:pStyle w:val="ListParagraph"/>
        <w:numPr>
          <w:ilvl w:val="0"/>
          <w:numId w:val="40"/>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rsidP="006539A7">
      <w:pPr>
        <w:pStyle w:val="ListParagraph"/>
        <w:numPr>
          <w:ilvl w:val="0"/>
          <w:numId w:val="40"/>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rsidP="006539A7">
      <w:pPr>
        <w:pStyle w:val="ListParagraph"/>
        <w:numPr>
          <w:ilvl w:val="0"/>
          <w:numId w:val="40"/>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rsidP="006539A7">
      <w:pPr>
        <w:pStyle w:val="ListParagraph"/>
        <w:numPr>
          <w:ilvl w:val="0"/>
          <w:numId w:val="40"/>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3C7AE" w14:textId="77777777" w:rsidR="00E9235F" w:rsidRDefault="00E9235F" w:rsidP="00FA2011">
      <w:pPr>
        <w:spacing w:after="0" w:line="240" w:lineRule="auto"/>
      </w:pPr>
      <w:r>
        <w:separator/>
      </w:r>
    </w:p>
  </w:endnote>
  <w:endnote w:type="continuationSeparator" w:id="0">
    <w:p w14:paraId="53205DA1" w14:textId="77777777" w:rsidR="00E9235F" w:rsidRDefault="00E9235F"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BFABE" w14:textId="77777777" w:rsidR="00E9235F" w:rsidRDefault="00E9235F" w:rsidP="00FA2011">
      <w:pPr>
        <w:spacing w:after="0" w:line="240" w:lineRule="auto"/>
      </w:pPr>
      <w:r>
        <w:separator/>
      </w:r>
    </w:p>
  </w:footnote>
  <w:footnote w:type="continuationSeparator" w:id="0">
    <w:p w14:paraId="6F606552" w14:textId="77777777" w:rsidR="00E9235F" w:rsidRDefault="00E9235F"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F7E7D5F"/>
    <w:multiLevelType w:val="hybridMultilevel"/>
    <w:tmpl w:val="149C0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0200EB"/>
    <w:multiLevelType w:val="multilevel"/>
    <w:tmpl w:val="EDF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387310"/>
    <w:multiLevelType w:val="hybridMultilevel"/>
    <w:tmpl w:val="E6FCEE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0F919D5"/>
    <w:multiLevelType w:val="hybridMultilevel"/>
    <w:tmpl w:val="79EA7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6E07EF8"/>
    <w:multiLevelType w:val="hybridMultilevel"/>
    <w:tmpl w:val="888C0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B0005D9"/>
    <w:multiLevelType w:val="hybridMultilevel"/>
    <w:tmpl w:val="0C72B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E3C0A0E"/>
    <w:multiLevelType w:val="hybridMultilevel"/>
    <w:tmpl w:val="BDDAF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194007010">
    <w:abstractNumId w:val="15"/>
  </w:num>
  <w:num w:numId="3" w16cid:durableId="611591233">
    <w:abstractNumId w:val="11"/>
  </w:num>
  <w:num w:numId="4" w16cid:durableId="1042099681">
    <w:abstractNumId w:val="24"/>
  </w:num>
  <w:num w:numId="5" w16cid:durableId="1561214085">
    <w:abstractNumId w:val="5"/>
  </w:num>
  <w:num w:numId="6" w16cid:durableId="787118944">
    <w:abstractNumId w:val="36"/>
  </w:num>
  <w:num w:numId="7" w16cid:durableId="662273419">
    <w:abstractNumId w:val="7"/>
  </w:num>
  <w:num w:numId="8" w16cid:durableId="1337028227">
    <w:abstractNumId w:val="33"/>
  </w:num>
  <w:num w:numId="9" w16cid:durableId="1479149790">
    <w:abstractNumId w:val="28"/>
  </w:num>
  <w:num w:numId="10" w16cid:durableId="1395666342">
    <w:abstractNumId w:val="30"/>
  </w:num>
  <w:num w:numId="11" w16cid:durableId="1999726438">
    <w:abstractNumId w:val="8"/>
  </w:num>
  <w:num w:numId="12" w16cid:durableId="1177842531">
    <w:abstractNumId w:val="31"/>
  </w:num>
  <w:num w:numId="13" w16cid:durableId="151337336">
    <w:abstractNumId w:val="38"/>
  </w:num>
  <w:num w:numId="14" w16cid:durableId="990980438">
    <w:abstractNumId w:val="39"/>
  </w:num>
  <w:num w:numId="15" w16cid:durableId="1598170196">
    <w:abstractNumId w:val="29"/>
  </w:num>
  <w:num w:numId="16" w16cid:durableId="273176706">
    <w:abstractNumId w:val="13"/>
  </w:num>
  <w:num w:numId="17" w16cid:durableId="701856908">
    <w:abstractNumId w:val="25"/>
  </w:num>
  <w:num w:numId="18" w16cid:durableId="810246038">
    <w:abstractNumId w:val="19"/>
  </w:num>
  <w:num w:numId="19" w16cid:durableId="1567454434">
    <w:abstractNumId w:val="27"/>
  </w:num>
  <w:num w:numId="20" w16cid:durableId="2069642767">
    <w:abstractNumId w:val="6"/>
  </w:num>
  <w:num w:numId="21" w16cid:durableId="889851639">
    <w:abstractNumId w:val="26"/>
  </w:num>
  <w:num w:numId="22" w16cid:durableId="1117918506">
    <w:abstractNumId w:val="9"/>
  </w:num>
  <w:num w:numId="23" w16cid:durableId="981230692">
    <w:abstractNumId w:val="4"/>
  </w:num>
  <w:num w:numId="24" w16cid:durableId="1603872898">
    <w:abstractNumId w:val="22"/>
  </w:num>
  <w:num w:numId="25" w16cid:durableId="1529678564">
    <w:abstractNumId w:val="34"/>
  </w:num>
  <w:num w:numId="26" w16cid:durableId="1865828128">
    <w:abstractNumId w:val="20"/>
  </w:num>
  <w:num w:numId="27" w16cid:durableId="1723938365">
    <w:abstractNumId w:val="0"/>
  </w:num>
  <w:num w:numId="28" w16cid:durableId="219293330">
    <w:abstractNumId w:val="37"/>
  </w:num>
  <w:num w:numId="29" w16cid:durableId="1669751919">
    <w:abstractNumId w:val="16"/>
  </w:num>
  <w:num w:numId="30" w16cid:durableId="1181628346">
    <w:abstractNumId w:val="10"/>
  </w:num>
  <w:num w:numId="31" w16cid:durableId="1920367612">
    <w:abstractNumId w:val="21"/>
  </w:num>
  <w:num w:numId="32" w16cid:durableId="1430739624">
    <w:abstractNumId w:val="12"/>
  </w:num>
  <w:num w:numId="33" w16cid:durableId="366150123">
    <w:abstractNumId w:val="18"/>
  </w:num>
  <w:num w:numId="34" w16cid:durableId="537401937">
    <w:abstractNumId w:val="17"/>
  </w:num>
  <w:num w:numId="35" w16cid:durableId="1058015444">
    <w:abstractNumId w:val="23"/>
  </w:num>
  <w:num w:numId="36" w16cid:durableId="476532285">
    <w:abstractNumId w:val="14"/>
  </w:num>
  <w:num w:numId="37" w16cid:durableId="1638336745">
    <w:abstractNumId w:val="2"/>
  </w:num>
  <w:num w:numId="38" w16cid:durableId="1554347269">
    <w:abstractNumId w:val="1"/>
  </w:num>
  <w:num w:numId="39" w16cid:durableId="1322926734">
    <w:abstractNumId w:val="35"/>
  </w:num>
  <w:num w:numId="40" w16cid:durableId="69608457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455B3"/>
    <w:rsid w:val="000B08E1"/>
    <w:rsid w:val="00114291"/>
    <w:rsid w:val="00124723"/>
    <w:rsid w:val="00127029"/>
    <w:rsid w:val="00127B19"/>
    <w:rsid w:val="0013720D"/>
    <w:rsid w:val="00172152"/>
    <w:rsid w:val="001774AB"/>
    <w:rsid w:val="001B1AAE"/>
    <w:rsid w:val="001C0524"/>
    <w:rsid w:val="001C3410"/>
    <w:rsid w:val="001F7438"/>
    <w:rsid w:val="00225E39"/>
    <w:rsid w:val="00227AD7"/>
    <w:rsid w:val="00235E1F"/>
    <w:rsid w:val="00241381"/>
    <w:rsid w:val="00254745"/>
    <w:rsid w:val="00277A5E"/>
    <w:rsid w:val="002A0F9C"/>
    <w:rsid w:val="002D150A"/>
    <w:rsid w:val="0032298A"/>
    <w:rsid w:val="00327702"/>
    <w:rsid w:val="003346A1"/>
    <w:rsid w:val="00340325"/>
    <w:rsid w:val="00373D50"/>
    <w:rsid w:val="0038498F"/>
    <w:rsid w:val="003B4072"/>
    <w:rsid w:val="003E76BC"/>
    <w:rsid w:val="00425375"/>
    <w:rsid w:val="00431C93"/>
    <w:rsid w:val="004A520A"/>
    <w:rsid w:val="004A54E2"/>
    <w:rsid w:val="00510488"/>
    <w:rsid w:val="00511BF2"/>
    <w:rsid w:val="005239B4"/>
    <w:rsid w:val="0054572F"/>
    <w:rsid w:val="00577306"/>
    <w:rsid w:val="005814C0"/>
    <w:rsid w:val="00595EC0"/>
    <w:rsid w:val="005A1052"/>
    <w:rsid w:val="005B15D7"/>
    <w:rsid w:val="005B5886"/>
    <w:rsid w:val="005C0F49"/>
    <w:rsid w:val="005E47D7"/>
    <w:rsid w:val="005F57AB"/>
    <w:rsid w:val="00624DE1"/>
    <w:rsid w:val="00631AAA"/>
    <w:rsid w:val="00635FD8"/>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6C17"/>
    <w:rsid w:val="008619DB"/>
    <w:rsid w:val="008859DA"/>
    <w:rsid w:val="008D00D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65944"/>
    <w:rsid w:val="00A9254C"/>
    <w:rsid w:val="00AA0C1E"/>
    <w:rsid w:val="00AB31AA"/>
    <w:rsid w:val="00AC4DFC"/>
    <w:rsid w:val="00AD6DC1"/>
    <w:rsid w:val="00B0660B"/>
    <w:rsid w:val="00BD6BFA"/>
    <w:rsid w:val="00BE2DD0"/>
    <w:rsid w:val="00BE6B5A"/>
    <w:rsid w:val="00BF3CF8"/>
    <w:rsid w:val="00C0565E"/>
    <w:rsid w:val="00C13309"/>
    <w:rsid w:val="00C169D1"/>
    <w:rsid w:val="00C4212A"/>
    <w:rsid w:val="00C5661F"/>
    <w:rsid w:val="00C660C3"/>
    <w:rsid w:val="00C75DFC"/>
    <w:rsid w:val="00C81204"/>
    <w:rsid w:val="00C91D2A"/>
    <w:rsid w:val="00CD0CDD"/>
    <w:rsid w:val="00CD4D12"/>
    <w:rsid w:val="00D2120B"/>
    <w:rsid w:val="00D309C0"/>
    <w:rsid w:val="00D46FB3"/>
    <w:rsid w:val="00D5203F"/>
    <w:rsid w:val="00D725EC"/>
    <w:rsid w:val="00D8076C"/>
    <w:rsid w:val="00DA171E"/>
    <w:rsid w:val="00DA47A3"/>
    <w:rsid w:val="00DB224A"/>
    <w:rsid w:val="00DB44AE"/>
    <w:rsid w:val="00DD3521"/>
    <w:rsid w:val="00DE4A54"/>
    <w:rsid w:val="00E45350"/>
    <w:rsid w:val="00E5101B"/>
    <w:rsid w:val="00E66E46"/>
    <w:rsid w:val="00E9235F"/>
    <w:rsid w:val="00ED3932"/>
    <w:rsid w:val="00EE0ECF"/>
    <w:rsid w:val="00EE5013"/>
    <w:rsid w:val="00EF71DF"/>
    <w:rsid w:val="00F21A7B"/>
    <w:rsid w:val="00F3180E"/>
    <w:rsid w:val="00F333BD"/>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8519</TotalTime>
  <Pages>15</Pages>
  <Words>5298</Words>
  <Characters>30202</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70</cp:revision>
  <cp:lastPrinted>2026-07-02T13:58:00Z</cp:lastPrinted>
  <dcterms:created xsi:type="dcterms:W3CDTF">2026-06-15T05:56:00Z</dcterms:created>
  <dcterms:modified xsi:type="dcterms:W3CDTF">2026-07-25T06:05:00Z</dcterms:modified>
</cp:coreProperties>
</file>