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Arial" w:cs="Arial" w:eastAsia="Arial" w:hAnsi="Arial"/>
          <w:b/>
          <w:bCs/>
          <w:color w:val="1A56A0"/>
          <w:sz w:val="52"/>
          <w:szCs w:val="52"/>
        </w:rPr>
        <w:t xml:space="preserve">PrioriTx</w:t>
      </w:r>
    </w:p>
    <w:p>
      <w:pPr>
        <w:spacing w:before="80" w:after="80"/>
        <w:jc w:val="center"/>
      </w:pPr>
      <w:r>
        <w:rPr>
          <w:rFonts w:ascii="Arial" w:cs="Arial" w:eastAsia="Arial" w:hAnsi="Arial"/>
          <w:color w:val="555555"/>
          <w:sz w:val="32"/>
          <w:szCs w:val="32"/>
        </w:rPr>
        <w:t xml:space="preserve">System Design Document</w:t>
      </w:r>
    </w:p>
    <w:p>
      <w:pPr>
        <w:spacing w:before="80" w:after="80"/>
        <w:jc w:val="center"/>
      </w:pPr>
      <w:r>
        <w:rPr>
          <w:rFonts w:ascii="Arial" w:cs="Arial" w:eastAsia="Arial" w:hAnsi="Arial"/>
          <w:i/>
          <w:iCs/>
          <w:color w:val="555555"/>
          <w:sz w:val="22"/>
          <w:szCs w:val="22"/>
        </w:rPr>
        <w:t xml:space="preserve">Adaptive therapeutic target prioritization · KG-enriched · Computational reward signals</w:t>
      </w:r>
    </w:p>
    <w:p>
      <w:pPr>
        <w:spacing w:before="200" w:after="0"/>
      </w:pPr>
      <w:r>
        <w:t xml:space="preserve"/>
      </w:r>
    </w:p>
    <w:p>
      <w:pPr>
        <w:pBdr>
          <w:bottom w:val="single" w:color="1A56A0" w:sz="4" w:space="4"/>
        </w:pBdr>
        <w:spacing w:before="0" w:after="200"/>
        <w:jc w:val="center"/>
      </w:pPr>
      <w:r>
        <w:t xml:space="preserve"/>
      </w:r>
    </w:p>
    <w:p>
      <w:pPr>
        <w:spacing w:before="200" w:after="0"/>
      </w:pPr>
      <w:r>
        <w:t xml:space="preserve"/>
      </w:r>
    </w:p>
    <w:p>
      <w:pPr>
        <w:spacing w:before="80" w:after="40"/>
        <w:jc w:val="center"/>
      </w:pPr>
      <w:r>
        <w:rPr>
          <w:rFonts w:ascii="Arial" w:cs="Arial" w:eastAsia="Arial" w:hAnsi="Arial"/>
          <w:b/>
          <w:bCs/>
          <w:color w:val="1e1e1e"/>
          <w:sz w:val="20"/>
          <w:szCs w:val="20"/>
        </w:rPr>
        <w:t xml:space="preserve">Audience:</w:t>
      </w:r>
    </w:p>
    <w:p>
      <w:pPr>
        <w:spacing w:before="0" w:after="40"/>
        <w:jc w:val="center"/>
      </w:pPr>
      <w:r>
        <w:rPr>
          <w:rFonts w:ascii="Arial" w:cs="Arial" w:eastAsia="Arial" w:hAnsi="Arial"/>
          <w:color w:val="555555"/>
          <w:sz w:val="20"/>
          <w:szCs w:val="20"/>
        </w:rPr>
        <w:t xml:space="preserve">Software Engineers · Bioinformatics Engineers · AI/ML Engineers</w:t>
      </w:r>
    </w:p>
    <w:p>
      <w:pPr>
        <w:spacing w:before="200" w:after="0"/>
      </w:pPr>
      <w:r>
        <w:t xml:space="preserve"/>
      </w:r>
    </w:p>
    <w:p>
      <w:pPr>
        <w:spacing w:before="0" w:after="40"/>
        <w:jc w:val="center"/>
      </w:pPr>
      <w:r>
        <w:rPr>
          <w:rFonts w:ascii="Arial" w:cs="Arial" w:eastAsia="Arial" w:hAnsi="Arial"/>
          <w:color w:val="555555"/>
          <w:sz w:val="18"/>
          <w:szCs w:val="18"/>
        </w:rPr>
        <w:t xml:space="preserve">Version 1.0 — 2026</w:t>
      </w:r>
    </w:p>
    <w:p>
      <w:r>
        <w:br w:type="page"/>
      </w:r>
    </w:p>
    <w:p>
      <w:pPr>
        <w:pStyle w:val="Heading1"/>
        <w:pBdr>
          <w:bottom w:val="single" w:color="1A56A0" w:sz="6" w:space="4"/>
        </w:pBdr>
        <w:spacing w:before="400" w:after="160"/>
      </w:pPr>
      <w:r>
        <w:rPr>
          <w:rFonts w:ascii="Arial" w:cs="Arial" w:eastAsia="Arial" w:hAnsi="Arial"/>
          <w:b/>
          <w:bCs/>
          <w:color w:val="1A56A0"/>
          <w:sz w:val="32"/>
          <w:szCs w:val="32"/>
        </w:rPr>
        <w:t xml:space="preserve">1. Executive Summary</w:t>
      </w:r>
    </w:p>
    <w:p>
      <w:pPr>
        <w:spacing w:before="80" w:after="80" w:line="276"/>
      </w:pPr>
      <w:r>
        <w:rPr>
          <w:rFonts w:ascii="Arial" w:cs="Arial" w:eastAsia="Arial" w:hAnsi="Arial"/>
          <w:color w:val="1e1e1e"/>
          <w:sz w:val="20"/>
          <w:szCs w:val="20"/>
        </w:rPr>
        <w:t xml:space="preserve">This document describes the design of PrioriTx, an end-to-end computational target discovery platform that ingests a disease indication, applies multi-omics meta-analysis enriched by a biological Knowledge Graph (KG), and uses a Reinforcement Learning (RL) agent to sequentially prioritize candidate targets, replacing the wet-lab feedback loop with computational reward proxies.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F" w:val="clear"/>
            <w:tcMar>
              <w:top w:type="dxa" w:w="120"/>
              <w:left w:type="dxa" w:w="240"/>
              <w:bottom w:type="dxa" w:w="120"/>
              <w:right w:type="dxa" w:w="240"/>
            </w:tcMar>
          </w:tcPr>
          <w:p>
            <w:r>
              <w:rPr>
                <w:rFonts w:ascii="Arial" w:cs="Arial" w:eastAsia="Arial" w:hAnsi="Arial"/>
                <w:i/>
                <w:iCs/>
                <w:color w:val="1e1e1e"/>
                <w:sz w:val="20"/>
                <w:szCs w:val="20"/>
              </w:rPr>
              <w:t xml:space="preserve">Core thesis: Static scoring systems (including PandaOmics as published) assign fixed weights to evidence types. An RL agent learns which evidence signals best predict real-world target tractability for a given indication, adapting across indications over time.</w:t>
            </w:r>
          </w:p>
        </w:tc>
      </w:tr>
    </w:tbl>
    <w:p>
      <w:pPr>
        <w:spacing w:before="120" w:after="0"/>
      </w:pPr>
      <w:r>
        <w:t xml:space="preserve"/>
      </w:r>
    </w:p>
    <w:p>
      <w:pPr>
        <w:spacing w:before="80" w:after="80" w:line="276"/>
      </w:pPr>
      <w:r>
        <w:rPr>
          <w:rFonts w:ascii="Arial" w:cs="Arial" w:eastAsia="Arial" w:hAnsi="Arial"/>
          <w:color w:val="1e1e1e"/>
          <w:sz w:val="20"/>
          <w:szCs w:val="20"/>
        </w:rPr>
        <w:t xml:space="preserve">The platform is inspired by the architecture described in Kamya et al., J. Chem. Inf. Model. 2024 (PandaOmics paper) and extends it with:</w:t>
      </w:r>
    </w:p>
    <w:p>
      <w:pPr>
        <w:pStyle w:val="ListParagraph"/>
        <w:numPr>
          <w:ilvl w:val="0"/>
          <w:numId w:val="2"/>
        </w:numPr>
        <w:spacing w:before="60" w:after="60"/>
      </w:pPr>
      <w:r>
        <w:rPr>
          <w:rFonts w:ascii="Arial" w:cs="Arial" w:eastAsia="Arial" w:hAnsi="Arial"/>
          <w:color w:val="1e1e1e"/>
          <w:sz w:val="20"/>
          <w:szCs w:val="20"/>
        </w:rPr>
        <w:t xml:space="preserve">A KG-enriched state representation for the RL agent</w:t>
      </w:r>
    </w:p>
    <w:p>
      <w:pPr>
        <w:pStyle w:val="ListParagraph"/>
        <w:numPr>
          <w:ilvl w:val="0"/>
          <w:numId w:val="2"/>
        </w:numPr>
        <w:spacing w:before="60" w:after="60"/>
      </w:pPr>
      <w:r>
        <w:rPr>
          <w:rFonts w:ascii="Arial" w:cs="Arial" w:eastAsia="Arial" w:hAnsi="Arial"/>
          <w:color w:val="1e1e1e"/>
          <w:sz w:val="20"/>
          <w:szCs w:val="20"/>
        </w:rPr>
        <w:t xml:space="preserve">Computational reward proxies replacing robotic lab assay signals</w:t>
      </w:r>
    </w:p>
    <w:p>
      <w:pPr>
        <w:pStyle w:val="ListParagraph"/>
        <w:numPr>
          <w:ilvl w:val="0"/>
          <w:numId w:val="2"/>
        </w:numPr>
        <w:spacing w:before="60" w:after="60"/>
      </w:pPr>
      <w:r>
        <w:rPr>
          <w:rFonts w:ascii="Arial" w:cs="Arial" w:eastAsia="Arial" w:hAnsi="Arial"/>
          <w:color w:val="1e1e1e"/>
          <w:sz w:val="20"/>
          <w:szCs w:val="20"/>
        </w:rPr>
        <w:t xml:space="preserve">A contextual bandit formulation for sequential target selection</w:t>
      </w:r>
    </w:p>
    <w:p>
      <w:pPr>
        <w:pStyle w:val="ListParagraph"/>
        <w:numPr>
          <w:ilvl w:val="0"/>
          <w:numId w:val="2"/>
        </w:numPr>
        <w:spacing w:before="60" w:after="60"/>
      </w:pPr>
      <w:r>
        <w:rPr>
          <w:rFonts w:ascii="Arial" w:cs="Arial" w:eastAsia="Arial" w:hAnsi="Arial"/>
          <w:color w:val="1e1e1e"/>
          <w:sz w:val="20"/>
          <w:szCs w:val="20"/>
        </w:rPr>
        <w:t xml:space="preserve">An LLM explainability layer over the KG for human-readable rationale</w:t>
      </w:r>
    </w:p>
    <w:p>
      <w:pPr>
        <w:pStyle w:val="Heading1"/>
        <w:pBdr>
          <w:bottom w:val="single" w:color="1A56A0" w:sz="6" w:space="4"/>
        </w:pBdr>
        <w:spacing w:before="400" w:after="160"/>
      </w:pPr>
      <w:r>
        <w:rPr>
          <w:rFonts w:ascii="Arial" w:cs="Arial" w:eastAsia="Arial" w:hAnsi="Arial"/>
          <w:b/>
          <w:bCs/>
          <w:color w:val="1A56A0"/>
          <w:sz w:val="32"/>
          <w:szCs w:val="32"/>
        </w:rPr>
        <w:t xml:space="preserve">2. Background &amp; Motivation</w:t>
      </w:r>
    </w:p>
    <w:p>
      <w:pPr>
        <w:pStyle w:val="Heading2"/>
        <w:spacing w:before="320" w:after="120"/>
      </w:pPr>
      <w:r>
        <w:rPr>
          <w:rFonts w:ascii="Arial" w:cs="Arial" w:eastAsia="Arial" w:hAnsi="Arial"/>
          <w:b/>
          <w:bCs/>
          <w:color w:val="2C3E50"/>
          <w:sz w:val="26"/>
          <w:szCs w:val="26"/>
        </w:rPr>
        <w:t xml:space="preserve">2.1 The Problem with Static Target Scoring</w:t>
      </w:r>
    </w:p>
    <w:p>
      <w:pPr>
        <w:spacing w:before="80" w:after="80" w:line="276"/>
      </w:pPr>
      <w:r>
        <w:rPr>
          <w:rFonts w:ascii="Arial" w:cs="Arial" w:eastAsia="Arial" w:hAnsi="Arial"/>
          <w:color w:val="1e1e1e"/>
          <w:sz w:val="20"/>
          <w:szCs w:val="20"/>
        </w:rPr>
        <w:t xml:space="preserve">Current platforms like Open Targets and PandaOmics assign evidence scores to targets independently and return a ranked list. These systems have two key limitations:</w:t>
      </w:r>
    </w:p>
    <w:p>
      <w:pPr>
        <w:pStyle w:val="ListParagraph"/>
        <w:numPr>
          <w:ilvl w:val="0"/>
          <w:numId w:val="2"/>
        </w:numPr>
        <w:spacing w:before="60" w:after="60"/>
      </w:pPr>
      <w:r>
        <w:rPr>
          <w:rFonts w:ascii="Arial" w:cs="Arial" w:eastAsia="Arial" w:hAnsi="Arial"/>
          <w:color w:val="1e1e1e"/>
          <w:sz w:val="20"/>
          <w:szCs w:val="20"/>
        </w:rPr>
        <w:t xml:space="preserve">Fixed model weights: The relative importance of transcriptomic vs. genetic vs. pathway evidence is set at training time and does not adapt to indication context.</w:t>
      </w:r>
    </w:p>
    <w:p>
      <w:pPr>
        <w:pStyle w:val="ListParagraph"/>
        <w:numPr>
          <w:ilvl w:val="0"/>
          <w:numId w:val="2"/>
        </w:numPr>
        <w:spacing w:before="60" w:after="60"/>
      </w:pPr>
      <w:r>
        <w:rPr>
          <w:rFonts w:ascii="Arial" w:cs="Arial" w:eastAsia="Arial" w:hAnsi="Arial"/>
          <w:color w:val="1e1e1e"/>
          <w:sz w:val="20"/>
          <w:szCs w:val="20"/>
        </w:rPr>
        <w:t xml:space="preserve">No sequential reasoning: Targets are scored in isolation. Picking one target provides information about related targets (e.g., pathway neighbors, paralog family members) that is not propagated back.</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2.2 PandaOmics Architecture (Source Paper)</w:t>
      </w:r>
    </w:p>
    <w:p>
      <w:pPr>
        <w:spacing w:before="80" w:after="80" w:line="276"/>
      </w:pPr>
      <w:r>
        <w:rPr>
          <w:rFonts w:ascii="Arial" w:cs="Arial" w:eastAsia="Arial" w:hAnsi="Arial"/>
          <w:color w:val="1e1e1e"/>
          <w:sz w:val="20"/>
          <w:szCs w:val="20"/>
        </w:rPr>
        <w:t xml:space="preserve">PandaOmics (Kamya et al. 2024) is the SOTA target discovery platform with the following confirmed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2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Data Sources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Dataset Selection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Systematic search and assembly of disease-relevant omics datasets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GEO, TCGA, GTEx, UK Biobank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iPANDA Analysis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Pathway activation inference; gene/pathway-level DEG meta-analysis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KEGG, Reactome, STRING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NLP Mining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Patent, publication, clinical trial text analysis for novelty and target hotness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PubMed, ClinicalTrials.gov, Patents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Scoring Layer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23 disease-specific models scoring transcriptomics, novelty, centrality, druggability, Phase 1 probability (P-score)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All above + ChEMBL, OpenTargets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Knowledge Graph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Gene–disease–drug–pathway relational graph for contextual enrichment and explainability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STRING, DrugBank, OT, Reactome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PrioriTx Explainability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LLM interface over KG for answering 'why is this target ranked #1?'</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KG traversal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Robotic Lab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Wet-lab validation feedback loop — assay results update model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Internal (not replicable)</w:t>
            </w:r>
          </w:p>
        </w:tc>
      </w:tr>
    </w:tbl>
    <w:p>
      <w:pPr>
        <w:spacing w:before="120" w:after="0"/>
      </w:pPr>
      <w:r>
        <w:t xml:space="preserve"/>
      </w:r>
    </w:p>
    <w:p>
      <w:pPr>
        <w:pStyle w:val="Heading2"/>
        <w:spacing w:before="320" w:after="120"/>
      </w:pPr>
      <w:r>
        <w:rPr>
          <w:rFonts w:ascii="Arial" w:cs="Arial" w:eastAsia="Arial" w:hAnsi="Arial"/>
          <w:b/>
          <w:bCs/>
          <w:color w:val="2C3E50"/>
          <w:sz w:val="26"/>
          <w:szCs w:val="26"/>
        </w:rPr>
        <w:t xml:space="preserve">2.3 Our Extension: RL + Computational Rewards</w:t>
      </w:r>
    </w:p>
    <w:p>
      <w:pPr>
        <w:spacing w:before="80" w:after="80" w:line="276"/>
      </w:pPr>
      <w:r>
        <w:rPr>
          <w:rFonts w:ascii="Arial" w:cs="Arial" w:eastAsia="Arial" w:hAnsi="Arial"/>
          <w:color w:val="1e1e1e"/>
          <w:sz w:val="20"/>
          <w:szCs w:val="20"/>
        </w:rPr>
        <w:t xml:space="preserve">We replace the robotic lab feedback loop with four computational reward proxies, and add an RL agent that learns to reweight evidence signals based on which combinations historically predicted validated targets. The KG is used in two roles: (1) enriching the 23 scoring models with relational context, and (2) constructing the RL state vector via graph embeddings.</w:t>
      </w:r>
    </w:p>
    <w:p>
      <w:pPr>
        <w:pStyle w:val="Heading1"/>
        <w:pBdr>
          <w:bottom w:val="single" w:color="1A56A0" w:sz="6" w:space="4"/>
        </w:pBdr>
        <w:spacing w:before="400" w:after="160"/>
      </w:pPr>
      <w:r>
        <w:rPr>
          <w:rFonts w:ascii="Arial" w:cs="Arial" w:eastAsia="Arial" w:hAnsi="Arial"/>
          <w:b/>
          <w:bCs/>
          <w:color w:val="1A56A0"/>
          <w:sz w:val="32"/>
          <w:szCs w:val="32"/>
        </w:rPr>
        <w:t xml:space="preserve">3. System Architecture Overview</w:t>
      </w:r>
    </w:p>
    <w:p>
      <w:pPr>
        <w:pStyle w:val="Heading2"/>
        <w:spacing w:before="320" w:after="120"/>
      </w:pPr>
      <w:r>
        <w:rPr>
          <w:rFonts w:ascii="Arial" w:cs="Arial" w:eastAsia="Arial" w:hAnsi="Arial"/>
          <w:b/>
          <w:bCs/>
          <w:color w:val="2C3E50"/>
          <w:sz w:val="26"/>
          <w:szCs w:val="26"/>
        </w:rPr>
        <w:t xml:space="preserve">3.1 High-Level Pipeline</w:t>
      </w:r>
    </w:p>
    <w:p>
      <w:pPr>
        <w:spacing w:before="80" w:after="80" w:line="276"/>
      </w:pPr>
      <w:r>
        <w:rPr>
          <w:rFonts w:ascii="Arial" w:cs="Arial" w:eastAsia="Arial" w:hAnsi="Arial"/>
          <w:color w:val="1e1e1e"/>
          <w:sz w:val="20"/>
          <w:szCs w:val="20"/>
        </w:rPr>
        <w:t xml:space="preserve">The platform consists of five layers executed sequentially, with the RL agent operating at layer 4:</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Data Ingestion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Pull and harmonize multi-omics and text data per indication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iPANDA Analysis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DEG meta-analysis, pathway activation, NLP mining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KG Construction &amp; Embedding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Build gene-disease-drug graph; compute node embeddings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Scoring + RL Agent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Score all candidate targets; RL agent picks next target to investigate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Reward + Update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Compute reward from proxies; update RL agent policy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Explainability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KG traversal + LLM generates human-readable rationale per top target</w:t>
            </w:r>
          </w:p>
        </w:tc>
      </w:tr>
    </w:tbl>
    <w:p>
      <w:pPr>
        <w:spacing w:before="120" w:after="0"/>
      </w:pPr>
      <w:r>
        <w:t xml:space="preserve"/>
      </w:r>
    </w:p>
    <w:p>
      <w:pPr>
        <w:pStyle w:val="Heading2"/>
        <w:spacing w:before="320" w:after="120"/>
      </w:pPr>
      <w:r>
        <w:rPr>
          <w:rFonts w:ascii="Arial" w:cs="Arial" w:eastAsia="Arial" w:hAnsi="Arial"/>
          <w:b/>
          <w:bCs/>
          <w:color w:val="2C3E50"/>
          <w:sz w:val="26"/>
          <w:szCs w:val="26"/>
        </w:rPr>
        <w:t xml:space="preserve">3.2 Data Flow</w:t>
      </w:r>
    </w:p>
    <w:p>
      <w:pPr>
        <w:shd w:fill="F4F4F4" w:val="clear"/>
        <w:spacing w:before="60" w:after="60"/>
        <w:ind w:left="720"/>
      </w:pPr>
      <w:r>
        <w:rPr>
          <w:rFonts w:ascii="Courier New" w:cs="Courier New" w:eastAsia="Courier New" w:hAnsi="Courier New"/>
          <w:color w:val="1A1A1A"/>
          <w:sz w:val="18"/>
          <w:szCs w:val="18"/>
        </w:rPr>
        <w:t xml:space="preserve">Indication  ──►  Data Ingestion  ──►  iPANDA Meta-Analysis</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                                    KG Construction</w:t>
      </w:r>
    </w:p>
    <w:p>
      <w:pPr>
        <w:shd w:fill="F4F4F4" w:val="clear"/>
        <w:spacing w:before="60" w:after="60"/>
        <w:ind w:left="720"/>
      </w:pPr>
      <w:r>
        <w:rPr>
          <w:rFonts w:ascii="Courier New" w:cs="Courier New" w:eastAsia="Courier New" w:hAnsi="Courier New"/>
          <w:color w:val="1A1A1A"/>
          <w:sz w:val="18"/>
          <w:szCs w:val="18"/>
        </w:rPr>
        <w:t xml:space="preserve">                                     /         \</w:t>
      </w:r>
    </w:p>
    <w:p>
      <w:pPr>
        <w:shd w:fill="F4F4F4" w:val="clear"/>
        <w:spacing w:before="60" w:after="60"/>
        <w:ind w:left="720"/>
      </w:pPr>
      <w:r>
        <w:rPr>
          <w:rFonts w:ascii="Courier New" w:cs="Courier New" w:eastAsia="Courier New" w:hAnsi="Courier New"/>
          <w:color w:val="1A1A1A"/>
          <w:sz w:val="18"/>
          <w:szCs w:val="18"/>
        </w:rPr>
        <w:t xml:space="preserve">                              KG enriches    KG embeddings</w:t>
      </w:r>
    </w:p>
    <w:p>
      <w:pPr>
        <w:shd w:fill="F4F4F4" w:val="clear"/>
        <w:spacing w:before="60" w:after="60"/>
        <w:ind w:left="720"/>
      </w:pPr>
      <w:r>
        <w:rPr>
          <w:rFonts w:ascii="Courier New" w:cs="Courier New" w:eastAsia="Courier New" w:hAnsi="Courier New"/>
          <w:color w:val="1A1A1A"/>
          <w:sz w:val="18"/>
          <w:szCs w:val="18"/>
        </w:rPr>
        <w:t xml:space="preserve">                              scoring layer   feed RL state</w:t>
      </w:r>
    </w:p>
    <w:p>
      <w:pPr>
        <w:shd w:fill="F4F4F4" w:val="clear"/>
        <w:spacing w:before="60" w:after="60"/>
        <w:ind w:left="720"/>
      </w:pPr>
      <w:r>
        <w:rPr>
          <w:rFonts w:ascii="Courier New" w:cs="Courier New" w:eastAsia="Courier New" w:hAnsi="Courier New"/>
          <w:color w:val="1A1A1A"/>
          <w:sz w:val="18"/>
          <w:szCs w:val="18"/>
        </w:rPr>
        <w:t xml:space="preserve">                                     \         /</w:t>
      </w:r>
    </w:p>
    <w:p>
      <w:pPr>
        <w:shd w:fill="F4F4F4" w:val="clear"/>
        <w:spacing w:before="60" w:after="60"/>
        <w:ind w:left="720"/>
      </w:pPr>
      <w:r>
        <w:rPr>
          <w:rFonts w:ascii="Courier New" w:cs="Courier New" w:eastAsia="Courier New" w:hAnsi="Courier New"/>
          <w:color w:val="1A1A1A"/>
          <w:sz w:val="18"/>
          <w:szCs w:val="18"/>
        </w:rPr>
        <w:t xml:space="preserve">                                  Scoring (23 models)</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                                    RL State Vector</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                                ┌── RL Agent ──┐</w:t>
      </w:r>
    </w:p>
    <w:p>
      <w:pPr>
        <w:shd w:fill="F4F4F4" w:val="clear"/>
        <w:spacing w:before="60" w:after="60"/>
        <w:ind w:left="720"/>
      </w:pPr>
      <w:r>
        <w:rPr>
          <w:rFonts w:ascii="Courier New" w:cs="Courier New" w:eastAsia="Courier New" w:hAnsi="Courier New"/>
          <w:color w:val="1A1A1A"/>
          <w:sz w:val="18"/>
          <w:szCs w:val="18"/>
        </w:rPr>
        <w:t xml:space="preserve">                                │  (Contextual │</w:t>
      </w:r>
    </w:p>
    <w:p>
      <w:pPr>
        <w:shd w:fill="F4F4F4" w:val="clear"/>
        <w:spacing w:before="60" w:after="60"/>
        <w:ind w:left="720"/>
      </w:pPr>
      <w:r>
        <w:rPr>
          <w:rFonts w:ascii="Courier New" w:cs="Courier New" w:eastAsia="Courier New" w:hAnsi="Courier New"/>
          <w:color w:val="1A1A1A"/>
          <w:sz w:val="18"/>
          <w:szCs w:val="18"/>
        </w:rPr>
        <w:t xml:space="preserve">                                │   Bandit)    │</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                             Select target to investigate</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                             Compute Reward (4 proxies)</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                             Update agent policy</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                         Ranked Target List  ──►  KG + LLM Explainability</w:t>
      </w:r>
    </w:p>
    <w:p>
      <w:pPr>
        <w:pStyle w:val="Heading1"/>
        <w:pBdr>
          <w:bottom w:val="single" w:color="1A56A0" w:sz="6" w:space="4"/>
        </w:pBdr>
        <w:spacing w:before="400" w:after="160"/>
      </w:pPr>
      <w:r>
        <w:rPr>
          <w:rFonts w:ascii="Arial" w:cs="Arial" w:eastAsia="Arial" w:hAnsi="Arial"/>
          <w:b/>
          <w:bCs/>
          <w:color w:val="1A56A0"/>
          <w:sz w:val="32"/>
          <w:szCs w:val="32"/>
        </w:rPr>
        <w:t xml:space="preserve">4. Data Layer</w:t>
      </w:r>
    </w:p>
    <w:p>
      <w:pPr>
        <w:pStyle w:val="Heading2"/>
        <w:spacing w:before="320" w:after="120"/>
      </w:pPr>
      <w:r>
        <w:rPr>
          <w:rFonts w:ascii="Arial" w:cs="Arial" w:eastAsia="Arial" w:hAnsi="Arial"/>
          <w:b/>
          <w:bCs/>
          <w:color w:val="2C3E50"/>
          <w:sz w:val="26"/>
          <w:szCs w:val="26"/>
        </w:rPr>
        <w:t xml:space="preserve">4.1 Input Datasets</w:t>
      </w:r>
    </w:p>
    <w:p>
      <w:pPr>
        <w:spacing w:before="80" w:after="80" w:line="276"/>
      </w:pPr>
      <w:r>
        <w:rPr>
          <w:rFonts w:ascii="Arial" w:cs="Arial" w:eastAsia="Arial" w:hAnsi="Arial"/>
          <w:color w:val="1e1e1e"/>
          <w:sz w:val="20"/>
          <w:szCs w:val="20"/>
        </w:rPr>
        <w:t xml:space="preserve">All datasets are publicly accessible with free APIs. No proprietary data is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Dataset</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Access Method</w:t>
            </w:r>
          </w:p>
        </w:tc>
        <w:tc>
          <w:tcPr>
            <w:tcW w:type="dxa" w:w="3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GEO (NCBI)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 expression (RNA-seq, microarray)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Entrez E-utils API / GEOparse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Transcriptomic dysregulation scores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TCGA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Cancer multi-omics (expression, mutation, methylation)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GDC Data Portal API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Oncology-specific DEG and somatic mutation evidence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GTEx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Normal tissue expression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GTEx Portal API / bulk download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Off-target safety scoring (broad expression = liability)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GWAS Catalog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Human genetic associations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REST API (ebi.ac.uk/gwas)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Genetic evidence per target-indication pair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PubMed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Biomedical literature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Entrez E-utils (esearch, efetch)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Novelty scoring (inverse hit count), NLP mining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ClinicalTrials.gov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Trial registry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ClinicalTrials API v2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P-score proxy — has a drug entered trials for this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STRING DB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Protein-protein interaction network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STRING API v11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PPI graph for KG + pathway centrality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Open Targets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Multi-evidence target-disease scores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GraphQL API (platform.opentargets.org)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Genetic + expression + somatic evidence scores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DepMap Portal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CRISPR knockout fitness scores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DepMap API / bulk download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Essentiality reward proxy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DrugBank / ChEMBL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Drug-target interactions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DrugBank XML / ChEMBL REST API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KG drug nodes, druggability scoring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Reactome / KEGG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Pathway databases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Reactome API / KEGG REST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Pathway membership for KG + iPANDA</w:t>
            </w:r>
          </w:p>
        </w:tc>
      </w:tr>
    </w:tbl>
    <w:p>
      <w:pPr>
        <w:spacing w:before="120" w:after="0"/>
      </w:pPr>
      <w:r>
        <w:t xml:space="preserve"/>
      </w:r>
    </w:p>
    <w:p>
      <w:pPr>
        <w:pStyle w:val="Heading2"/>
        <w:spacing w:before="320" w:after="120"/>
      </w:pPr>
      <w:r>
        <w:rPr>
          <w:rFonts w:ascii="Arial" w:cs="Arial" w:eastAsia="Arial" w:hAnsi="Arial"/>
          <w:b/>
          <w:bCs/>
          <w:color w:val="2C3E50"/>
          <w:sz w:val="26"/>
          <w:szCs w:val="26"/>
        </w:rPr>
        <w:t xml:space="preserve">4.2 Data Harmonization</w:t>
      </w:r>
    </w:p>
    <w:p>
      <w:pPr>
        <w:spacing w:before="80" w:after="80" w:line="276"/>
      </w:pPr>
      <w:r>
        <w:rPr>
          <w:rFonts w:ascii="Arial" w:cs="Arial" w:eastAsia="Arial" w:hAnsi="Arial"/>
          <w:color w:val="1e1e1e"/>
          <w:sz w:val="20"/>
          <w:szCs w:val="20"/>
        </w:rPr>
        <w:t xml:space="preserve">Gene identifiers must be normalized to Ensembl gene IDs (ENSG) before any cross-dataset joining. Protein-level data maps to UniProt AC then to Ensembl via BioMart.</w:t>
      </w:r>
    </w:p>
    <w:p>
      <w:pPr>
        <w:pStyle w:val="ListParagraph"/>
        <w:numPr>
          <w:ilvl w:val="0"/>
          <w:numId w:val="2"/>
        </w:numPr>
        <w:spacing w:before="60" w:after="60"/>
      </w:pPr>
      <w:r>
        <w:rPr>
          <w:rFonts w:ascii="Arial" w:cs="Arial" w:eastAsia="Arial" w:hAnsi="Arial"/>
          <w:color w:val="1e1e1e"/>
          <w:sz w:val="20"/>
          <w:szCs w:val="20"/>
        </w:rPr>
        <w:t xml:space="preserve">Gene symbol → Ensembl: use MyGene.info API (fast, handles aliases)</w:t>
      </w:r>
    </w:p>
    <w:p>
      <w:pPr>
        <w:pStyle w:val="ListParagraph"/>
        <w:numPr>
          <w:ilvl w:val="0"/>
          <w:numId w:val="2"/>
        </w:numPr>
        <w:spacing w:before="60" w:after="60"/>
      </w:pPr>
      <w:r>
        <w:rPr>
          <w:rFonts w:ascii="Arial" w:cs="Arial" w:eastAsia="Arial" w:hAnsi="Arial"/>
          <w:color w:val="1e1e1e"/>
          <w:sz w:val="20"/>
          <w:szCs w:val="20"/>
        </w:rPr>
        <w:t xml:space="preserve">TCGA sample groups: tumor vs. matched normal per cancer type (TCGA study codes, e.g., LUAD, BRCA)</w:t>
      </w:r>
    </w:p>
    <w:p>
      <w:pPr>
        <w:pStyle w:val="ListParagraph"/>
        <w:numPr>
          <w:ilvl w:val="0"/>
          <w:numId w:val="2"/>
        </w:numPr>
        <w:spacing w:before="60" w:after="60"/>
      </w:pPr>
      <w:r>
        <w:rPr>
          <w:rFonts w:ascii="Arial" w:cs="Arial" w:eastAsia="Arial" w:hAnsi="Arial"/>
          <w:color w:val="1e1e1e"/>
          <w:sz w:val="20"/>
          <w:szCs w:val="20"/>
        </w:rPr>
        <w:t xml:space="preserve">GEO dataset selection: query by MeSH disease term; filter for minimum 10 samples per group; prefer studies with raw counts over normalized</w:t>
      </w:r>
    </w:p>
    <w:p>
      <w:pPr>
        <w:pStyle w:val="ListParagraph"/>
        <w:numPr>
          <w:ilvl w:val="0"/>
          <w:numId w:val="2"/>
        </w:numPr>
        <w:spacing w:before="60" w:after="60"/>
      </w:pPr>
      <w:r>
        <w:rPr>
          <w:rFonts w:ascii="Arial" w:cs="Arial" w:eastAsia="Arial" w:hAnsi="Arial"/>
          <w:color w:val="1e1e1e"/>
          <w:sz w:val="20"/>
          <w:szCs w:val="20"/>
        </w:rPr>
        <w:t xml:space="preserve">Expression units: normalize all to log2(TPM + 1) before meta-analysis</w:t>
      </w:r>
    </w:p>
    <w:p>
      <w:pPr>
        <w:pStyle w:val="Heading1"/>
        <w:pBdr>
          <w:bottom w:val="single" w:color="1A56A0" w:sz="6" w:space="4"/>
        </w:pBdr>
        <w:spacing w:before="400" w:after="160"/>
      </w:pPr>
      <w:r>
        <w:rPr>
          <w:rFonts w:ascii="Arial" w:cs="Arial" w:eastAsia="Arial" w:hAnsi="Arial"/>
          <w:b/>
          <w:bCs/>
          <w:color w:val="1A56A0"/>
          <w:sz w:val="32"/>
          <w:szCs w:val="32"/>
        </w:rPr>
        <w:t xml:space="preserve">5. Analysis Layer — iPANDA / Meta-Analysis</w:t>
      </w:r>
    </w:p>
    <w:p>
      <w:pPr>
        <w:pStyle w:val="Heading2"/>
        <w:spacing w:before="320" w:after="120"/>
      </w:pPr>
      <w:r>
        <w:rPr>
          <w:rFonts w:ascii="Arial" w:cs="Arial" w:eastAsia="Arial" w:hAnsi="Arial"/>
          <w:b/>
          <w:bCs/>
          <w:color w:val="2C3E50"/>
          <w:sz w:val="26"/>
          <w:szCs w:val="26"/>
        </w:rPr>
        <w:t xml:space="preserve">5.1 Differential Expression Meta-Analysis</w:t>
      </w:r>
    </w:p>
    <w:p>
      <w:pPr>
        <w:spacing w:before="80" w:after="80" w:line="276"/>
      </w:pPr>
      <w:r>
        <w:rPr>
          <w:rFonts w:ascii="Arial" w:cs="Arial" w:eastAsia="Arial" w:hAnsi="Arial"/>
          <w:color w:val="1e1e1e"/>
          <w:sz w:val="20"/>
          <w:szCs w:val="20"/>
        </w:rPr>
        <w:t xml:space="preserve">For each indication, PandaOmics aggregates DEG results across multiple independent studies (cross-study meta-analysis). This is more robust than single-study DEG and is the core of the transcriptomic score.</w:t>
      </w:r>
    </w:p>
    <w:p>
      <w:pPr>
        <w:spacing w:before="80" w:after="0"/>
      </w:pPr>
      <w:r>
        <w:t xml:space="preserve"/>
      </w:r>
    </w:p>
    <w:p>
      <w:pPr>
        <w:pStyle w:val="Heading3"/>
        <w:spacing w:before="240" w:after="80"/>
      </w:pPr>
      <w:r>
        <w:rPr>
          <w:rFonts w:ascii="Arial" w:cs="Arial" w:eastAsia="Arial" w:hAnsi="Arial"/>
          <w:b/>
          <w:bCs/>
          <w:color w:val="34495E"/>
          <w:sz w:val="22"/>
          <w:szCs w:val="22"/>
        </w:rPr>
        <w:t xml:space="preserve">Implementation</w:t>
      </w:r>
    </w:p>
    <w:p>
      <w:pPr>
        <w:pStyle w:val="ListParagraph"/>
        <w:numPr>
          <w:ilvl w:val="0"/>
          <w:numId w:val="2"/>
        </w:numPr>
        <w:spacing w:before="60" w:after="60"/>
      </w:pPr>
      <w:r>
        <w:rPr>
          <w:rFonts w:ascii="Arial" w:cs="Arial" w:eastAsia="Arial" w:hAnsi="Arial"/>
          <w:color w:val="1e1e1e"/>
          <w:sz w:val="20"/>
          <w:szCs w:val="20"/>
        </w:rPr>
        <w:t xml:space="preserve">Per GEO/TCGA dataset: run DESeq2 (via pydeseq2) or limma-voom to get log2FC and p-values per gene</w:t>
      </w:r>
    </w:p>
    <w:p>
      <w:pPr>
        <w:pStyle w:val="ListParagraph"/>
        <w:numPr>
          <w:ilvl w:val="0"/>
          <w:numId w:val="2"/>
        </w:numPr>
        <w:spacing w:before="60" w:after="60"/>
      </w:pPr>
      <w:r>
        <w:rPr>
          <w:rFonts w:ascii="Arial" w:cs="Arial" w:eastAsia="Arial" w:hAnsi="Arial"/>
          <w:color w:val="1e1e1e"/>
          <w:sz w:val="20"/>
          <w:szCs w:val="20"/>
        </w:rPr>
        <w:t xml:space="preserve">Combine across studies: use Fisher's combined probability test or random-effects meta-analysis (metafor in R, or statsmodels in Python)</w:t>
      </w:r>
    </w:p>
    <w:p>
      <w:pPr>
        <w:pStyle w:val="ListParagraph"/>
        <w:numPr>
          <w:ilvl w:val="0"/>
          <w:numId w:val="2"/>
        </w:numPr>
        <w:spacing w:before="60" w:after="60"/>
      </w:pPr>
      <w:r>
        <w:rPr>
          <w:rFonts w:ascii="Arial" w:cs="Arial" w:eastAsia="Arial" w:hAnsi="Arial"/>
          <w:color w:val="1e1e1e"/>
          <w:sz w:val="20"/>
          <w:szCs w:val="20"/>
        </w:rPr>
        <w:t xml:space="preserve">Output: per-gene meta-log2FC, meta-p-value, and consistency score (fraction of studies agreeing on direction)</w:t>
      </w:r>
    </w:p>
    <w:p>
      <w:pPr>
        <w:spacing w:before="80" w:after="0"/>
      </w:pPr>
      <w:r>
        <w:t xml:space="preserve"/>
      </w:r>
    </w:p>
    <w:p>
      <w:pPr>
        <w:pStyle w:val="Heading3"/>
        <w:spacing w:before="240" w:after="80"/>
      </w:pPr>
      <w:r>
        <w:rPr>
          <w:rFonts w:ascii="Arial" w:cs="Arial" w:eastAsia="Arial" w:hAnsi="Arial"/>
          <w:b/>
          <w:bCs/>
          <w:color w:val="34495E"/>
          <w:sz w:val="22"/>
          <w:szCs w:val="22"/>
        </w:rPr>
        <w:t xml:space="preserve">Key Python Libraries</w:t>
      </w:r>
    </w:p>
    <w:p>
      <w:pPr>
        <w:shd w:fill="F4F4F4" w:val="clear"/>
        <w:spacing w:before="60" w:after="60"/>
        <w:ind w:left="720"/>
      </w:pPr>
      <w:r>
        <w:rPr>
          <w:rFonts w:ascii="Courier New" w:cs="Courier New" w:eastAsia="Courier New" w:hAnsi="Courier New"/>
          <w:color w:val="1A1A1A"/>
          <w:sz w:val="18"/>
          <w:szCs w:val="18"/>
        </w:rPr>
        <w:t xml:space="preserve">pydeseq2          # DESeq2 port for Python</w:t>
      </w:r>
    </w:p>
    <w:p>
      <w:pPr>
        <w:shd w:fill="F4F4F4" w:val="clear"/>
        <w:spacing w:before="60" w:after="60"/>
        <w:ind w:left="720"/>
      </w:pPr>
      <w:r>
        <w:rPr>
          <w:rFonts w:ascii="Courier New" w:cs="Courier New" w:eastAsia="Courier New" w:hAnsi="Courier New"/>
          <w:color w:val="1A1A1A"/>
          <w:sz w:val="18"/>
          <w:szCs w:val="18"/>
        </w:rPr>
        <w:t xml:space="preserve">GEOparse          # GEO dataset fetching and parsing</w:t>
      </w:r>
    </w:p>
    <w:p>
      <w:pPr>
        <w:shd w:fill="F4F4F4" w:val="clear"/>
        <w:spacing w:before="60" w:after="60"/>
        <w:ind w:left="720"/>
      </w:pPr>
      <w:r>
        <w:rPr>
          <w:rFonts w:ascii="Courier New" w:cs="Courier New" w:eastAsia="Courier New" w:hAnsi="Courier New"/>
          <w:color w:val="1A1A1A"/>
          <w:sz w:val="18"/>
          <w:szCs w:val="18"/>
        </w:rPr>
        <w:t xml:space="preserve">scipy.stats       # Fisher's method for p-value combination</w:t>
      </w:r>
    </w:p>
    <w:p>
      <w:pPr>
        <w:shd w:fill="F4F4F4" w:val="clear"/>
        <w:spacing w:before="60" w:after="60"/>
        <w:ind w:left="720"/>
      </w:pPr>
      <w:r>
        <w:rPr>
          <w:rFonts w:ascii="Courier New" w:cs="Courier New" w:eastAsia="Courier New" w:hAnsi="Courier New"/>
          <w:color w:val="1A1A1A"/>
          <w:sz w:val="18"/>
          <w:szCs w:val="18"/>
        </w:rPr>
        <w:t xml:space="preserve">pandas / numpy    # Data wrangling</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5.2 Pathway Activation (iPANDA)</w:t>
      </w:r>
    </w:p>
    <w:p>
      <w:pPr>
        <w:spacing w:before="80" w:after="80" w:line="276"/>
      </w:pPr>
      <w:r>
        <w:rPr>
          <w:rFonts w:ascii="Arial" w:cs="Arial" w:eastAsia="Arial" w:hAnsi="Arial"/>
          <w:color w:val="1e1e1e"/>
          <w:sz w:val="20"/>
          <w:szCs w:val="20"/>
        </w:rPr>
        <w:t xml:space="preserve">iPANDA infers which biological pathways are activated or inhibited in the disease state, using the DEG results in the context of pathway topology from KEGG/Reactome.</w:t>
      </w:r>
    </w:p>
    <w:p>
      <w:pPr>
        <w:pStyle w:val="ListParagraph"/>
        <w:numPr>
          <w:ilvl w:val="0"/>
          <w:numId w:val="2"/>
        </w:numPr>
        <w:spacing w:before="60" w:after="60"/>
      </w:pPr>
      <w:r>
        <w:rPr>
          <w:rFonts w:ascii="Arial" w:cs="Arial" w:eastAsia="Arial" w:hAnsi="Arial"/>
          <w:color w:val="1e1e1e"/>
          <w:sz w:val="20"/>
          <w:szCs w:val="20"/>
        </w:rPr>
        <w:t xml:space="preserve">For each pathway: compute a weighted activation score based on constituent gene expression changes and their roles in the pathway topology</w:t>
      </w:r>
    </w:p>
    <w:p>
      <w:pPr>
        <w:pStyle w:val="ListParagraph"/>
        <w:numPr>
          <w:ilvl w:val="0"/>
          <w:numId w:val="2"/>
        </w:numPr>
        <w:spacing w:before="60" w:after="60"/>
      </w:pPr>
      <w:r>
        <w:rPr>
          <w:rFonts w:ascii="Arial" w:cs="Arial" w:eastAsia="Arial" w:hAnsi="Arial"/>
          <w:color w:val="1e1e1e"/>
          <w:sz w:val="20"/>
          <w:szCs w:val="20"/>
        </w:rPr>
        <w:t xml:space="preserve">Targets that are rate-limiting nodes in activated pathways score higher</w:t>
      </w:r>
    </w:p>
    <w:p>
      <w:pPr>
        <w:pStyle w:val="ListParagraph"/>
        <w:numPr>
          <w:ilvl w:val="0"/>
          <w:numId w:val="2"/>
        </w:numPr>
        <w:spacing w:before="60" w:after="60"/>
      </w:pPr>
      <w:r>
        <w:rPr>
          <w:rFonts w:ascii="Arial" w:cs="Arial" w:eastAsia="Arial" w:hAnsi="Arial"/>
          <w:color w:val="1e1e1e"/>
          <w:sz w:val="20"/>
          <w:szCs w:val="20"/>
        </w:rPr>
        <w:t xml:space="preserve">This is the 'pathway centrality' feature in the RL state vector</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5.3 NLP Mining</w:t>
      </w:r>
    </w:p>
    <w:p>
      <w:pPr>
        <w:spacing w:before="80" w:after="80" w:line="276"/>
      </w:pPr>
      <w:r>
        <w:rPr>
          <w:rFonts w:ascii="Arial" w:cs="Arial" w:eastAsia="Arial" w:hAnsi="Arial"/>
          <w:color w:val="1e1e1e"/>
          <w:sz w:val="20"/>
          <w:szCs w:val="20"/>
        </w:rPr>
        <w:t xml:space="preserve">Text evidence is extracted from PubMed abstracts, ClinicalTrials records, and patent abstracts to compute:</w:t>
      </w:r>
    </w:p>
    <w:p>
      <w:pPr>
        <w:pStyle w:val="ListParagraph"/>
        <w:numPr>
          <w:ilvl w:val="0"/>
          <w:numId w:val="2"/>
        </w:numPr>
        <w:spacing w:before="60" w:after="60"/>
      </w:pPr>
      <w:r>
        <w:rPr>
          <w:rFonts w:ascii="Arial" w:cs="Arial" w:eastAsia="Arial" w:hAnsi="Arial"/>
          <w:color w:val="1e1e1e"/>
          <w:sz w:val="20"/>
          <w:szCs w:val="20"/>
        </w:rPr>
        <w:t xml:space="preserve">Publication count per target-indication pair (used for novelty score — inverted)</w:t>
      </w:r>
    </w:p>
    <w:p>
      <w:pPr>
        <w:pStyle w:val="ListParagraph"/>
        <w:numPr>
          <w:ilvl w:val="0"/>
          <w:numId w:val="2"/>
        </w:numPr>
        <w:spacing w:before="60" w:after="60"/>
      </w:pPr>
      <w:r>
        <w:rPr>
          <w:rFonts w:ascii="Arial" w:cs="Arial" w:eastAsia="Arial" w:hAnsi="Arial"/>
          <w:color w:val="1e1e1e"/>
          <w:sz w:val="20"/>
          <w:szCs w:val="20"/>
        </w:rPr>
        <w:t xml:space="preserve">Publication growth rate (momentum signal — targets gaining attention fast)</w:t>
      </w:r>
    </w:p>
    <w:p>
      <w:pPr>
        <w:pStyle w:val="ListParagraph"/>
        <w:numPr>
          <w:ilvl w:val="0"/>
          <w:numId w:val="2"/>
        </w:numPr>
        <w:spacing w:before="60" w:after="60"/>
      </w:pPr>
      <w:r>
        <w:rPr>
          <w:rFonts w:ascii="Arial" w:cs="Arial" w:eastAsia="Arial" w:hAnsi="Arial"/>
          <w:color w:val="1e1e1e"/>
          <w:sz w:val="20"/>
          <w:szCs w:val="20"/>
        </w:rPr>
        <w:t xml:space="preserve">Trial count and phase (feeds P-score proxy)</w:t>
      </w:r>
    </w:p>
    <w:p>
      <w:pPr>
        <w:pStyle w:val="ListParagraph"/>
        <w:numPr>
          <w:ilvl w:val="0"/>
          <w:numId w:val="2"/>
        </w:numPr>
        <w:spacing w:before="60" w:after="60"/>
      </w:pPr>
      <w:r>
        <w:rPr>
          <w:rFonts w:ascii="Arial" w:cs="Arial" w:eastAsia="Arial" w:hAnsi="Arial"/>
          <w:color w:val="1e1e1e"/>
          <w:sz w:val="20"/>
          <w:szCs w:val="20"/>
        </w:rPr>
        <w:t xml:space="preserve">Implementation: PubMed Entrez API (esearch with gene symbol + MeSH disease term); count returned UIDs</w:t>
      </w:r>
    </w:p>
    <w:p>
      <w:pPr>
        <w:pStyle w:val="Heading1"/>
        <w:pBdr>
          <w:bottom w:val="single" w:color="1A56A0" w:sz="6" w:space="4"/>
        </w:pBdr>
        <w:spacing w:before="400" w:after="160"/>
      </w:pPr>
      <w:r>
        <w:rPr>
          <w:rFonts w:ascii="Arial" w:cs="Arial" w:eastAsia="Arial" w:hAnsi="Arial"/>
          <w:b/>
          <w:bCs/>
          <w:color w:val="1A56A0"/>
          <w:sz w:val="32"/>
          <w:szCs w:val="32"/>
        </w:rPr>
        <w:t xml:space="preserve">6. Knowledge Graph (KG)</w:t>
      </w:r>
    </w:p>
    <w:p>
      <w:pPr>
        <w:pStyle w:val="Heading2"/>
        <w:spacing w:before="320" w:after="120"/>
      </w:pPr>
      <w:r>
        <w:rPr>
          <w:rFonts w:ascii="Arial" w:cs="Arial" w:eastAsia="Arial" w:hAnsi="Arial"/>
          <w:b/>
          <w:bCs/>
          <w:color w:val="2C3E50"/>
          <w:sz w:val="26"/>
          <w:szCs w:val="26"/>
        </w:rPr>
        <w:t xml:space="preserve">6.1 Graph Schema</w:t>
      </w:r>
    </w:p>
    <w:p>
      <w:pPr>
        <w:spacing w:before="80" w:after="80" w:line="276"/>
      </w:pPr>
      <w:r>
        <w:rPr>
          <w:rFonts w:ascii="Arial" w:cs="Arial" w:eastAsia="Arial" w:hAnsi="Arial"/>
          <w:color w:val="1e1e1e"/>
          <w:sz w:val="20"/>
          <w:szCs w:val="20"/>
        </w:rPr>
        <w:t xml:space="preserve">The KG is a heterogeneous directed graph with four node types and six edge types: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Node Type</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Attributes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 / Protein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Ensembl, UniProt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Ensembl ID, symbol, biotype, chromosomal 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Disease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EFO (OT), MeSH, OMIM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EFO ID, name, therapeutic area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Drug / Compound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ChEMBL, DrugBank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ChEMBL ID, SMILES, max clinical phase, MoA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Pathway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Reactome, KEGG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Pathway ID, name, gene members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Edge Type</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interacts_with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 ↔ Gene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STRING (score ≥ 400)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associated_with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 → Disease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Open Targets (score ≥ 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targeted_by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 ← Drug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ChEMBL / DrugBank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in_trial_for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Drug → Disease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ClinicalTrials.gov</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member_of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 → Pathway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Reactome / KEGG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regulates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 → Gene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SIGNOR, OmniPath</w:t>
            </w:r>
          </w:p>
        </w:tc>
      </w:tr>
    </w:tbl>
    <w:p>
      <w:pPr>
        <w:spacing w:before="120" w:after="0"/>
      </w:pPr>
      <w:r>
        <w:t xml:space="preserve"/>
      </w:r>
    </w:p>
    <w:p>
      <w:pPr>
        <w:pStyle w:val="Heading2"/>
        <w:spacing w:before="320" w:after="120"/>
      </w:pPr>
      <w:r>
        <w:rPr>
          <w:rFonts w:ascii="Arial" w:cs="Arial" w:eastAsia="Arial" w:hAnsi="Arial"/>
          <w:b/>
          <w:bCs/>
          <w:color w:val="2C3E50"/>
          <w:sz w:val="26"/>
          <w:szCs w:val="26"/>
        </w:rPr>
        <w:t xml:space="preserve">6.2 KG Storage</w:t>
      </w:r>
    </w:p>
    <w:p>
      <w:pPr>
        <w:pStyle w:val="ListParagraph"/>
        <w:numPr>
          <w:ilvl w:val="0"/>
          <w:numId w:val="2"/>
        </w:numPr>
        <w:spacing w:before="60" w:after="60"/>
      </w:pPr>
      <w:r>
        <w:rPr>
          <w:rFonts w:ascii="Arial" w:cs="Arial" w:eastAsia="Arial" w:hAnsi="Arial"/>
          <w:color w:val="1e1e1e"/>
          <w:sz w:val="20"/>
          <w:szCs w:val="20"/>
        </w:rPr>
        <w:t xml:space="preserve">Use Neo4j (local dev) or Neptune (AWS production) for graph storage and Cypher/SPARQL queries</w:t>
      </w:r>
    </w:p>
    <w:p>
      <w:pPr>
        <w:pStyle w:val="ListParagraph"/>
        <w:numPr>
          <w:ilvl w:val="0"/>
          <w:numId w:val="2"/>
        </w:numPr>
        <w:spacing w:before="60" w:after="60"/>
      </w:pPr>
      <w:r>
        <w:rPr>
          <w:rFonts w:ascii="Arial" w:cs="Arial" w:eastAsia="Arial" w:hAnsi="Arial"/>
          <w:color w:val="1e1e1e"/>
          <w:sz w:val="20"/>
          <w:szCs w:val="20"/>
        </w:rPr>
        <w:t xml:space="preserve">Alternatively: build as a NetworkX multigraph in memory for hackathon-scale (&lt; 100K nodes is fine)</w:t>
      </w:r>
    </w:p>
    <w:p>
      <w:pPr>
        <w:pStyle w:val="ListParagraph"/>
        <w:numPr>
          <w:ilvl w:val="0"/>
          <w:numId w:val="2"/>
        </w:numPr>
        <w:spacing w:before="60" w:after="60"/>
      </w:pPr>
      <w:r>
        <w:rPr>
          <w:rFonts w:ascii="Arial" w:cs="Arial" w:eastAsia="Arial" w:hAnsi="Arial"/>
          <w:color w:val="1e1e1e"/>
          <w:sz w:val="20"/>
          <w:szCs w:val="20"/>
        </w:rPr>
        <w:t xml:space="preserve">Export to PyG (PyTorch Geometric) HeteroData object for GNN embedding</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6.3 KG Role 1 — Enriching Scoring Models</w:t>
      </w:r>
    </w:p>
    <w:p>
      <w:pPr>
        <w:spacing w:before="80" w:after="80" w:line="276"/>
      </w:pPr>
      <w:r>
        <w:rPr>
          <w:rFonts w:ascii="Arial" w:cs="Arial" w:eastAsia="Arial" w:hAnsi="Arial"/>
          <w:color w:val="1e1e1e"/>
          <w:sz w:val="20"/>
          <w:szCs w:val="20"/>
        </w:rPr>
        <w:t xml:space="preserve">When computing the score for target T in indication D, the KG provides relational context:</w:t>
      </w:r>
    </w:p>
    <w:p>
      <w:pPr>
        <w:pStyle w:val="ListParagraph"/>
        <w:numPr>
          <w:ilvl w:val="0"/>
          <w:numId w:val="2"/>
        </w:numPr>
        <w:spacing w:before="60" w:after="60"/>
      </w:pPr>
      <w:r>
        <w:rPr>
          <w:rFonts w:ascii="Arial" w:cs="Arial" w:eastAsia="Arial" w:hAnsi="Arial"/>
          <w:color w:val="1e1e1e"/>
          <w:sz w:val="20"/>
          <w:szCs w:val="20"/>
        </w:rPr>
        <w:t xml:space="preserve">How many validated drug targets are in T's immediate PPI neighborhood? (neighborhood druggability)</w:t>
      </w:r>
    </w:p>
    <w:p>
      <w:pPr>
        <w:pStyle w:val="ListParagraph"/>
        <w:numPr>
          <w:ilvl w:val="0"/>
          <w:numId w:val="2"/>
        </w:numPr>
        <w:spacing w:before="60" w:after="60"/>
      </w:pPr>
      <w:r>
        <w:rPr>
          <w:rFonts w:ascii="Arial" w:cs="Arial" w:eastAsia="Arial" w:hAnsi="Arial"/>
          <w:color w:val="1e1e1e"/>
          <w:sz w:val="20"/>
          <w:szCs w:val="20"/>
        </w:rPr>
        <w:t xml:space="preserve">Is T a hub gene in pathways associated with D? (topological centrality)</w:t>
      </w:r>
    </w:p>
    <w:p>
      <w:pPr>
        <w:pStyle w:val="ListParagraph"/>
        <w:numPr>
          <w:ilvl w:val="0"/>
          <w:numId w:val="2"/>
        </w:numPr>
        <w:spacing w:before="60" w:after="60"/>
      </w:pPr>
      <w:r>
        <w:rPr>
          <w:rFonts w:ascii="Arial" w:cs="Arial" w:eastAsia="Arial" w:hAnsi="Arial"/>
          <w:color w:val="1e1e1e"/>
          <w:sz w:val="20"/>
          <w:szCs w:val="20"/>
        </w:rPr>
        <w:t xml:space="preserve">Does T have existing drugs in trials for related indications? (tractability transfer)</w:t>
      </w:r>
    </w:p>
    <w:p>
      <w:pPr>
        <w:spacing w:before="80" w:after="80" w:line="276"/>
      </w:pPr>
      <w:r>
        <w:rPr>
          <w:rFonts w:ascii="Arial" w:cs="Arial" w:eastAsia="Arial" w:hAnsi="Arial"/>
          <w:color w:val="1e1e1e"/>
          <w:sz w:val="20"/>
          <w:szCs w:val="20"/>
        </w:rPr>
        <w:t xml:space="preserve">This relational context is concatenated to the raw omics features before the 23 scoring models run.</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6.4 KG Role 2 — RL State Embeddings</w:t>
      </w:r>
    </w:p>
    <w:p>
      <w:pPr>
        <w:spacing w:before="80" w:after="80" w:line="276"/>
      </w:pPr>
      <w:r>
        <w:rPr>
          <w:rFonts w:ascii="Arial" w:cs="Arial" w:eastAsia="Arial" w:hAnsi="Arial"/>
          <w:color w:val="1e1e1e"/>
          <w:sz w:val="20"/>
          <w:szCs w:val="20"/>
        </w:rPr>
        <w:t xml:space="preserve">Each candidate target's state representation includes a graph embedding computed from the KG, capturing its relational position in the gene-disease-drug network. This allows the RL agent to generalize across targets with similar network roles even if they differ in raw expression values.</w:t>
      </w:r>
    </w:p>
    <w:p>
      <w:pPr>
        <w:spacing w:before="80" w:after="0"/>
      </w:pPr>
      <w:r>
        <w:t xml:space="preserve"/>
      </w:r>
    </w:p>
    <w:p>
      <w:pPr>
        <w:pStyle w:val="Heading3"/>
        <w:spacing w:before="240" w:after="80"/>
      </w:pPr>
      <w:r>
        <w:rPr>
          <w:rFonts w:ascii="Arial" w:cs="Arial" w:eastAsia="Arial" w:hAnsi="Arial"/>
          <w:b/>
          <w:bCs/>
          <w:color w:val="34495E"/>
          <w:sz w:val="22"/>
          <w:szCs w:val="22"/>
        </w:rPr>
        <w:t xml:space="preserve">Embedding Method</w:t>
      </w:r>
    </w:p>
    <w:p>
      <w:pPr>
        <w:pStyle w:val="ListParagraph"/>
        <w:numPr>
          <w:ilvl w:val="0"/>
          <w:numId w:val="2"/>
        </w:numPr>
        <w:spacing w:before="60" w:after="60"/>
      </w:pPr>
      <w:r>
        <w:rPr>
          <w:rFonts w:ascii="Arial" w:cs="Arial" w:eastAsia="Arial" w:hAnsi="Arial"/>
          <w:color w:val="1e1e1e"/>
          <w:sz w:val="20"/>
          <w:szCs w:val="20"/>
        </w:rPr>
        <w:t xml:space="preserve">Use a R-GCN (Relational Graph Convolutional Network) or simpler TransE/Node2Vec over the KG</w:t>
      </w:r>
    </w:p>
    <w:p>
      <w:pPr>
        <w:pStyle w:val="ListParagraph"/>
        <w:numPr>
          <w:ilvl w:val="0"/>
          <w:numId w:val="2"/>
        </w:numPr>
        <w:spacing w:before="60" w:after="60"/>
      </w:pPr>
      <w:r>
        <w:rPr>
          <w:rFonts w:ascii="Arial" w:cs="Arial" w:eastAsia="Arial" w:hAnsi="Arial"/>
          <w:color w:val="1e1e1e"/>
          <w:sz w:val="20"/>
          <w:szCs w:val="20"/>
        </w:rPr>
        <w:t xml:space="preserve">Train embeddings unsupervised on the KG structure, or fine-tune on target-validation outcome labels</w:t>
      </w:r>
    </w:p>
    <w:p>
      <w:pPr>
        <w:pStyle w:val="ListParagraph"/>
        <w:numPr>
          <w:ilvl w:val="0"/>
          <w:numId w:val="2"/>
        </w:numPr>
        <w:spacing w:before="60" w:after="60"/>
      </w:pPr>
      <w:r>
        <w:rPr>
          <w:rFonts w:ascii="Arial" w:cs="Arial" w:eastAsia="Arial" w:hAnsi="Arial"/>
          <w:color w:val="1e1e1e"/>
          <w:sz w:val="20"/>
          <w:szCs w:val="20"/>
        </w:rPr>
        <w:t xml:space="preserve">Output: 128-dimensional embedding per gene node</w:t>
      </w:r>
    </w:p>
    <w:p>
      <w:pPr>
        <w:shd w:fill="F4F4F4" w:val="clear"/>
        <w:spacing w:before="60" w:after="60"/>
        <w:ind w:left="720"/>
      </w:pPr>
      <w:r>
        <w:rPr>
          <w:rFonts w:ascii="Courier New" w:cs="Courier New" w:eastAsia="Courier New" w:hAnsi="Courier New"/>
          <w:color w:val="1A1A1A"/>
          <w:sz w:val="18"/>
          <w:szCs w:val="18"/>
        </w:rPr>
        <w:t xml:space="preserve"># Libraries</w:t>
      </w:r>
    </w:p>
    <w:p>
      <w:pPr>
        <w:shd w:fill="F4F4F4" w:val="clear"/>
        <w:spacing w:before="60" w:after="60"/>
        <w:ind w:left="720"/>
      </w:pPr>
      <w:r>
        <w:rPr>
          <w:rFonts w:ascii="Courier New" w:cs="Courier New" w:eastAsia="Courier New" w:hAnsi="Courier New"/>
          <w:color w:val="1A1A1A"/>
          <w:sz w:val="18"/>
          <w:szCs w:val="18"/>
        </w:rPr>
        <w:t xml:space="preserve">torch_geometric   # PyTorch Geometric for GNN</w:t>
      </w:r>
    </w:p>
    <w:p>
      <w:pPr>
        <w:shd w:fill="F4F4F4" w:val="clear"/>
        <w:spacing w:before="60" w:after="60"/>
        <w:ind w:left="720"/>
      </w:pPr>
      <w:r>
        <w:rPr>
          <w:rFonts w:ascii="Courier New" w:cs="Courier New" w:eastAsia="Courier New" w:hAnsi="Courier New"/>
          <w:color w:val="1A1A1A"/>
          <w:sz w:val="18"/>
          <w:szCs w:val="18"/>
        </w:rPr>
        <w:t xml:space="preserve">pykeen            # Knowledge graph embedding (TransE, RotatE, etc.)</w:t>
      </w:r>
    </w:p>
    <w:p>
      <w:pPr>
        <w:shd w:fill="F4F4F4" w:val="clear"/>
        <w:spacing w:before="60" w:after="60"/>
        <w:ind w:left="720"/>
      </w:pPr>
      <w:r>
        <w:rPr>
          <w:rFonts w:ascii="Courier New" w:cs="Courier New" w:eastAsia="Courier New" w:hAnsi="Courier New"/>
          <w:color w:val="1A1A1A"/>
          <w:sz w:val="18"/>
          <w:szCs w:val="18"/>
        </w:rPr>
        <w:t xml:space="preserve">node2vec          # Fast random-walk embeddings if GNN is overkill</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6.5 KG Role 3 — Explainability</w:t>
      </w:r>
    </w:p>
    <w:p>
      <w:pPr>
        <w:spacing w:before="80" w:after="80" w:line="276"/>
      </w:pPr>
      <w:r>
        <w:rPr>
          <w:rFonts w:ascii="Arial" w:cs="Arial" w:eastAsia="Arial" w:hAnsi="Arial"/>
          <w:color w:val="1e1e1e"/>
          <w:sz w:val="20"/>
          <w:szCs w:val="20"/>
        </w:rPr>
        <w:t xml:space="preserve">After the RL agent produces a ranked target list, the KG is traversed to generate human-readable rationale for each top target. An LLM (Claude API) is prompted with the KG subgraph for that target and asked to explain the ranking.</w:t>
      </w:r>
    </w:p>
    <w:p>
      <w:pPr>
        <w:shd w:fill="F4F4F4" w:val="clear"/>
        <w:spacing w:before="60" w:after="60"/>
        <w:ind w:left="720"/>
      </w:pPr>
      <w:r>
        <w:rPr>
          <w:rFonts w:ascii="Courier New" w:cs="Courier New" w:eastAsia="Courier New" w:hAnsi="Courier New"/>
          <w:color w:val="1A1A1A"/>
          <w:sz w:val="18"/>
          <w:szCs w:val="18"/>
        </w:rPr>
        <w:t xml:space="preserve">Prompt: 'Given the following KG evidence for target CAMKK2 in Alzheimer's disease:</w:t>
      </w:r>
    </w:p>
    <w:p>
      <w:pPr>
        <w:shd w:fill="F4F4F4" w:val="clear"/>
        <w:spacing w:before="60" w:after="60"/>
        <w:ind w:left="720"/>
      </w:pPr>
      <w:r>
        <w:rPr>
          <w:rFonts w:ascii="Courier New" w:cs="Courier New" w:eastAsia="Courier New" w:hAnsi="Courier New"/>
          <w:color w:val="1A1A1A"/>
          <w:sz w:val="18"/>
          <w:szCs w:val="18"/>
        </w:rPr>
        <w:t xml:space="preserve">  - CAMKK2 is highly expressed in neurons (GTEx)</w:t>
      </w:r>
    </w:p>
    <w:p>
      <w:pPr>
        <w:shd w:fill="F4F4F4" w:val="clear"/>
        <w:spacing w:before="60" w:after="60"/>
        <w:ind w:left="720"/>
      </w:pPr>
      <w:r>
        <w:rPr>
          <w:rFonts w:ascii="Courier New" w:cs="Courier New" w:eastAsia="Courier New" w:hAnsi="Courier New"/>
          <w:color w:val="1A1A1A"/>
          <w:sz w:val="18"/>
          <w:szCs w:val="18"/>
        </w:rPr>
        <w:t xml:space="preserve">  - CAMKK2 is in the AMPK signaling pathway (activated in AD meta-analysis)</w:t>
      </w:r>
    </w:p>
    <w:p>
      <w:pPr>
        <w:shd w:fill="F4F4F4" w:val="clear"/>
        <w:spacing w:before="60" w:after="60"/>
        <w:ind w:left="720"/>
      </w:pPr>
      <w:r>
        <w:rPr>
          <w:rFonts w:ascii="Courier New" w:cs="Courier New" w:eastAsia="Courier New" w:hAnsi="Courier New"/>
          <w:color w:val="1A1A1A"/>
          <w:sz w:val="18"/>
          <w:szCs w:val="18"/>
        </w:rPr>
        <w:t xml:space="preserve">  - 2 PPI neighbors of CAMKK2 are validated AD drug targets</w:t>
      </w:r>
    </w:p>
    <w:p>
      <w:pPr>
        <w:shd w:fill="F4F4F4" w:val="clear"/>
        <w:spacing w:before="60" w:after="60"/>
        <w:ind w:left="720"/>
      </w:pPr>
      <w:r>
        <w:rPr>
          <w:rFonts w:ascii="Courier New" w:cs="Courier New" w:eastAsia="Courier New" w:hAnsi="Courier New"/>
          <w:color w:val="1A1A1A"/>
          <w:sz w:val="18"/>
          <w:szCs w:val="18"/>
        </w:rPr>
        <w:t xml:space="preserve">  - 0 existing drugs target CAMKK2 (high novelty)</w:t>
      </w:r>
    </w:p>
    <w:p>
      <w:pPr>
        <w:shd w:fill="F4F4F4" w:val="clear"/>
        <w:spacing w:before="60" w:after="60"/>
        <w:ind w:left="720"/>
      </w:pPr>
      <w:r>
        <w:rPr>
          <w:rFonts w:ascii="Courier New" w:cs="Courier New" w:eastAsia="Courier New" w:hAnsi="Courier New"/>
          <w:color w:val="1A1A1A"/>
          <w:sz w:val="18"/>
          <w:szCs w:val="18"/>
        </w:rPr>
        <w:t xml:space="preserve">  Explain in 3 sentences why this is a high-priority target.'</w:t>
      </w:r>
    </w:p>
    <w:p>
      <w:pPr>
        <w:pStyle w:val="Heading1"/>
        <w:pBdr>
          <w:bottom w:val="single" w:color="1A56A0" w:sz="6" w:space="4"/>
        </w:pBdr>
        <w:spacing w:before="400" w:after="160"/>
      </w:pPr>
      <w:r>
        <w:rPr>
          <w:rFonts w:ascii="Arial" w:cs="Arial" w:eastAsia="Arial" w:hAnsi="Arial"/>
          <w:b/>
          <w:bCs/>
          <w:color w:val="1A56A0"/>
          <w:sz w:val="32"/>
          <w:szCs w:val="32"/>
        </w:rPr>
        <w:t xml:space="preserve">7. Scoring Layer — 23 Models</w:t>
      </w:r>
    </w:p>
    <w:p>
      <w:pPr>
        <w:pStyle w:val="Heading2"/>
        <w:spacing w:before="320" w:after="120"/>
      </w:pPr>
      <w:r>
        <w:rPr>
          <w:rFonts w:ascii="Arial" w:cs="Arial" w:eastAsia="Arial" w:hAnsi="Arial"/>
          <w:b/>
          <w:bCs/>
          <w:color w:val="2C3E50"/>
          <w:sz w:val="26"/>
          <w:szCs w:val="26"/>
        </w:rPr>
        <w:t xml:space="preserve">7.1 Model Categories</w:t>
      </w:r>
    </w:p>
    <w:p>
      <w:pPr>
        <w:spacing w:before="80" w:after="80" w:line="276"/>
      </w:pPr>
      <w:r>
        <w:rPr>
          <w:rFonts w:ascii="Arial" w:cs="Arial" w:eastAsia="Arial" w:hAnsi="Arial"/>
          <w:color w:val="1e1e1e"/>
          <w:sz w:val="20"/>
          <w:szCs w:val="20"/>
        </w:rPr>
        <w:t xml:space="preserve">Following the PandaOmics architecture, scoring models fall into two categories: omics-based and text-based. All models output a scalar score in [0, 1] per target per indication.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Model Group</w:t>
            </w:r>
          </w:p>
        </w:tc>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Models (representative)</w:t>
            </w:r>
          </w:p>
        </w:tc>
        <w:tc>
          <w:tcPr>
            <w:tcW w:type="dxa" w:w="3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Input Features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Transcriptomic (omics)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DEG meta-score, consistency score, effect size rank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log2FC, meta-p, study 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Methylation (omics)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Differential methylation score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TCGA methylation arrays (if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Genetic (omics)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GWAS score, rare variant score, somatic mutation burden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GWAS Catalog, TCGA MAF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Network (omics + KG)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PPI centrality, pathway hub score, neighborhood druggability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STRING graph + KG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Druggability (omics)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Pocket score, ligand density, tractability tier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ChEMBL + OT tractability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Text-based (NLP)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Novelty score (inv. PubMed), publication momentum, patent score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PubMed / patent counts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Clinical (NLP)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P-score (Phase 1 probability), trial density score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ClinicalTrials.gov</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Safety (omics + 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Broad expression liability, known AE score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GTEx + OT safety liabilities</w:t>
            </w:r>
          </w:p>
        </w:tc>
      </w:tr>
    </w:tbl>
    <w:p>
      <w:pPr>
        <w:spacing w:before="120" w:after="0"/>
      </w:pPr>
      <w:r>
        <w:t xml:space="preserve"/>
      </w:r>
    </w:p>
    <w:p>
      <w:pPr>
        <w:pStyle w:val="Heading2"/>
        <w:spacing w:before="320" w:after="120"/>
      </w:pPr>
      <w:r>
        <w:rPr>
          <w:rFonts w:ascii="Arial" w:cs="Arial" w:eastAsia="Arial" w:hAnsi="Arial"/>
          <w:b/>
          <w:bCs/>
          <w:color w:val="2C3E50"/>
          <w:sz w:val="26"/>
          <w:szCs w:val="26"/>
        </w:rPr>
        <w:t xml:space="preserve">7.2 P-Score (Phase 1 Entry Probability)</w:t>
      </w:r>
    </w:p>
    <w:p>
      <w:pPr>
        <w:spacing w:before="80" w:after="80" w:line="276"/>
      </w:pPr>
      <w:r>
        <w:rPr>
          <w:rFonts w:ascii="Arial" w:cs="Arial" w:eastAsia="Arial" w:hAnsi="Arial"/>
          <w:color w:val="1e1e1e"/>
          <w:sz w:val="20"/>
          <w:szCs w:val="20"/>
        </w:rPr>
        <w:t xml:space="preserve">P-score is a particularly important model that predicts the probability a target enters Phase 1 clinical trials within 5 years. It is trained on historical data of targets that did and did not progress to the clinic.</w:t>
      </w:r>
    </w:p>
    <w:p>
      <w:pPr>
        <w:pStyle w:val="ListParagraph"/>
        <w:numPr>
          <w:ilvl w:val="0"/>
          <w:numId w:val="2"/>
        </w:numPr>
        <w:spacing w:before="60" w:after="60"/>
      </w:pPr>
      <w:r>
        <w:rPr>
          <w:rFonts w:ascii="Arial" w:cs="Arial" w:eastAsia="Arial" w:hAnsi="Arial"/>
          <w:color w:val="1e1e1e"/>
          <w:sz w:val="20"/>
          <w:szCs w:val="20"/>
        </w:rPr>
        <w:t xml:space="preserve">Features: patent activity trend, publication growth rate, existing pipeline density for the target, structural tractability tier, genetic evidence strength</w:t>
      </w:r>
    </w:p>
    <w:p>
      <w:pPr>
        <w:pStyle w:val="ListParagraph"/>
        <w:numPr>
          <w:ilvl w:val="0"/>
          <w:numId w:val="2"/>
        </w:numPr>
        <w:spacing w:before="60" w:after="60"/>
      </w:pPr>
      <w:r>
        <w:rPr>
          <w:rFonts w:ascii="Arial" w:cs="Arial" w:eastAsia="Arial" w:hAnsi="Arial"/>
          <w:color w:val="1e1e1e"/>
          <w:sz w:val="20"/>
          <w:szCs w:val="20"/>
        </w:rPr>
        <w:t xml:space="preserve">Model: logistic regression or gradient boosted tree trained on Open Targets + ClinicalTrials historical data</w:t>
      </w:r>
    </w:p>
    <w:p>
      <w:pPr>
        <w:pStyle w:val="ListParagraph"/>
        <w:numPr>
          <w:ilvl w:val="0"/>
          <w:numId w:val="2"/>
        </w:numPr>
        <w:spacing w:before="60" w:after="60"/>
      </w:pPr>
      <w:r>
        <w:rPr>
          <w:rFonts w:ascii="Arial" w:cs="Arial" w:eastAsia="Arial" w:hAnsi="Arial"/>
          <w:color w:val="1e1e1e"/>
          <w:sz w:val="20"/>
          <w:szCs w:val="20"/>
        </w:rPr>
        <w:t xml:space="preserve">Label: was there a Phase 1 trial opened for this target within 5 years of a given snapshot date?</w:t>
      </w:r>
    </w:p>
    <w:p>
      <w:pPr>
        <w:pStyle w:val="ListParagraph"/>
        <w:numPr>
          <w:ilvl w:val="0"/>
          <w:numId w:val="2"/>
        </w:numPr>
        <w:spacing w:before="60" w:after="60"/>
      </w:pPr>
      <w:r>
        <w:rPr>
          <w:rFonts w:ascii="Arial" w:cs="Arial" w:eastAsia="Arial" w:hAnsi="Arial"/>
          <w:color w:val="1e1e1e"/>
          <w:sz w:val="20"/>
          <w:szCs w:val="20"/>
        </w:rPr>
        <w:t xml:space="preserve">This score also serves directly as one of the four RL reward proxies</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7.3 Composite Pre-RL Score</w:t>
      </w:r>
    </w:p>
    <w:p>
      <w:pPr>
        <w:spacing w:before="80" w:after="80" w:line="276"/>
      </w:pPr>
      <w:r>
        <w:rPr>
          <w:rFonts w:ascii="Arial" w:cs="Arial" w:eastAsia="Arial" w:hAnsi="Arial"/>
          <w:color w:val="1e1e1e"/>
          <w:sz w:val="20"/>
          <w:szCs w:val="20"/>
        </w:rPr>
        <w:t xml:space="preserve">Before the RL agent runs, a weighted composite of all 23 scores is computed as the initial ranking. This is the baseline the RL agent improves upon:</w:t>
      </w:r>
    </w:p>
    <w:p>
      <w:pPr>
        <w:shd w:fill="F4F4F4" w:val="clear"/>
        <w:spacing w:before="60" w:after="60"/>
        <w:ind w:left="720"/>
      </w:pPr>
      <w:r>
        <w:rPr>
          <w:rFonts w:ascii="Courier New" w:cs="Courier New" w:eastAsia="Courier New" w:hAnsi="Courier New"/>
          <w:color w:val="1A1A1A"/>
          <w:sz w:val="18"/>
          <w:szCs w:val="18"/>
        </w:rPr>
        <w:t xml:space="preserve">composite_score(t) = sum_i [ w_i * score_i(t) ]  for i in 1..23</w:t>
      </w:r>
    </w:p>
    <w:p>
      <w:pPr>
        <w:spacing w:before="80" w:after="80" w:line="276"/>
      </w:pPr>
      <w:r>
        <w:rPr>
          <w:rFonts w:ascii="Arial" w:cs="Arial" w:eastAsia="Arial" w:hAnsi="Arial"/>
          <w:color w:val="1e1e1e"/>
          <w:sz w:val="20"/>
          <w:szCs w:val="20"/>
        </w:rPr>
        <w:t xml:space="preserve">Initial weights w_i are equal (1/23). The RL agent learns to adjust these weights per indication.</w:t>
      </w:r>
    </w:p>
    <w:p>
      <w:pPr>
        <w:pStyle w:val="Heading1"/>
        <w:pBdr>
          <w:bottom w:val="single" w:color="1A56A0" w:sz="6" w:space="4"/>
        </w:pBdr>
        <w:spacing w:before="400" w:after="160"/>
      </w:pPr>
      <w:r>
        <w:rPr>
          <w:rFonts w:ascii="Arial" w:cs="Arial" w:eastAsia="Arial" w:hAnsi="Arial"/>
          <w:b/>
          <w:bCs/>
          <w:color w:val="1A56A0"/>
          <w:sz w:val="32"/>
          <w:szCs w:val="32"/>
        </w:rPr>
        <w:t xml:space="preserve">8. Reinforcement Learning Agent</w:t>
      </w:r>
    </w:p>
    <w:p>
      <w:pPr>
        <w:pStyle w:val="Heading2"/>
        <w:spacing w:before="320" w:after="120"/>
      </w:pPr>
      <w:r>
        <w:rPr>
          <w:rFonts w:ascii="Arial" w:cs="Arial" w:eastAsia="Arial" w:hAnsi="Arial"/>
          <w:b/>
          <w:bCs/>
          <w:color w:val="2C3E50"/>
          <w:sz w:val="26"/>
          <w:szCs w:val="26"/>
        </w:rPr>
        <w:t xml:space="preserve">8.1 Problem Formulation</w:t>
      </w:r>
    </w:p>
    <w:p>
      <w:pPr>
        <w:spacing w:before="80" w:after="80" w:line="276"/>
      </w:pPr>
      <w:r>
        <w:rPr>
          <w:rFonts w:ascii="Arial" w:cs="Arial" w:eastAsia="Arial" w:hAnsi="Arial"/>
          <w:color w:val="1e1e1e"/>
          <w:sz w:val="20"/>
          <w:szCs w:val="20"/>
        </w:rPr>
        <w:t xml:space="preserve">The target selection problem is formulated as a Contextual Multi-Armed Bandit (CMAB):</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7F6" w:val="clear"/>
            <w:tcMar>
              <w:top w:type="dxa" w:w="120"/>
              <w:left w:type="dxa" w:w="240"/>
              <w:bottom w:type="dxa" w:w="120"/>
              <w:right w:type="dxa" w:w="240"/>
            </w:tcMar>
          </w:tcPr>
          <w:p>
            <w:r>
              <w:rPr>
                <w:rFonts w:ascii="Arial" w:cs="Arial" w:eastAsia="Arial" w:hAnsi="Arial"/>
                <w:i/>
                <w:iCs/>
                <w:color w:val="1e1e1e"/>
                <w:sz w:val="20"/>
                <w:szCs w:val="20"/>
              </w:rPr>
              <w:t xml:space="preserve">Each candidate target = one 'arm'. The context = feature vector of that target. Pulling an arm = selecting that target to investigate. Reward = revealed after selection from computational proxies. The agent learns which context features predict high reward.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RL Component</w:t>
            </w:r>
          </w:p>
        </w:tc>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6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State 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Matrix of shape [N_targets × N_features] — one row per candidate target, one column per feature (scores + KG embedding)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numpy array / torch tensor, updated each step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Action 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Integer index i ∈ [0, N_targets] — which target to select next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argmax of UCB or Thompson sampling policy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Reward 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Scalar computed from 4 computational proxies for the selected target (see Section 8.3)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Weighted sum of proxy scores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Transition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Selected target removed from pool; KG neighborhood scores of remaining targets optionally updated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Set target as 'investigated'; re-score neighbors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Episode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Starts with N candidate targets for indication X; ends when budget B targets selected (e.g., top 10)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Loop of B steps per indication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Goal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Maximize cumulative reward = select the B targets with highest true quality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Policy optimization across episodes</w:t>
            </w:r>
          </w:p>
        </w:tc>
      </w:tr>
    </w:tbl>
    <w:p>
      <w:pPr>
        <w:spacing w:before="120" w:after="0"/>
      </w:pPr>
      <w:r>
        <w:t xml:space="preserve"/>
      </w:r>
    </w:p>
    <w:p>
      <w:pPr>
        <w:pStyle w:val="Heading2"/>
        <w:spacing w:before="320" w:after="120"/>
      </w:pPr>
      <w:r>
        <w:rPr>
          <w:rFonts w:ascii="Arial" w:cs="Arial" w:eastAsia="Arial" w:hAnsi="Arial"/>
          <w:b/>
          <w:bCs/>
          <w:color w:val="2C3E50"/>
          <w:sz w:val="26"/>
          <w:szCs w:val="26"/>
        </w:rPr>
        <w:t xml:space="preserve">8.2 State Vector Construction</w:t>
      </w:r>
    </w:p>
    <w:p>
      <w:pPr>
        <w:spacing w:before="80" w:after="80" w:line="276"/>
      </w:pPr>
      <w:r>
        <w:rPr>
          <w:rFonts w:ascii="Arial" w:cs="Arial" w:eastAsia="Arial" w:hAnsi="Arial"/>
          <w:color w:val="1e1e1e"/>
          <w:sz w:val="20"/>
          <w:szCs w:val="20"/>
        </w:rPr>
        <w:t xml:space="preserve">Each target is represented as a feature vector concatenating scalar scores and the KG embedding:</w:t>
      </w:r>
    </w:p>
    <w:p>
      <w:pPr>
        <w:shd w:fill="F4F4F4" w:val="clear"/>
        <w:spacing w:before="60" w:after="60"/>
        <w:ind w:left="720"/>
      </w:pPr>
      <w:r>
        <w:rPr>
          <w:rFonts w:ascii="Courier New" w:cs="Courier New" w:eastAsia="Courier New" w:hAnsi="Courier New"/>
          <w:color w:val="1A1A1A"/>
          <w:sz w:val="18"/>
          <w:szCs w:val="18"/>
        </w:rPr>
        <w:t xml:space="preserve">state_vector(t) = [</w:t>
      </w:r>
    </w:p>
    <w:p>
      <w:pPr>
        <w:shd w:fill="F4F4F4" w:val="clear"/>
        <w:spacing w:before="60" w:after="60"/>
        <w:ind w:left="720"/>
      </w:pPr>
      <w:r>
        <w:rPr>
          <w:rFonts w:ascii="Courier New" w:cs="Courier New" w:eastAsia="Courier New" w:hAnsi="Courier New"/>
          <w:color w:val="1A1A1A"/>
          <w:sz w:val="18"/>
          <w:szCs w:val="18"/>
        </w:rPr>
        <w:t xml:space="preserve">  transcriptomic_score,    # float [0,1]</w:t>
      </w:r>
    </w:p>
    <w:p>
      <w:pPr>
        <w:shd w:fill="F4F4F4" w:val="clear"/>
        <w:spacing w:before="60" w:after="60"/>
        <w:ind w:left="720"/>
      </w:pPr>
      <w:r>
        <w:rPr>
          <w:rFonts w:ascii="Courier New" w:cs="Courier New" w:eastAsia="Courier New" w:hAnsi="Courier New"/>
          <w:color w:val="1A1A1A"/>
          <w:sz w:val="18"/>
          <w:szCs w:val="18"/>
        </w:rPr>
        <w:t xml:space="preserve">  genetic_score,           # float [0,1]</w:t>
      </w:r>
    </w:p>
    <w:p>
      <w:pPr>
        <w:shd w:fill="F4F4F4" w:val="clear"/>
        <w:spacing w:before="60" w:after="60"/>
        <w:ind w:left="720"/>
      </w:pPr>
      <w:r>
        <w:rPr>
          <w:rFonts w:ascii="Courier New" w:cs="Courier New" w:eastAsia="Courier New" w:hAnsi="Courier New"/>
          <w:color w:val="1A1A1A"/>
          <w:sz w:val="18"/>
          <w:szCs w:val="18"/>
        </w:rPr>
        <w:t xml:space="preserve">  pathway_centrality,      # float [0,1]</w:t>
      </w:r>
    </w:p>
    <w:p>
      <w:pPr>
        <w:shd w:fill="F4F4F4" w:val="clear"/>
        <w:spacing w:before="60" w:after="60"/>
        <w:ind w:left="720"/>
      </w:pPr>
      <w:r>
        <w:rPr>
          <w:rFonts w:ascii="Courier New" w:cs="Courier New" w:eastAsia="Courier New" w:hAnsi="Courier New"/>
          <w:color w:val="1A1A1A"/>
          <w:sz w:val="18"/>
          <w:szCs w:val="18"/>
        </w:rPr>
        <w:t xml:space="preserve">  novelty_score,           # float [0,1]  (inverse pubmed)</w:t>
      </w:r>
    </w:p>
    <w:p>
      <w:pPr>
        <w:shd w:fill="F4F4F4" w:val="clear"/>
        <w:spacing w:before="60" w:after="60"/>
        <w:ind w:left="720"/>
      </w:pPr>
      <w:r>
        <w:rPr>
          <w:rFonts w:ascii="Courier New" w:cs="Courier New" w:eastAsia="Courier New" w:hAnsi="Courier New"/>
          <w:color w:val="1A1A1A"/>
          <w:sz w:val="18"/>
          <w:szCs w:val="18"/>
        </w:rPr>
        <w:t xml:space="preserve">  druggability_score,      # float [0,1]</w:t>
      </w:r>
    </w:p>
    <w:p>
      <w:pPr>
        <w:shd w:fill="F4F4F4" w:val="clear"/>
        <w:spacing w:before="60" w:after="60"/>
        <w:ind w:left="720"/>
      </w:pPr>
      <w:r>
        <w:rPr>
          <w:rFonts w:ascii="Courier New" w:cs="Courier New" w:eastAsia="Courier New" w:hAnsi="Courier New"/>
          <w:color w:val="1A1A1A"/>
          <w:sz w:val="18"/>
          <w:szCs w:val="18"/>
        </w:rPr>
        <w:t xml:space="preserve">  p_score,                 # float [0,1]  (Phase 1 probability)</w:t>
      </w:r>
    </w:p>
    <w:p>
      <w:pPr>
        <w:shd w:fill="F4F4F4" w:val="clear"/>
        <w:spacing w:before="60" w:after="60"/>
        <w:ind w:left="720"/>
      </w:pPr>
      <w:r>
        <w:rPr>
          <w:rFonts w:ascii="Courier New" w:cs="Courier New" w:eastAsia="Courier New" w:hAnsi="Courier New"/>
          <w:color w:val="1A1A1A"/>
          <w:sz w:val="18"/>
          <w:szCs w:val="18"/>
        </w:rPr>
        <w:t xml:space="preserve">  safety_score,            # float [0,1]</w:t>
      </w:r>
    </w:p>
    <w:p>
      <w:pPr>
        <w:shd w:fill="F4F4F4" w:val="clear"/>
        <w:spacing w:before="60" w:after="60"/>
        <w:ind w:left="720"/>
      </w:pPr>
      <w:r>
        <w:rPr>
          <w:rFonts w:ascii="Courier New" w:cs="Courier New" w:eastAsia="Courier New" w:hAnsi="Courier New"/>
          <w:color w:val="1A1A1A"/>
          <w:sz w:val="18"/>
          <w:szCs w:val="18"/>
        </w:rPr>
        <w:t xml:space="preserve">  depmap_essentiality,     # float [-3, 0]  (CERES score)</w:t>
      </w:r>
    </w:p>
    <w:p>
      <w:pPr>
        <w:shd w:fill="F4F4F4" w:val="clear"/>
        <w:spacing w:before="60" w:after="60"/>
        <w:ind w:left="720"/>
      </w:pPr>
      <w:r>
        <w:rPr>
          <w:rFonts w:ascii="Courier New" w:cs="Courier New" w:eastAsia="Courier New" w:hAnsi="Courier New"/>
          <w:color w:val="1A1A1A"/>
          <w:sz w:val="18"/>
          <w:szCs w:val="18"/>
        </w:rPr>
        <w:t xml:space="preserve">  kg_embedding[0..127]     # 128-dim graph embedding</w:t>
      </w:r>
    </w:p>
    <w:p>
      <w:pPr>
        <w:shd w:fill="F4F4F4" w:val="clear"/>
        <w:spacing w:before="60" w:after="60"/>
        <w:ind w:left="720"/>
      </w:pPr>
      <w:r>
        <w:rPr>
          <w:rFonts w:ascii="Courier New" w:cs="Courier New" w:eastAsia="Courier New" w:hAnsi="Courier New"/>
          <w:color w:val="1A1A1A"/>
          <w:sz w:val="18"/>
          <w:szCs w:val="18"/>
        </w:rPr>
        <w:t xml:space="preserve">]  # total dim = 8 + 128 = 136</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8.3 Reward Function</w:t>
      </w:r>
    </w:p>
    <w:p>
      <w:pPr>
        <w:spacing w:before="80" w:after="80" w:line="276"/>
      </w:pPr>
      <w:r>
        <w:rPr>
          <w:rFonts w:ascii="Arial" w:cs="Arial" w:eastAsia="Arial" w:hAnsi="Arial"/>
          <w:color w:val="1e1e1e"/>
          <w:sz w:val="20"/>
          <w:szCs w:val="20"/>
        </w:rPr>
        <w:t xml:space="preserve">Reward is computed from four computational proxies, each replacing a specific wet-lab signal: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000"/>
        <w:gridCol w:w="1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Proxy</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Replaces</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Preclinical progression outcome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ClinicalTrials + patents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0.30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[0,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DepMap essentiality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CRISPR knockdown assay IC50 proxy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DepMap CERES scores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0.30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[-3, 0] → normalized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Open Targets genetic 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Human genetic perturbation experiment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OT GraphQL API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0.30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[0,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Novelty penalty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White space signal (avoid overcrowded targets)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PubMed Entrez count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-0.10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[0, 1] → subtracted</w:t>
            </w:r>
          </w:p>
        </w:tc>
      </w:tr>
    </w:tbl>
    <w:p>
      <w:pPr>
        <w:spacing w:before="120" w:after="0"/>
      </w:pPr>
      <w:r>
        <w:t xml:space="preserve"/>
      </w:r>
    </w:p>
    <w:p>
      <w:pPr>
        <w:shd w:fill="F4F4F4" w:val="clear"/>
        <w:spacing w:before="60" w:after="60"/>
        <w:ind w:left="720"/>
      </w:pPr>
      <w:r>
        <w:rPr>
          <w:rFonts w:ascii="Courier New" w:cs="Courier New" w:eastAsia="Courier New" w:hAnsi="Courier New"/>
          <w:color w:val="1A1A1A"/>
          <w:sz w:val="18"/>
          <w:szCs w:val="18"/>
        </w:rPr>
        <w:t xml:space="preserve">R(t) = 0.30 * P_score(t)</w:t>
      </w:r>
    </w:p>
    <w:p>
      <w:pPr>
        <w:shd w:fill="F4F4F4" w:val="clear"/>
        <w:spacing w:before="60" w:after="60"/>
        <w:ind w:left="720"/>
      </w:pPr>
      <w:r>
        <w:rPr>
          <w:rFonts w:ascii="Courier New" w:cs="Courier New" w:eastAsia="Courier New" w:hAnsi="Courier New"/>
          <w:color w:val="1A1A1A"/>
          <w:sz w:val="18"/>
          <w:szCs w:val="18"/>
        </w:rPr>
        <w:t xml:space="preserve">     + 0.30 * normalize(DepMap_CERES(t))</w:t>
      </w:r>
    </w:p>
    <w:p>
      <w:pPr>
        <w:shd w:fill="F4F4F4" w:val="clear"/>
        <w:spacing w:before="60" w:after="60"/>
        <w:ind w:left="720"/>
      </w:pPr>
      <w:r>
        <w:rPr>
          <w:rFonts w:ascii="Courier New" w:cs="Courier New" w:eastAsia="Courier New" w:hAnsi="Courier New"/>
          <w:color w:val="1A1A1A"/>
          <w:sz w:val="18"/>
          <w:szCs w:val="18"/>
        </w:rPr>
        <w:t xml:space="preserve">     + 0.30 * OT_genetic_score(t)</w:t>
      </w:r>
    </w:p>
    <w:p>
      <w:pPr>
        <w:shd w:fill="F4F4F4" w:val="clear"/>
        <w:spacing w:before="60" w:after="60"/>
        <w:ind w:left="720"/>
      </w:pPr>
      <w:r>
        <w:rPr>
          <w:rFonts w:ascii="Courier New" w:cs="Courier New" w:eastAsia="Courier New" w:hAnsi="Courier New"/>
          <w:color w:val="1A1A1A"/>
          <w:sz w:val="18"/>
          <w:szCs w:val="18"/>
        </w:rPr>
        <w:t xml:space="preserve">     - 0.10 * pubmed_saturation(t)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20"/>
              <w:left w:type="dxa" w:w="240"/>
              <w:bottom w:type="dxa" w:w="120"/>
              <w:right w:type="dxa" w:w="240"/>
            </w:tcMar>
          </w:tcPr>
          <w:p>
            <w:r>
              <w:rPr>
                <w:rFonts w:ascii="Arial" w:cs="Arial" w:eastAsia="Arial" w:hAnsi="Arial"/>
                <w:i/>
                <w:iCs/>
                <w:color w:val="1e1e1e"/>
                <w:sz w:val="20"/>
                <w:szCs w:val="20"/>
              </w:rPr>
              <w:t xml:space="preserve">Important: DepMap essentiality is the CERES score from genome-wide CRISPR knockout screens across 1000+ cell lines. A score of -1 = moderately essential; -2 = strongly essential. Normalize to [0,1] by: (score - min) / (max - min) across all genes in disease-relevant cell lines.</w:t>
            </w:r>
          </w:p>
        </w:tc>
      </w:tr>
    </w:tbl>
    <w:p>
      <w:pPr>
        <w:spacing w:before="120" w:after="0"/>
      </w:pPr>
      <w:r>
        <w:t xml:space="preserve"/>
      </w:r>
    </w:p>
    <w:p>
      <w:pPr>
        <w:pStyle w:val="Heading2"/>
        <w:spacing w:before="320" w:after="120"/>
      </w:pPr>
      <w:r>
        <w:rPr>
          <w:rFonts w:ascii="Arial" w:cs="Arial" w:eastAsia="Arial" w:hAnsi="Arial"/>
          <w:b/>
          <w:bCs/>
          <w:color w:val="2C3E50"/>
          <w:sz w:val="26"/>
          <w:szCs w:val="26"/>
        </w:rPr>
        <w:t xml:space="preserve">8.4 Algorithm — LinUCB Contextual Bandit</w:t>
      </w:r>
    </w:p>
    <w:p>
      <w:pPr>
        <w:spacing w:before="80" w:after="80" w:line="276"/>
      </w:pPr>
      <w:r>
        <w:rPr>
          <w:rFonts w:ascii="Arial" w:cs="Arial" w:eastAsia="Arial" w:hAnsi="Arial"/>
          <w:color w:val="1e1e1e"/>
          <w:sz w:val="20"/>
          <w:szCs w:val="20"/>
        </w:rPr>
        <w:t xml:space="preserve">We use LinUCB (Linear Upper Confidence Bound) as the RL algorithm. It is well-suited to this problem because:</w:t>
      </w:r>
    </w:p>
    <w:p>
      <w:pPr>
        <w:pStyle w:val="ListParagraph"/>
        <w:numPr>
          <w:ilvl w:val="0"/>
          <w:numId w:val="2"/>
        </w:numPr>
        <w:spacing w:before="60" w:after="60"/>
      </w:pPr>
      <w:r>
        <w:rPr>
          <w:rFonts w:ascii="Arial" w:cs="Arial" w:eastAsia="Arial" w:hAnsi="Arial"/>
          <w:color w:val="1e1e1e"/>
          <w:sz w:val="20"/>
          <w:szCs w:val="20"/>
        </w:rPr>
        <w:t xml:space="preserve">The reward is approximately linear in context features (biologically plausible)</w:t>
      </w:r>
    </w:p>
    <w:p>
      <w:pPr>
        <w:pStyle w:val="ListParagraph"/>
        <w:numPr>
          <w:ilvl w:val="0"/>
          <w:numId w:val="2"/>
        </w:numPr>
        <w:spacing w:before="60" w:after="60"/>
      </w:pPr>
      <w:r>
        <w:rPr>
          <w:rFonts w:ascii="Arial" w:cs="Arial" w:eastAsia="Arial" w:hAnsi="Arial"/>
          <w:color w:val="1e1e1e"/>
          <w:sz w:val="20"/>
          <w:szCs w:val="20"/>
        </w:rPr>
        <w:t xml:space="preserve">It has closed-form updates (no neural net training required for the hackathon version)</w:t>
      </w:r>
    </w:p>
    <w:p>
      <w:pPr>
        <w:pStyle w:val="ListParagraph"/>
        <w:numPr>
          <w:ilvl w:val="0"/>
          <w:numId w:val="2"/>
        </w:numPr>
        <w:spacing w:before="60" w:after="60"/>
      </w:pPr>
      <w:r>
        <w:rPr>
          <w:rFonts w:ascii="Arial" w:cs="Arial" w:eastAsia="Arial" w:hAnsi="Arial"/>
          <w:color w:val="1e1e1e"/>
          <w:sz w:val="20"/>
          <w:szCs w:val="20"/>
        </w:rPr>
        <w:t xml:space="preserve">Exploration-exploitation is handled via the UCB bonus (alpha parameter)</w:t>
      </w:r>
    </w:p>
    <w:p>
      <w:pPr>
        <w:spacing w:before="80" w:after="0"/>
      </w:pPr>
      <w:r>
        <w:t xml:space="preserve"/>
      </w:r>
    </w:p>
    <w:p>
      <w:pPr>
        <w:pStyle w:val="Heading3"/>
        <w:spacing w:before="240" w:after="80"/>
      </w:pPr>
      <w:r>
        <w:rPr>
          <w:rFonts w:ascii="Arial" w:cs="Arial" w:eastAsia="Arial" w:hAnsi="Arial"/>
          <w:b/>
          <w:bCs/>
          <w:color w:val="34495E"/>
          <w:sz w:val="22"/>
          <w:szCs w:val="22"/>
        </w:rPr>
        <w:t xml:space="preserve">Algorithm</w:t>
      </w:r>
    </w:p>
    <w:p>
      <w:pPr>
        <w:shd w:fill="F4F4F4" w:val="clear"/>
        <w:spacing w:before="60" w:after="60"/>
        <w:ind w:left="720"/>
      </w:pPr>
      <w:r>
        <w:rPr>
          <w:rFonts w:ascii="Courier New" w:cs="Courier New" w:eastAsia="Courier New" w:hAnsi="Courier New"/>
          <w:color w:val="1A1A1A"/>
          <w:sz w:val="18"/>
          <w:szCs w:val="18"/>
        </w:rPr>
        <w:t xml:space="preserve"># Initialization</w:t>
      </w:r>
    </w:p>
    <w:p>
      <w:pPr>
        <w:shd w:fill="F4F4F4" w:val="clear"/>
        <w:spacing w:before="60" w:after="60"/>
        <w:ind w:left="720"/>
      </w:pPr>
      <w:r>
        <w:rPr>
          <w:rFonts w:ascii="Courier New" w:cs="Courier New" w:eastAsia="Courier New" w:hAnsi="Courier New"/>
          <w:color w:val="1A1A1A"/>
          <w:sz w:val="18"/>
          <w:szCs w:val="18"/>
        </w:rPr>
        <w:t xml:space="preserve">A = I  (d×d identity matrix, d = feature dim = 136)</w:t>
      </w:r>
    </w:p>
    <w:p>
      <w:pPr>
        <w:shd w:fill="F4F4F4" w:val="clear"/>
        <w:spacing w:before="60" w:after="60"/>
        <w:ind w:left="720"/>
      </w:pPr>
      <w:r>
        <w:rPr>
          <w:rFonts w:ascii="Courier New" w:cs="Courier New" w:eastAsia="Courier New" w:hAnsi="Courier New"/>
          <w:color w:val="1A1A1A"/>
          <w:sz w:val="18"/>
          <w:szCs w:val="18"/>
        </w:rPr>
        <w:t xml:space="preserve">b = 0  (d-dim zero vector)</w:t>
      </w:r>
    </w:p>
    <w:p>
      <w:pPr>
        <w:shd w:fill="F4F4F4" w:val="clear"/>
        <w:spacing w:before="60" w:after="60"/>
        <w:ind w:left="720"/>
      </w:pPr>
      <w:r>
        <w:rPr>
          <w:rFonts w:ascii="Courier New" w:cs="Courier New" w:eastAsia="Courier New" w:hAnsi="Courier New"/>
          <w:color w:val="1A1A1A"/>
          <w:sz w:val="18"/>
          <w:szCs w:val="18"/>
        </w:rPr>
        <w:t xml:space="preserve"/>
      </w:r>
    </w:p>
    <w:p>
      <w:pPr>
        <w:shd w:fill="F4F4F4" w:val="clear"/>
        <w:spacing w:before="60" w:after="60"/>
        <w:ind w:left="720"/>
      </w:pPr>
      <w:r>
        <w:rPr>
          <w:rFonts w:ascii="Courier New" w:cs="Courier New" w:eastAsia="Courier New" w:hAnsi="Courier New"/>
          <w:color w:val="1A1A1A"/>
          <w:sz w:val="18"/>
          <w:szCs w:val="18"/>
        </w:rPr>
        <w:t xml:space="preserve"># Per step:</w:t>
      </w:r>
    </w:p>
    <w:p>
      <w:pPr>
        <w:shd w:fill="F4F4F4" w:val="clear"/>
        <w:spacing w:before="60" w:after="60"/>
        <w:ind w:left="720"/>
      </w:pPr>
      <w:r>
        <w:rPr>
          <w:rFonts w:ascii="Courier New" w:cs="Courier New" w:eastAsia="Courier New" w:hAnsi="Courier New"/>
          <w:color w:val="1A1A1A"/>
          <w:sz w:val="18"/>
          <w:szCs w:val="18"/>
        </w:rPr>
        <w:t xml:space="preserve">theta = A^-1 @ b                    # current parameter estimate</w:t>
      </w:r>
    </w:p>
    <w:p>
      <w:pPr>
        <w:shd w:fill="F4F4F4" w:val="clear"/>
        <w:spacing w:before="60" w:after="60"/>
        <w:ind w:left="720"/>
      </w:pPr>
      <w:r>
        <w:rPr>
          <w:rFonts w:ascii="Courier New" w:cs="Courier New" w:eastAsia="Courier New" w:hAnsi="Courier New"/>
          <w:color w:val="1A1A1A"/>
          <w:sz w:val="18"/>
          <w:szCs w:val="18"/>
        </w:rPr>
        <w:t xml:space="preserve">for each arm t in remaining targets:</w:t>
      </w:r>
    </w:p>
    <w:p>
      <w:pPr>
        <w:shd w:fill="F4F4F4" w:val="clear"/>
        <w:spacing w:before="60" w:after="60"/>
        <w:ind w:left="720"/>
      </w:pPr>
      <w:r>
        <w:rPr>
          <w:rFonts w:ascii="Courier New" w:cs="Courier New" w:eastAsia="Courier New" w:hAnsi="Courier New"/>
          <w:color w:val="1A1A1A"/>
          <w:sz w:val="18"/>
          <w:szCs w:val="18"/>
        </w:rPr>
        <w:t xml:space="preserve">    p_t = theta @ x_t               # predicted reward</w:t>
      </w:r>
    </w:p>
    <w:p>
      <w:pPr>
        <w:shd w:fill="F4F4F4" w:val="clear"/>
        <w:spacing w:before="60" w:after="60"/>
        <w:ind w:left="720"/>
      </w:pPr>
      <w:r>
        <w:rPr>
          <w:rFonts w:ascii="Courier New" w:cs="Courier New" w:eastAsia="Courier New" w:hAnsi="Courier New"/>
          <w:color w:val="1A1A1A"/>
          <w:sz w:val="18"/>
          <w:szCs w:val="18"/>
        </w:rPr>
        <w:t xml:space="preserve">        + alpha * sqrt(x_t @ A^-1 @ x_t)  # UCB bonus</w:t>
      </w:r>
    </w:p>
    <w:p>
      <w:pPr>
        <w:shd w:fill="F4F4F4" w:val="clear"/>
        <w:spacing w:before="60" w:after="60"/>
        <w:ind w:left="720"/>
      </w:pPr>
      <w:r>
        <w:rPr>
          <w:rFonts w:ascii="Courier New" w:cs="Courier New" w:eastAsia="Courier New" w:hAnsi="Courier New"/>
          <w:color w:val="1A1A1A"/>
          <w:sz w:val="18"/>
          <w:szCs w:val="18"/>
        </w:rPr>
        <w:t xml:space="preserve">action = argmax_t(p_t)              # select arm with highest UCB</w:t>
      </w:r>
    </w:p>
    <w:p>
      <w:pPr>
        <w:shd w:fill="F4F4F4" w:val="clear"/>
        <w:spacing w:before="60" w:after="60"/>
        <w:ind w:left="720"/>
      </w:pPr>
      <w:r>
        <w:rPr>
          <w:rFonts w:ascii="Courier New" w:cs="Courier New" w:eastAsia="Courier New" w:hAnsi="Courier New"/>
          <w:color w:val="1A1A1A"/>
          <w:sz w:val="18"/>
          <w:szCs w:val="18"/>
        </w:rPr>
        <w:t xml:space="preserve">observe reward r</w:t>
      </w:r>
    </w:p>
    <w:p>
      <w:pPr>
        <w:shd w:fill="F4F4F4" w:val="clear"/>
        <w:spacing w:before="60" w:after="60"/>
        <w:ind w:left="720"/>
      </w:pPr>
      <w:r>
        <w:rPr>
          <w:rFonts w:ascii="Courier New" w:cs="Courier New" w:eastAsia="Courier New" w:hAnsi="Courier New"/>
          <w:color w:val="1A1A1A"/>
          <w:sz w:val="18"/>
          <w:szCs w:val="18"/>
        </w:rPr>
        <w:t xml:space="preserve">A = A + x_action @ x_action.T       # update</w:t>
      </w:r>
    </w:p>
    <w:p>
      <w:pPr>
        <w:shd w:fill="F4F4F4" w:val="clear"/>
        <w:spacing w:before="60" w:after="60"/>
        <w:ind w:left="720"/>
      </w:pPr>
      <w:r>
        <w:rPr>
          <w:rFonts w:ascii="Courier New" w:cs="Courier New" w:eastAsia="Courier New" w:hAnsi="Courier New"/>
          <w:color w:val="1A1A1A"/>
          <w:sz w:val="18"/>
          <w:szCs w:val="18"/>
        </w:rPr>
        <w:t xml:space="preserve">b = b + r * x_action</w:t>
      </w:r>
    </w:p>
    <w:p>
      <w:pPr>
        <w:spacing w:before="120" w:after="0"/>
      </w:pPr>
      <w:r>
        <w:t xml:space="preserve"/>
      </w:r>
    </w:p>
    <w:p>
      <w:pPr>
        <w:pStyle w:val="Heading3"/>
        <w:spacing w:before="240" w:after="80"/>
      </w:pPr>
      <w:r>
        <w:rPr>
          <w:rFonts w:ascii="Arial" w:cs="Arial" w:eastAsia="Arial" w:hAnsi="Arial"/>
          <w:b/>
          <w:bCs/>
          <w:color w:val="34495E"/>
          <w:sz w:val="22"/>
          <w:szCs w:val="22"/>
        </w:rPr>
        <w:t xml:space="preserve">Warm-Start from Historical Data</w:t>
      </w:r>
    </w:p>
    <w:p>
      <w:pPr>
        <w:spacing w:before="80" w:after="80" w:line="276"/>
      </w:pPr>
      <w:r>
        <w:rPr>
          <w:rFonts w:ascii="Arial" w:cs="Arial" w:eastAsia="Arial" w:hAnsi="Arial"/>
          <w:color w:val="1e1e1e"/>
          <w:sz w:val="20"/>
          <w:szCs w:val="20"/>
        </w:rPr>
        <w:t xml:space="preserve">Before running on a new indication, pre-train the agent on historical Open Targets data:</w:t>
      </w:r>
    </w:p>
    <w:p>
      <w:pPr>
        <w:pStyle w:val="ListParagraph"/>
        <w:numPr>
          <w:ilvl w:val="0"/>
          <w:numId w:val="2"/>
        </w:numPr>
        <w:spacing w:before="60" w:after="60"/>
      </w:pPr>
      <w:r>
        <w:rPr>
          <w:rFonts w:ascii="Arial" w:cs="Arial" w:eastAsia="Arial" w:hAnsi="Arial"/>
          <w:color w:val="1e1e1e"/>
          <w:sz w:val="20"/>
          <w:szCs w:val="20"/>
        </w:rPr>
        <w:t xml:space="preserve">For each (target, indication) pair in OT where a drug entered trials: set reward = 1</w:t>
      </w:r>
    </w:p>
    <w:p>
      <w:pPr>
        <w:pStyle w:val="ListParagraph"/>
        <w:numPr>
          <w:ilvl w:val="0"/>
          <w:numId w:val="2"/>
        </w:numPr>
        <w:spacing w:before="60" w:after="60"/>
      </w:pPr>
      <w:r>
        <w:rPr>
          <w:rFonts w:ascii="Arial" w:cs="Arial" w:eastAsia="Arial" w:hAnsi="Arial"/>
          <w:color w:val="1e1e1e"/>
          <w:sz w:val="20"/>
          <w:szCs w:val="20"/>
        </w:rPr>
        <w:t xml:space="preserve">For pairs where no drug progressed: set reward = 0</w:t>
      </w:r>
    </w:p>
    <w:p>
      <w:pPr>
        <w:pStyle w:val="ListParagraph"/>
        <w:numPr>
          <w:ilvl w:val="0"/>
          <w:numId w:val="2"/>
        </w:numPr>
        <w:spacing w:before="60" w:after="60"/>
      </w:pPr>
      <w:r>
        <w:rPr>
          <w:rFonts w:ascii="Arial" w:cs="Arial" w:eastAsia="Arial" w:hAnsi="Arial"/>
          <w:color w:val="1e1e1e"/>
          <w:sz w:val="20"/>
          <w:szCs w:val="20"/>
        </w:rPr>
        <w:t xml:space="preserve">Run supervised pre-training: fit theta on this dataset before any RL exploration</w:t>
      </w:r>
    </w:p>
    <w:p>
      <w:pPr>
        <w:pStyle w:val="ListParagraph"/>
        <w:numPr>
          <w:ilvl w:val="0"/>
          <w:numId w:val="2"/>
        </w:numPr>
        <w:spacing w:before="60" w:after="60"/>
      </w:pPr>
      <w:r>
        <w:rPr>
          <w:rFonts w:ascii="Arial" w:cs="Arial" w:eastAsia="Arial" w:hAnsi="Arial"/>
          <w:color w:val="1e1e1e"/>
          <w:sz w:val="20"/>
          <w:szCs w:val="20"/>
        </w:rPr>
        <w:t xml:space="preserve">This avoids cold-start and is realistic — OT has thousands of validated target-indication pairs</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8.5 Advanced Version — PPO with GNN Policy</w:t>
      </w:r>
    </w:p>
    <w:p>
      <w:pPr>
        <w:spacing w:before="80" w:after="80" w:line="276"/>
      </w:pPr>
      <w:r>
        <w:rPr>
          <w:rFonts w:ascii="Arial" w:cs="Arial" w:eastAsia="Arial" w:hAnsi="Arial"/>
          <w:color w:val="1e1e1e"/>
          <w:sz w:val="20"/>
          <w:szCs w:val="20"/>
        </w:rPr>
        <w:t xml:space="preserve">For the full production version, replace LinUCB with a PPO agent whose policy network is a GNN operating directly over the KG subgraph:</w:t>
      </w:r>
    </w:p>
    <w:p>
      <w:pPr>
        <w:pStyle w:val="ListParagraph"/>
        <w:numPr>
          <w:ilvl w:val="0"/>
          <w:numId w:val="2"/>
        </w:numPr>
        <w:spacing w:before="60" w:after="60"/>
      </w:pPr>
      <w:r>
        <w:rPr>
          <w:rFonts w:ascii="Arial" w:cs="Arial" w:eastAsia="Arial" w:hAnsi="Arial"/>
          <w:color w:val="1e1e1e"/>
          <w:sz w:val="20"/>
          <w:szCs w:val="20"/>
        </w:rPr>
        <w:t xml:space="preserve">State: the KG subgraph for the indication (heterogeneous graph)</w:t>
      </w:r>
    </w:p>
    <w:p>
      <w:pPr>
        <w:pStyle w:val="ListParagraph"/>
        <w:numPr>
          <w:ilvl w:val="0"/>
          <w:numId w:val="2"/>
        </w:numPr>
        <w:spacing w:before="60" w:after="60"/>
      </w:pPr>
      <w:r>
        <w:rPr>
          <w:rFonts w:ascii="Arial" w:cs="Arial" w:eastAsia="Arial" w:hAnsi="Arial"/>
          <w:color w:val="1e1e1e"/>
          <w:sz w:val="20"/>
          <w:szCs w:val="20"/>
        </w:rPr>
        <w:t xml:space="preserve">Policy network: R-GCN → MLP → action logits over all targets</w:t>
      </w:r>
    </w:p>
    <w:p>
      <w:pPr>
        <w:pStyle w:val="ListParagraph"/>
        <w:numPr>
          <w:ilvl w:val="0"/>
          <w:numId w:val="2"/>
        </w:numPr>
        <w:spacing w:before="60" w:after="60"/>
      </w:pPr>
      <w:r>
        <w:rPr>
          <w:rFonts w:ascii="Arial" w:cs="Arial" w:eastAsia="Arial" w:hAnsi="Arial"/>
          <w:color w:val="1e1e1e"/>
          <w:sz w:val="20"/>
          <w:szCs w:val="20"/>
        </w:rPr>
        <w:t xml:space="preserve">This allows the agent to reason about the relational structure of targets, not just their individual features</w:t>
      </w:r>
    </w:p>
    <w:p>
      <w:pPr>
        <w:pStyle w:val="ListParagraph"/>
        <w:numPr>
          <w:ilvl w:val="0"/>
          <w:numId w:val="2"/>
        </w:numPr>
        <w:spacing w:before="60" w:after="60"/>
      </w:pPr>
      <w:r>
        <w:rPr>
          <w:rFonts w:ascii="Arial" w:cs="Arial" w:eastAsia="Arial" w:hAnsi="Arial"/>
          <w:color w:val="1e1e1e"/>
          <w:sz w:val="20"/>
          <w:szCs w:val="20"/>
        </w:rPr>
        <w:t xml:space="preserve">Libraries: torch_geometric, stable-baselines3 or trl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F5EA" w:val="clear"/>
            <w:tcMar>
              <w:top w:type="dxa" w:w="120"/>
              <w:left w:type="dxa" w:w="240"/>
              <w:bottom w:type="dxa" w:w="120"/>
              <w:right w:type="dxa" w:w="240"/>
            </w:tcMar>
          </w:tcPr>
          <w:p>
            <w:r>
              <w:rPr>
                <w:rFonts w:ascii="Arial" w:cs="Arial" w:eastAsia="Arial" w:hAnsi="Arial"/>
                <w:i/>
                <w:iCs/>
                <w:color w:val="1e1e1e"/>
                <w:sz w:val="20"/>
                <w:szCs w:val="20"/>
              </w:rPr>
              <w:t xml:space="preserve">For the hackathon / initial build: start with LinUCB. It is interpretable, fast, and produces good results. Upgrade to PPO+GNN as a v2.</w:t>
            </w:r>
          </w:p>
        </w:tc>
      </w:tr>
    </w:tbl>
    <w:p>
      <w:pPr>
        <w:pStyle w:val="Heading1"/>
        <w:pBdr>
          <w:bottom w:val="single" w:color="1A56A0" w:sz="6" w:space="4"/>
        </w:pBdr>
        <w:spacing w:before="400" w:after="160"/>
      </w:pPr>
      <w:r>
        <w:rPr>
          <w:rFonts w:ascii="Arial" w:cs="Arial" w:eastAsia="Arial" w:hAnsi="Arial"/>
          <w:b/>
          <w:bCs/>
          <w:color w:val="1A56A0"/>
          <w:sz w:val="32"/>
          <w:szCs w:val="32"/>
        </w:rPr>
        <w:t xml:space="preserve">9. Reward Proxy Implementation Details</w:t>
      </w:r>
    </w:p>
    <w:p>
      <w:pPr>
        <w:pStyle w:val="Heading2"/>
        <w:spacing w:before="320" w:after="120"/>
      </w:pPr>
      <w:r>
        <w:rPr>
          <w:rFonts w:ascii="Arial" w:cs="Arial" w:eastAsia="Arial" w:hAnsi="Arial"/>
          <w:b/>
          <w:bCs/>
          <w:color w:val="2C3E50"/>
          <w:sz w:val="26"/>
          <w:szCs w:val="26"/>
        </w:rPr>
        <w:t xml:space="preserve">9.1 P-Score (Phase 1 Probability)</w:t>
      </w:r>
    </w:p>
    <w:p>
      <w:pPr>
        <w:pStyle w:val="Heading3"/>
        <w:spacing w:before="240" w:after="80"/>
      </w:pPr>
      <w:r>
        <w:rPr>
          <w:rFonts w:ascii="Arial" w:cs="Arial" w:eastAsia="Arial" w:hAnsi="Arial"/>
          <w:b/>
          <w:bCs/>
          <w:color w:val="34495E"/>
          <w:sz w:val="22"/>
          <w:szCs w:val="22"/>
        </w:rPr>
        <w:t xml:space="preserve">Training Data</w:t>
      </w:r>
    </w:p>
    <w:p>
      <w:pPr>
        <w:pStyle w:val="ListParagraph"/>
        <w:numPr>
          <w:ilvl w:val="0"/>
          <w:numId w:val="2"/>
        </w:numPr>
        <w:spacing w:before="60" w:after="60"/>
      </w:pPr>
      <w:r>
        <w:rPr>
          <w:rFonts w:ascii="Arial" w:cs="Arial" w:eastAsia="Arial" w:hAnsi="Arial"/>
          <w:color w:val="1e1e1e"/>
          <w:sz w:val="20"/>
          <w:szCs w:val="20"/>
        </w:rPr>
        <w:t xml:space="preserve">Positive labels: targets with a drug in Phase 1+ (from ChEMBL max_phase ≥ 1, joined on target Ensembl ID)</w:t>
      </w:r>
    </w:p>
    <w:p>
      <w:pPr>
        <w:pStyle w:val="ListParagraph"/>
        <w:numPr>
          <w:ilvl w:val="0"/>
          <w:numId w:val="2"/>
        </w:numPr>
        <w:spacing w:before="60" w:after="60"/>
      </w:pPr>
      <w:r>
        <w:rPr>
          <w:rFonts w:ascii="Arial" w:cs="Arial" w:eastAsia="Arial" w:hAnsi="Arial"/>
          <w:color w:val="1e1e1e"/>
          <w:sz w:val="20"/>
          <w:szCs w:val="20"/>
        </w:rPr>
        <w:t xml:space="preserve">Negative labels: targets with no drug in any phase, matched on indication</w:t>
      </w:r>
    </w:p>
    <w:p>
      <w:pPr>
        <w:pStyle w:val="ListParagraph"/>
        <w:numPr>
          <w:ilvl w:val="0"/>
          <w:numId w:val="2"/>
        </w:numPr>
        <w:spacing w:before="60" w:after="60"/>
      </w:pPr>
      <w:r>
        <w:rPr>
          <w:rFonts w:ascii="Arial" w:cs="Arial" w:eastAsia="Arial" w:hAnsi="Arial"/>
          <w:color w:val="1e1e1e"/>
          <w:sz w:val="20"/>
          <w:szCs w:val="20"/>
        </w:rPr>
        <w:t xml:space="preserve">Snapshot dates: use multiple historical snapshots (2015, 2018, 2021) to build a time-consistent dataset</w:t>
      </w:r>
    </w:p>
    <w:p>
      <w:pPr>
        <w:pStyle w:val="Heading3"/>
        <w:spacing w:before="240" w:after="80"/>
      </w:pPr>
      <w:r>
        <w:rPr>
          <w:rFonts w:ascii="Arial" w:cs="Arial" w:eastAsia="Arial" w:hAnsi="Arial"/>
          <w:b/>
          <w:bCs/>
          <w:color w:val="34495E"/>
          <w:sz w:val="22"/>
          <w:szCs w:val="22"/>
        </w:rPr>
        <w:t xml:space="preserve">Features for P-Score Model</w:t>
      </w:r>
    </w:p>
    <w:p>
      <w:pPr>
        <w:pStyle w:val="ListParagraph"/>
        <w:numPr>
          <w:ilvl w:val="0"/>
          <w:numId w:val="2"/>
        </w:numPr>
        <w:spacing w:before="60" w:after="60"/>
      </w:pPr>
      <w:r>
        <w:rPr>
          <w:rFonts w:ascii="Arial" w:cs="Arial" w:eastAsia="Arial" w:hAnsi="Arial"/>
          <w:color w:val="1e1e1e"/>
          <w:sz w:val="20"/>
          <w:szCs w:val="20"/>
        </w:rPr>
        <w:t xml:space="preserve">Patent count in prior 3 years (PubMed patent search)</w:t>
      </w:r>
    </w:p>
    <w:p>
      <w:pPr>
        <w:pStyle w:val="ListParagraph"/>
        <w:numPr>
          <w:ilvl w:val="0"/>
          <w:numId w:val="2"/>
        </w:numPr>
        <w:spacing w:before="60" w:after="60"/>
      </w:pPr>
      <w:r>
        <w:rPr>
          <w:rFonts w:ascii="Arial" w:cs="Arial" w:eastAsia="Arial" w:hAnsi="Arial"/>
          <w:color w:val="1e1e1e"/>
          <w:sz w:val="20"/>
          <w:szCs w:val="20"/>
        </w:rPr>
        <w:t xml:space="preserve">Publication count growth rate (year-over-year)</w:t>
      </w:r>
    </w:p>
    <w:p>
      <w:pPr>
        <w:pStyle w:val="ListParagraph"/>
        <w:numPr>
          <w:ilvl w:val="0"/>
          <w:numId w:val="2"/>
        </w:numPr>
        <w:spacing w:before="60" w:after="60"/>
      </w:pPr>
      <w:r>
        <w:rPr>
          <w:rFonts w:ascii="Arial" w:cs="Arial" w:eastAsia="Arial" w:hAnsi="Arial"/>
          <w:color w:val="1e1e1e"/>
          <w:sz w:val="20"/>
          <w:szCs w:val="20"/>
        </w:rPr>
        <w:t xml:space="preserve">Number of drug programs targeting this gene in any indication (ChEMBL)</w:t>
      </w:r>
    </w:p>
    <w:p>
      <w:pPr>
        <w:pStyle w:val="ListParagraph"/>
        <w:numPr>
          <w:ilvl w:val="0"/>
          <w:numId w:val="2"/>
        </w:numPr>
        <w:spacing w:before="60" w:after="60"/>
      </w:pPr>
      <w:r>
        <w:rPr>
          <w:rFonts w:ascii="Arial" w:cs="Arial" w:eastAsia="Arial" w:hAnsi="Arial"/>
          <w:color w:val="1e1e1e"/>
          <w:sz w:val="20"/>
          <w:szCs w:val="20"/>
        </w:rPr>
        <w:t xml:space="preserve">OT tractability tier (small molecule / biologic / PROTAC)</w:t>
      </w:r>
    </w:p>
    <w:p>
      <w:pPr>
        <w:pStyle w:val="ListParagraph"/>
        <w:numPr>
          <w:ilvl w:val="0"/>
          <w:numId w:val="2"/>
        </w:numPr>
        <w:spacing w:before="60" w:after="60"/>
      </w:pPr>
      <w:r>
        <w:rPr>
          <w:rFonts w:ascii="Arial" w:cs="Arial" w:eastAsia="Arial" w:hAnsi="Arial"/>
          <w:color w:val="1e1e1e"/>
          <w:sz w:val="20"/>
          <w:szCs w:val="20"/>
        </w:rPr>
        <w:t xml:space="preserve">GWAS p-value minimum across all associated traits</w:t>
      </w:r>
    </w:p>
    <w:p>
      <w:pPr>
        <w:pStyle w:val="Heading3"/>
        <w:spacing w:before="240" w:after="80"/>
      </w:pPr>
      <w:r>
        <w:rPr>
          <w:rFonts w:ascii="Arial" w:cs="Arial" w:eastAsia="Arial" w:hAnsi="Arial"/>
          <w:b/>
          <w:bCs/>
          <w:color w:val="34495E"/>
          <w:sz w:val="22"/>
          <w:szCs w:val="22"/>
        </w:rPr>
        <w:t xml:space="preserve">Model</w:t>
      </w:r>
    </w:p>
    <w:p>
      <w:pPr>
        <w:shd w:fill="F4F4F4" w:val="clear"/>
        <w:spacing w:before="60" w:after="60"/>
        <w:ind w:left="720"/>
      </w:pPr>
      <w:r>
        <w:rPr>
          <w:rFonts w:ascii="Courier New" w:cs="Courier New" w:eastAsia="Courier New" w:hAnsi="Courier New"/>
          <w:color w:val="1A1A1A"/>
          <w:sz w:val="18"/>
          <w:szCs w:val="18"/>
        </w:rPr>
        <w:t xml:space="preserve">from sklearn.ensemble import GradientBoostingClassifier</w:t>
      </w:r>
    </w:p>
    <w:p>
      <w:pPr>
        <w:shd w:fill="F4F4F4" w:val="clear"/>
        <w:spacing w:before="60" w:after="60"/>
        <w:ind w:left="720"/>
      </w:pPr>
      <w:r>
        <w:rPr>
          <w:rFonts w:ascii="Courier New" w:cs="Courier New" w:eastAsia="Courier New" w:hAnsi="Courier New"/>
          <w:color w:val="1A1A1A"/>
          <w:sz w:val="18"/>
          <w:szCs w:val="18"/>
        </w:rPr>
        <w:t xml:space="preserve">p_score_model = GradientBoostingClassifier(n_estimators=200)</w:t>
      </w:r>
    </w:p>
    <w:p>
      <w:pPr>
        <w:shd w:fill="F4F4F4" w:val="clear"/>
        <w:spacing w:before="60" w:after="60"/>
        <w:ind w:left="720"/>
      </w:pPr>
      <w:r>
        <w:rPr>
          <w:rFonts w:ascii="Courier New" w:cs="Courier New" w:eastAsia="Courier New" w:hAnsi="Courier New"/>
          <w:color w:val="1A1A1A"/>
          <w:sz w:val="18"/>
          <w:szCs w:val="18"/>
        </w:rPr>
        <w:t xml:space="preserve">p_score_model.fit(X_train, y_train)  # y = entered Phase 1 within 5y</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9.2 DepMap Essentiality</w:t>
      </w:r>
    </w:p>
    <w:p>
      <w:pPr>
        <w:pStyle w:val="Heading3"/>
        <w:spacing w:before="240" w:after="80"/>
      </w:pPr>
      <w:r>
        <w:rPr>
          <w:rFonts w:ascii="Arial" w:cs="Arial" w:eastAsia="Arial" w:hAnsi="Arial"/>
          <w:b/>
          <w:bCs/>
          <w:color w:val="34495E"/>
          <w:sz w:val="22"/>
          <w:szCs w:val="22"/>
        </w:rPr>
        <w:t xml:space="preserve">Data Access</w:t>
      </w:r>
    </w:p>
    <w:p>
      <w:pPr>
        <w:shd w:fill="F4F4F4" w:val="clear"/>
        <w:spacing w:before="60" w:after="60"/>
        <w:ind w:left="720"/>
      </w:pPr>
      <w:r>
        <w:rPr>
          <w:rFonts w:ascii="Courier New" w:cs="Courier New" w:eastAsia="Courier New" w:hAnsi="Courier New"/>
          <w:color w:val="1A1A1A"/>
          <w:sz w:val="18"/>
          <w:szCs w:val="18"/>
        </w:rPr>
        <w:t xml:space="preserve"># DepMap public portal — download CRISPR_gene_effect.csv (CERES)</w:t>
      </w:r>
    </w:p>
    <w:p>
      <w:pPr>
        <w:shd w:fill="F4F4F4" w:val="clear"/>
        <w:spacing w:before="60" w:after="60"/>
        <w:ind w:left="720"/>
      </w:pPr>
      <w:r>
        <w:rPr>
          <w:rFonts w:ascii="Courier New" w:cs="Courier New" w:eastAsia="Courier New" w:hAnsi="Courier New"/>
          <w:color w:val="1A1A1A"/>
          <w:sz w:val="18"/>
          <w:szCs w:val="18"/>
        </w:rPr>
        <w:t xml:space="preserve">import pandas as pd</w:t>
      </w:r>
    </w:p>
    <w:p>
      <w:pPr>
        <w:shd w:fill="F4F4F4" w:val="clear"/>
        <w:spacing w:before="60" w:after="60"/>
        <w:ind w:left="720"/>
      </w:pPr>
      <w:r>
        <w:rPr>
          <w:rFonts w:ascii="Courier New" w:cs="Courier New" w:eastAsia="Courier New" w:hAnsi="Courier New"/>
          <w:color w:val="1A1A1A"/>
          <w:sz w:val="18"/>
          <w:szCs w:val="18"/>
        </w:rPr>
        <w:t xml:space="preserve">crispr = pd.read_csv('CRISPR_gene_effect.csv', index_col=0)</w:t>
      </w:r>
    </w:p>
    <w:p>
      <w:pPr>
        <w:shd w:fill="F4F4F4" w:val="clear"/>
        <w:spacing w:before="60" w:after="60"/>
        <w:ind w:left="720"/>
      </w:pPr>
      <w:r>
        <w:rPr>
          <w:rFonts w:ascii="Courier New" w:cs="Courier New" w:eastAsia="Courier New" w:hAnsi="Courier New"/>
          <w:color w:val="1A1A1A"/>
          <w:sz w:val="18"/>
          <w:szCs w:val="18"/>
        </w:rPr>
        <w:t xml:space="preserve"># Columns = genes (Hugo symbol), rows = cell lines</w:t>
      </w:r>
    </w:p>
    <w:p>
      <w:pPr>
        <w:shd w:fill="F4F4F4" w:val="clear"/>
        <w:spacing w:before="60" w:after="60"/>
        <w:ind w:left="720"/>
      </w:pPr>
      <w:r>
        <w:rPr>
          <w:rFonts w:ascii="Courier New" w:cs="Courier New" w:eastAsia="Courier New" w:hAnsi="Courier New"/>
          <w:color w:val="1A1A1A"/>
          <w:sz w:val="18"/>
          <w:szCs w:val="18"/>
        </w:rPr>
        <w:t xml:space="preserve"># Filter to disease-relevant cell lines (e.g. lung cancer lines for LUAD)</w:t>
      </w:r>
    </w:p>
    <w:p>
      <w:pPr>
        <w:shd w:fill="F4F4F4" w:val="clear"/>
        <w:spacing w:before="60" w:after="60"/>
        <w:ind w:left="720"/>
      </w:pPr>
      <w:r>
        <w:rPr>
          <w:rFonts w:ascii="Courier New" w:cs="Courier New" w:eastAsia="Courier New" w:hAnsi="Courier New"/>
          <w:color w:val="1A1A1A"/>
          <w:sz w:val="18"/>
          <w:szCs w:val="18"/>
        </w:rPr>
        <w:t xml:space="preserve">cell_lines = depmap_meta[depmap_meta['primary_disease']==indication].index</w:t>
      </w:r>
    </w:p>
    <w:p>
      <w:pPr>
        <w:shd w:fill="F4F4F4" w:val="clear"/>
        <w:spacing w:before="60" w:after="60"/>
        <w:ind w:left="720"/>
      </w:pPr>
      <w:r>
        <w:rPr>
          <w:rFonts w:ascii="Courier New" w:cs="Courier New" w:eastAsia="Courier New" w:hAnsi="Courier New"/>
          <w:color w:val="1A1A1A"/>
          <w:sz w:val="18"/>
          <w:szCs w:val="18"/>
        </w:rPr>
        <w:t xml:space="preserve">essentiality = crispr.loc[cell_lines].mean()  # mean CERES per gene</w:t>
      </w:r>
    </w:p>
    <w:p>
      <w:pPr>
        <w:pStyle w:val="Heading3"/>
        <w:spacing w:before="240" w:after="80"/>
      </w:pPr>
      <w:r>
        <w:rPr>
          <w:rFonts w:ascii="Arial" w:cs="Arial" w:eastAsia="Arial" w:hAnsi="Arial"/>
          <w:b/>
          <w:bCs/>
          <w:color w:val="34495E"/>
          <w:sz w:val="22"/>
          <w:szCs w:val="22"/>
        </w:rPr>
        <w:t xml:space="preserve">Normalization</w:t>
      </w:r>
    </w:p>
    <w:p>
      <w:pPr>
        <w:shd w:fill="F4F4F4" w:val="clear"/>
        <w:spacing w:before="60" w:after="60"/>
        <w:ind w:left="720"/>
      </w:pPr>
      <w:r>
        <w:rPr>
          <w:rFonts w:ascii="Courier New" w:cs="Courier New" w:eastAsia="Courier New" w:hAnsi="Courier New"/>
          <w:color w:val="1A1A1A"/>
          <w:sz w:val="18"/>
          <w:szCs w:val="18"/>
        </w:rPr>
        <w:t xml:space="preserve"># CERES: 0 = non-essential, -1 = median essential, &lt;-2 = strongly essential</w:t>
      </w:r>
    </w:p>
    <w:p>
      <w:pPr>
        <w:shd w:fill="F4F4F4" w:val="clear"/>
        <w:spacing w:before="60" w:after="60"/>
        <w:ind w:left="720"/>
      </w:pPr>
      <w:r>
        <w:rPr>
          <w:rFonts w:ascii="Courier New" w:cs="Courier New" w:eastAsia="Courier New" w:hAnsi="Courier New"/>
          <w:color w:val="1A1A1A"/>
          <w:sz w:val="18"/>
          <w:szCs w:val="18"/>
        </w:rPr>
        <w:t xml:space="preserve"># Normalize to [0,1] for reward: more negative = higher reward</w:t>
      </w:r>
    </w:p>
    <w:p>
      <w:pPr>
        <w:shd w:fill="F4F4F4" w:val="clear"/>
        <w:spacing w:before="60" w:after="60"/>
        <w:ind w:left="720"/>
      </w:pPr>
      <w:r>
        <w:rPr>
          <w:rFonts w:ascii="Courier New" w:cs="Courier New" w:eastAsia="Courier New" w:hAnsi="Courier New"/>
          <w:color w:val="1A1A1A"/>
          <w:sz w:val="18"/>
          <w:szCs w:val="18"/>
        </w:rPr>
        <w:t xml:space="preserve">ess_norm = (essentiality - essentiality.max()) / (essentiality.min() - essentiality.max())</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9.3 Open Targets Genetic Score</w:t>
      </w:r>
    </w:p>
    <w:p>
      <w:pPr>
        <w:pStyle w:val="Heading3"/>
        <w:spacing w:before="240" w:after="80"/>
      </w:pPr>
      <w:r>
        <w:rPr>
          <w:rFonts w:ascii="Arial" w:cs="Arial" w:eastAsia="Arial" w:hAnsi="Arial"/>
          <w:b/>
          <w:bCs/>
          <w:color w:val="34495E"/>
          <w:sz w:val="22"/>
          <w:szCs w:val="22"/>
        </w:rPr>
        <w:t xml:space="preserve">GraphQL Query</w:t>
      </w:r>
    </w:p>
    <w:p>
      <w:pPr>
        <w:shd w:fill="F4F4F4" w:val="clear"/>
        <w:spacing w:before="60" w:after="60"/>
        <w:ind w:left="720"/>
      </w:pPr>
      <w:r>
        <w:rPr>
          <w:rFonts w:ascii="Courier New" w:cs="Courier New" w:eastAsia="Courier New" w:hAnsi="Courier New"/>
          <w:color w:val="1A1A1A"/>
          <w:sz w:val="18"/>
          <w:szCs w:val="18"/>
        </w:rPr>
        <w:t xml:space="preserve">query = '''</w:t>
      </w:r>
    </w:p>
    <w:p>
      <w:pPr>
        <w:shd w:fill="F4F4F4" w:val="clear"/>
        <w:spacing w:before="60" w:after="60"/>
        <w:ind w:left="720"/>
      </w:pPr>
      <w:r>
        <w:rPr>
          <w:rFonts w:ascii="Courier New" w:cs="Courier New" w:eastAsia="Courier New" w:hAnsi="Courier New"/>
          <w:color w:val="1A1A1A"/>
          <w:sz w:val="18"/>
          <w:szCs w:val="18"/>
        </w:rPr>
        <w:t xml:space="preserve">  query targetEvidence($ensemblId: String!, $efoId: String!) {</w:t>
      </w:r>
    </w:p>
    <w:p>
      <w:pPr>
        <w:shd w:fill="F4F4F4" w:val="clear"/>
        <w:spacing w:before="60" w:after="60"/>
        <w:ind w:left="720"/>
      </w:pPr>
      <w:r>
        <w:rPr>
          <w:rFonts w:ascii="Courier New" w:cs="Courier New" w:eastAsia="Courier New" w:hAnsi="Courier New"/>
          <w:color w:val="1A1A1A"/>
          <w:sz w:val="18"/>
          <w:szCs w:val="18"/>
        </w:rPr>
        <w:t xml:space="preserve">    target(ensemblId: $ensemblId) {</w:t>
      </w:r>
    </w:p>
    <w:p>
      <w:pPr>
        <w:shd w:fill="F4F4F4" w:val="clear"/>
        <w:spacing w:before="60" w:after="60"/>
        <w:ind w:left="720"/>
      </w:pPr>
      <w:r>
        <w:rPr>
          <w:rFonts w:ascii="Courier New" w:cs="Courier New" w:eastAsia="Courier New" w:hAnsi="Courier New"/>
          <w:color w:val="1A1A1A"/>
          <w:sz w:val="18"/>
          <w:szCs w:val="18"/>
        </w:rPr>
        <w:t xml:space="preserve">      associatedDiseases(filter: { id: [$efoId] }) {</w:t>
      </w:r>
    </w:p>
    <w:p>
      <w:pPr>
        <w:shd w:fill="F4F4F4" w:val="clear"/>
        <w:spacing w:before="60" w:after="60"/>
        <w:ind w:left="720"/>
      </w:pPr>
      <w:r>
        <w:rPr>
          <w:rFonts w:ascii="Courier New" w:cs="Courier New" w:eastAsia="Courier New" w:hAnsi="Courier New"/>
          <w:color w:val="1A1A1A"/>
          <w:sz w:val="18"/>
          <w:szCs w:val="18"/>
        </w:rPr>
        <w:t xml:space="preserve">        rows {</w:t>
      </w:r>
    </w:p>
    <w:p>
      <w:pPr>
        <w:shd w:fill="F4F4F4" w:val="clear"/>
        <w:spacing w:before="60" w:after="60"/>
        <w:ind w:left="720"/>
      </w:pPr>
      <w:r>
        <w:rPr>
          <w:rFonts w:ascii="Courier New" w:cs="Courier New" w:eastAsia="Courier New" w:hAnsi="Courier New"/>
          <w:color w:val="1A1A1A"/>
          <w:sz w:val="18"/>
          <w:szCs w:val="18"/>
        </w:rPr>
        <w:t xml:space="preserve">          score                    # overall association score</w:t>
      </w:r>
    </w:p>
    <w:p>
      <w:pPr>
        <w:shd w:fill="F4F4F4" w:val="clear"/>
        <w:spacing w:before="60" w:after="60"/>
        <w:ind w:left="720"/>
      </w:pPr>
      <w:r>
        <w:rPr>
          <w:rFonts w:ascii="Courier New" w:cs="Courier New" w:eastAsia="Courier New" w:hAnsi="Courier New"/>
          <w:color w:val="1A1A1A"/>
          <w:sz w:val="18"/>
          <w:szCs w:val="18"/>
        </w:rPr>
        <w:t xml:space="preserve">          datasourceScores {</w:t>
      </w:r>
    </w:p>
    <w:p>
      <w:pPr>
        <w:shd w:fill="F4F4F4" w:val="clear"/>
        <w:spacing w:before="60" w:after="60"/>
        <w:ind w:left="720"/>
      </w:pPr>
      <w:r>
        <w:rPr>
          <w:rFonts w:ascii="Courier New" w:cs="Courier New" w:eastAsia="Courier New" w:hAnsi="Courier New"/>
          <w:color w:val="1A1A1A"/>
          <w:sz w:val="18"/>
          <w:szCs w:val="18"/>
        </w:rPr>
        <w:t xml:space="preserve">            id                     # genetic_association, somatic_mutation etc</w:t>
      </w:r>
    </w:p>
    <w:p>
      <w:pPr>
        <w:shd w:fill="F4F4F4" w:val="clear"/>
        <w:spacing w:before="60" w:after="60"/>
        <w:ind w:left="720"/>
      </w:pPr>
      <w:r>
        <w:rPr>
          <w:rFonts w:ascii="Courier New" w:cs="Courier New" w:eastAsia="Courier New" w:hAnsi="Courier New"/>
          <w:color w:val="1A1A1A"/>
          <w:sz w:val="18"/>
          <w:szCs w:val="18"/>
        </w:rPr>
        <w:t xml:space="preserve">            score</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  }</w:t>
      </w:r>
    </w:p>
    <w:p>
      <w:pPr>
        <w:shd w:fill="F4F4F4" w:val="clear"/>
        <w:spacing w:before="60" w:after="60"/>
        <w:ind w:left="720"/>
      </w:pPr>
      <w:r>
        <w:rPr>
          <w:rFonts w:ascii="Courier New" w:cs="Courier New" w:eastAsia="Courier New" w:hAnsi="Courier New"/>
          <w:color w:val="1A1A1A"/>
          <w:sz w:val="18"/>
          <w:szCs w:val="18"/>
        </w:rPr>
        <w:t xml:space="preserve">'''</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9.4 Novelty Score (PubMed Saturation)</w:t>
      </w:r>
    </w:p>
    <w:p>
      <w:pPr>
        <w:shd w:fill="F4F4F4" w:val="clear"/>
        <w:spacing w:before="60" w:after="60"/>
        <w:ind w:left="720"/>
      </w:pPr>
      <w:r>
        <w:rPr>
          <w:rFonts w:ascii="Courier New" w:cs="Courier New" w:eastAsia="Courier New" w:hAnsi="Courier New"/>
          <w:color w:val="1A1A1A"/>
          <w:sz w:val="18"/>
          <w:szCs w:val="18"/>
        </w:rPr>
        <w:t xml:space="preserve">import requests</w:t>
      </w:r>
    </w:p>
    <w:p>
      <w:pPr>
        <w:shd w:fill="F4F4F4" w:val="clear"/>
        <w:spacing w:before="60" w:after="60"/>
        <w:ind w:left="720"/>
      </w:pPr>
      <w:r>
        <w:rPr>
          <w:rFonts w:ascii="Courier New" w:cs="Courier New" w:eastAsia="Courier New" w:hAnsi="Courier New"/>
          <w:color w:val="1A1A1A"/>
          <w:sz w:val="18"/>
          <w:szCs w:val="18"/>
        </w:rPr>
        <w:t xml:space="preserve">def pubmed_count(gene_symbol, disease_term):</w:t>
      </w:r>
    </w:p>
    <w:p>
      <w:pPr>
        <w:shd w:fill="F4F4F4" w:val="clear"/>
        <w:spacing w:before="60" w:after="60"/>
        <w:ind w:left="720"/>
      </w:pPr>
      <w:r>
        <w:rPr>
          <w:rFonts w:ascii="Courier New" w:cs="Courier New" w:eastAsia="Courier New" w:hAnsi="Courier New"/>
          <w:color w:val="1A1A1A"/>
          <w:sz w:val="18"/>
          <w:szCs w:val="18"/>
        </w:rPr>
        <w:t xml:space="preserve">    query = f'{gene_symbol}[Title/Abstract] AND {disease_term}[MeSH]'</w:t>
      </w:r>
    </w:p>
    <w:p>
      <w:pPr>
        <w:shd w:fill="F4F4F4" w:val="clear"/>
        <w:spacing w:before="60" w:after="60"/>
        <w:ind w:left="720"/>
      </w:pPr>
      <w:r>
        <w:rPr>
          <w:rFonts w:ascii="Courier New" w:cs="Courier New" w:eastAsia="Courier New" w:hAnsi="Courier New"/>
          <w:color w:val="1A1A1A"/>
          <w:sz w:val="18"/>
          <w:szCs w:val="18"/>
        </w:rPr>
        <w:t xml:space="preserve">    url = f'https://eutils.ncbi.nlm.nih.gov/entrez/eutils/esearch.fcgi'</w:t>
      </w:r>
    </w:p>
    <w:p>
      <w:pPr>
        <w:shd w:fill="F4F4F4" w:val="clear"/>
        <w:spacing w:before="60" w:after="60"/>
        <w:ind w:left="720"/>
      </w:pPr>
      <w:r>
        <w:rPr>
          <w:rFonts w:ascii="Courier New" w:cs="Courier New" w:eastAsia="Courier New" w:hAnsi="Courier New"/>
          <w:color w:val="1A1A1A"/>
          <w:sz w:val="18"/>
          <w:szCs w:val="18"/>
        </w:rPr>
        <w:t xml:space="preserve">    r = requests.get(url, params={'db':'pubmed','term':query,'rettype':'count'})</w:t>
      </w:r>
    </w:p>
    <w:p>
      <w:pPr>
        <w:shd w:fill="F4F4F4" w:val="clear"/>
        <w:spacing w:before="60" w:after="60"/>
        <w:ind w:left="720"/>
      </w:pPr>
      <w:r>
        <w:rPr>
          <w:rFonts w:ascii="Courier New" w:cs="Courier New" w:eastAsia="Courier New" w:hAnsi="Courier New"/>
          <w:color w:val="1A1A1A"/>
          <w:sz w:val="18"/>
          <w:szCs w:val="18"/>
        </w:rPr>
        <w:t xml:space="preserve">    return int(r.json()['esearchresult']['count'])</w:t>
      </w:r>
    </w:p>
    <w:p>
      <w:pPr>
        <w:shd w:fill="F4F4F4" w:val="clear"/>
        <w:spacing w:before="60" w:after="60"/>
        <w:ind w:left="720"/>
      </w:pPr>
      <w:r>
        <w:rPr>
          <w:rFonts w:ascii="Courier New" w:cs="Courier New" w:eastAsia="Courier New" w:hAnsi="Courier New"/>
          <w:color w:val="1A1A1A"/>
          <w:sz w:val="18"/>
          <w:szCs w:val="18"/>
        </w:rPr>
        <w:t xml:space="preserve"/>
      </w:r>
    </w:p>
    <w:p>
      <w:pPr>
        <w:shd w:fill="F4F4F4" w:val="clear"/>
        <w:spacing w:before="60" w:after="60"/>
        <w:ind w:left="720"/>
      </w:pPr>
      <w:r>
        <w:rPr>
          <w:rFonts w:ascii="Courier New" w:cs="Courier New" w:eastAsia="Courier New" w:hAnsi="Courier New"/>
          <w:color w:val="1A1A1A"/>
          <w:sz w:val="18"/>
          <w:szCs w:val="18"/>
        </w:rPr>
        <w:t xml:space="preserve"># Normalize: saturation = log10(count + 1) / log10(max_count + 1)</w:t>
      </w:r>
    </w:p>
    <w:p>
      <w:pPr>
        <w:shd w:fill="F4F4F4" w:val="clear"/>
        <w:spacing w:before="60" w:after="60"/>
        <w:ind w:left="720"/>
      </w:pPr>
      <w:r>
        <w:rPr>
          <w:rFonts w:ascii="Courier New" w:cs="Courier New" w:eastAsia="Courier New" w:hAnsi="Courier New"/>
          <w:color w:val="1A1A1A"/>
          <w:sz w:val="18"/>
          <w:szCs w:val="18"/>
        </w:rPr>
        <w:t xml:space="preserve"># novelty_score = 1 - saturation  (high papers = low novelty)</w:t>
      </w:r>
    </w:p>
    <w:p>
      <w:pPr>
        <w:pStyle w:val="Heading1"/>
        <w:pBdr>
          <w:bottom w:val="single" w:color="1A56A0" w:sz="6" w:space="4"/>
        </w:pBdr>
        <w:spacing w:before="400" w:after="160"/>
      </w:pPr>
      <w:r>
        <w:rPr>
          <w:rFonts w:ascii="Arial" w:cs="Arial" w:eastAsia="Arial" w:hAnsi="Arial"/>
          <w:b/>
          <w:bCs/>
          <w:color w:val="1A56A0"/>
          <w:sz w:val="32"/>
          <w:szCs w:val="32"/>
        </w:rPr>
        <w:t xml:space="preserve">10. Output Layer</w:t>
      </w:r>
    </w:p>
    <w:p>
      <w:pPr>
        <w:pStyle w:val="Heading2"/>
        <w:spacing w:before="320" w:after="120"/>
      </w:pPr>
      <w:r>
        <w:rPr>
          <w:rFonts w:ascii="Arial" w:cs="Arial" w:eastAsia="Arial" w:hAnsi="Arial"/>
          <w:b/>
          <w:bCs/>
          <w:color w:val="2C3E50"/>
          <w:sz w:val="26"/>
          <w:szCs w:val="26"/>
        </w:rPr>
        <w:t xml:space="preserve">10.1 Ranked Target List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c>
          <w:tcPr>
            <w:tcW w:type="dxa" w:w="2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ensembl_id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Ensembl gene ID (primary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gene_symbol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HGNC gene symbol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rl_rank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int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Final rank from RL agent (1 = highest priority)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composite_score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float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Pre-RL weighted composite of 23 models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rl_cumulative_reward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float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Cumulative reward from bandit policy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transcriptomic_score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float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Meta-analysis DEG score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genetic_score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float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Open Targets genetic association score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pathway_centrality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float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iPANDA pathway hub score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novelty_score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float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Inverse PubMed saturation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float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Phase 1 entry probability (5y horizon)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depmap_essentiality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float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Mean CERES score in indication cell lines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druggability_tier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OT tractability tier (small mol / biologic / PROTAC / unknown)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safety_flags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list[string]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Known adverse event associations from OT safety liabilities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kg_rationale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LLM-generated explanation from KG traversal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top_evidence_sources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list[string]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Top 3 datasource IDs contributing to score</w:t>
            </w:r>
          </w:p>
        </w:tc>
      </w:tr>
    </w:tbl>
    <w:p>
      <w:pPr>
        <w:spacing w:before="120" w:after="0"/>
      </w:pPr>
      <w:r>
        <w:t xml:space="preserve"/>
      </w:r>
    </w:p>
    <w:p>
      <w:pPr>
        <w:pStyle w:val="Heading2"/>
        <w:spacing w:before="320" w:after="120"/>
      </w:pPr>
      <w:r>
        <w:rPr>
          <w:rFonts w:ascii="Arial" w:cs="Arial" w:eastAsia="Arial" w:hAnsi="Arial"/>
          <w:b/>
          <w:bCs/>
          <w:color w:val="2C3E50"/>
          <w:sz w:val="26"/>
          <w:szCs w:val="26"/>
        </w:rPr>
        <w:t xml:space="preserve">10.2 Explainability (KG + LLM)</w:t>
      </w:r>
    </w:p>
    <w:p>
      <w:pPr>
        <w:spacing w:before="80" w:after="80" w:line="276"/>
      </w:pPr>
      <w:r>
        <w:rPr>
          <w:rFonts w:ascii="Arial" w:cs="Arial" w:eastAsia="Arial" w:hAnsi="Arial"/>
          <w:color w:val="1e1e1e"/>
          <w:sz w:val="20"/>
          <w:szCs w:val="20"/>
        </w:rPr>
        <w:t xml:space="preserve">For each top-ranked target, a rationale is generated by:</w:t>
      </w:r>
    </w:p>
    <w:p>
      <w:pPr>
        <w:pStyle w:val="ListParagraph"/>
        <w:numPr>
          <w:ilvl w:val="0"/>
          <w:numId w:val="2"/>
        </w:numPr>
        <w:spacing w:before="60" w:after="60"/>
      </w:pPr>
      <w:r>
        <w:rPr>
          <w:rFonts w:ascii="Arial" w:cs="Arial" w:eastAsia="Arial" w:hAnsi="Arial"/>
          <w:color w:val="1e1e1e"/>
          <w:sz w:val="20"/>
          <w:szCs w:val="20"/>
        </w:rPr>
        <w:t xml:space="preserve">Querying the KG for the target's subgraph (depth 2): neighboring genes, associated diseases, linked drugs, pathway memberships</w:t>
      </w:r>
    </w:p>
    <w:p>
      <w:pPr>
        <w:pStyle w:val="ListParagraph"/>
        <w:numPr>
          <w:ilvl w:val="0"/>
          <w:numId w:val="2"/>
        </w:numPr>
        <w:spacing w:before="60" w:after="60"/>
      </w:pPr>
      <w:r>
        <w:rPr>
          <w:rFonts w:ascii="Arial" w:cs="Arial" w:eastAsia="Arial" w:hAnsi="Arial"/>
          <w:color w:val="1e1e1e"/>
          <w:sz w:val="20"/>
          <w:szCs w:val="20"/>
        </w:rPr>
        <w:t xml:space="preserve">Formatting this as structured context for an LLM prompt</w:t>
      </w:r>
    </w:p>
    <w:p>
      <w:pPr>
        <w:pStyle w:val="ListParagraph"/>
        <w:numPr>
          <w:ilvl w:val="0"/>
          <w:numId w:val="2"/>
        </w:numPr>
        <w:spacing w:before="60" w:after="60"/>
      </w:pPr>
      <w:r>
        <w:rPr>
          <w:rFonts w:ascii="Arial" w:cs="Arial" w:eastAsia="Arial" w:hAnsi="Arial"/>
          <w:color w:val="1e1e1e"/>
          <w:sz w:val="20"/>
          <w:szCs w:val="20"/>
        </w:rPr>
        <w:t xml:space="preserve">Calling the Anthropic Claude API (claude-sonnet-4-6) to generate a 3-sentence human-readable explanation</w:t>
      </w:r>
    </w:p>
    <w:p>
      <w:pPr>
        <w:pStyle w:val="ListParagraph"/>
        <w:numPr>
          <w:ilvl w:val="0"/>
          <w:numId w:val="2"/>
        </w:numPr>
        <w:spacing w:before="60" w:after="60"/>
      </w:pPr>
      <w:r>
        <w:rPr>
          <w:rFonts w:ascii="Arial" w:cs="Arial" w:eastAsia="Arial" w:hAnsi="Arial"/>
          <w:color w:val="1e1e1e"/>
          <w:sz w:val="20"/>
          <w:szCs w:val="20"/>
        </w:rPr>
        <w:t xml:space="preserve">The explanation answers: why this target, why this indication, what makes it novel vs. tractable</w:t>
      </w:r>
    </w:p>
    <w:p>
      <w:pPr>
        <w:pStyle w:val="Heading1"/>
        <w:pBdr>
          <w:bottom w:val="single" w:color="1A56A0" w:sz="6" w:space="4"/>
        </w:pBdr>
        <w:spacing w:before="400" w:after="160"/>
      </w:pPr>
      <w:r>
        <w:rPr>
          <w:rFonts w:ascii="Arial" w:cs="Arial" w:eastAsia="Arial" w:hAnsi="Arial"/>
          <w:b/>
          <w:bCs/>
          <w:color w:val="1A56A0"/>
          <w:sz w:val="32"/>
          <w:szCs w:val="32"/>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Data fetching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Python requests, GEOparse, pydeseq2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GEO/TCGA/OT/DepMap APIs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Omics analysis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pydeseq2, statsmodels, scipy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DEG meta-analysis, pathway stats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KG storage (dev)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NetworkX + pickle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In-memory, no infra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KG storage (prod)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Neo4j / AWS Neptune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Scalable graph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KG embedding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PyTorch Geometric, pykeen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R-GCN / TransE node embeddings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RL 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Custom LinUCB (numpy) or vowpalwabbit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Contextual bandit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RL advanced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stable-baselines3 + PyG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PPO with GNN policy (v2)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Scoring models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scikit-learn, XGBoost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P-score, druggability classifiers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API 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FastAPI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REST endpoints for each pipeline step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Next.js + shadcn/ui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Target list UI with score breakdown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Supabase (Postgres + pgvector)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KG embeddings, score caching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LLM explainability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Anthropic Claude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KG-grounded rationale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Orchestration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Modal (serverless GPU)</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DEG analysis + GNN training at scale</w:t>
            </w:r>
          </w:p>
        </w:tc>
      </w:tr>
    </w:tbl>
    <w:p>
      <w:pPr>
        <w:pStyle w:val="Heading1"/>
        <w:pBdr>
          <w:bottom w:val="single" w:color="1A56A0" w:sz="6" w:space="4"/>
        </w:pBdr>
        <w:spacing w:before="400" w:after="160"/>
      </w:pPr>
      <w:r>
        <w:rPr>
          <w:rFonts w:ascii="Arial" w:cs="Arial" w:eastAsia="Arial" w:hAnsi="Arial"/>
          <w:b/>
          <w:bCs/>
          <w:color w:val="1A56A0"/>
          <w:sz w:val="32"/>
          <w:szCs w:val="32"/>
        </w:rPr>
        <w:t xml:space="preserve">12. Implementation Plan</w:t>
      </w:r>
    </w:p>
    <w:p>
      <w:pPr>
        <w:pStyle w:val="Heading2"/>
        <w:spacing w:before="320" w:after="120"/>
      </w:pPr>
      <w:r>
        <w:rPr>
          <w:rFonts w:ascii="Arial" w:cs="Arial" w:eastAsia="Arial" w:hAnsi="Arial"/>
          <w:b/>
          <w:bCs/>
          <w:color w:val="2C3E50"/>
          <w:sz w:val="26"/>
          <w:szCs w:val="26"/>
        </w:rPr>
        <w:t xml:space="preserve">Phase 1 — Core Pipeline (MVP)</w:t>
      </w:r>
    </w:p>
    <w:p>
      <w:pPr>
        <w:pStyle w:val="ListParagraph"/>
        <w:numPr>
          <w:ilvl w:val="0"/>
          <w:numId w:val="2"/>
        </w:numPr>
        <w:spacing w:before="60" w:after="60"/>
      </w:pPr>
      <w:r>
        <w:rPr>
          <w:rFonts w:ascii="Arial" w:cs="Arial" w:eastAsia="Arial" w:hAnsi="Arial"/>
          <w:color w:val="1e1e1e"/>
          <w:sz w:val="20"/>
          <w:szCs w:val="20"/>
        </w:rPr>
        <w:t xml:space="preserve">Data ingestion: GEO + TCGA pull for 1 indication (e.g. pancreatic cancer)</w:t>
      </w:r>
    </w:p>
    <w:p>
      <w:pPr>
        <w:pStyle w:val="ListParagraph"/>
        <w:numPr>
          <w:ilvl w:val="0"/>
          <w:numId w:val="2"/>
        </w:numPr>
        <w:spacing w:before="60" w:after="60"/>
      </w:pPr>
      <w:r>
        <w:rPr>
          <w:rFonts w:ascii="Arial" w:cs="Arial" w:eastAsia="Arial" w:hAnsi="Arial"/>
          <w:color w:val="1e1e1e"/>
          <w:sz w:val="20"/>
          <w:szCs w:val="20"/>
        </w:rPr>
        <w:t xml:space="preserve">DEG meta-analysis: pydeseq2 across 5+ GEO datasets</w:t>
      </w:r>
    </w:p>
    <w:p>
      <w:pPr>
        <w:pStyle w:val="ListParagraph"/>
        <w:numPr>
          <w:ilvl w:val="0"/>
          <w:numId w:val="2"/>
        </w:numPr>
        <w:spacing w:before="60" w:after="60"/>
      </w:pPr>
      <w:r>
        <w:rPr>
          <w:rFonts w:ascii="Arial" w:cs="Arial" w:eastAsia="Arial" w:hAnsi="Arial"/>
          <w:color w:val="1e1e1e"/>
          <w:sz w:val="20"/>
          <w:szCs w:val="20"/>
        </w:rPr>
        <w:t xml:space="preserve">Scoring: implement 5 of 23 models (transcriptomic, genetic via OT, novelty, druggability, P-score)</w:t>
      </w:r>
    </w:p>
    <w:p>
      <w:pPr>
        <w:pStyle w:val="ListParagraph"/>
        <w:numPr>
          <w:ilvl w:val="0"/>
          <w:numId w:val="2"/>
        </w:numPr>
        <w:spacing w:before="60" w:after="60"/>
      </w:pPr>
      <w:r>
        <w:rPr>
          <w:rFonts w:ascii="Arial" w:cs="Arial" w:eastAsia="Arial" w:hAnsi="Arial"/>
          <w:color w:val="1e1e1e"/>
          <w:sz w:val="20"/>
          <w:szCs w:val="20"/>
        </w:rPr>
        <w:t xml:space="preserve">No KG, no RL: just weighted sum → ranked list</w:t>
      </w:r>
    </w:p>
    <w:p>
      <w:pPr>
        <w:pStyle w:val="ListParagraph"/>
        <w:numPr>
          <w:ilvl w:val="0"/>
          <w:numId w:val="2"/>
        </w:numPr>
        <w:spacing w:before="60" w:after="60"/>
      </w:pPr>
      <w:r>
        <w:rPr>
          <w:rFonts w:ascii="Arial" w:cs="Arial" w:eastAsia="Arial" w:hAnsi="Arial"/>
          <w:color w:val="1e1e1e"/>
          <w:sz w:val="20"/>
          <w:szCs w:val="20"/>
        </w:rPr>
        <w:t xml:space="preserve">Output: pandas DataFrame with ranked targets</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Phase 2 — KG + RL</w:t>
      </w:r>
    </w:p>
    <w:p>
      <w:pPr>
        <w:pStyle w:val="ListParagraph"/>
        <w:numPr>
          <w:ilvl w:val="0"/>
          <w:numId w:val="2"/>
        </w:numPr>
        <w:spacing w:before="60" w:after="60"/>
      </w:pPr>
      <w:r>
        <w:rPr>
          <w:rFonts w:ascii="Arial" w:cs="Arial" w:eastAsia="Arial" w:hAnsi="Arial"/>
          <w:color w:val="1e1e1e"/>
          <w:sz w:val="20"/>
          <w:szCs w:val="20"/>
        </w:rPr>
        <w:t xml:space="preserve">Build KG from STRING + OT + DrugBank for the indication</w:t>
      </w:r>
    </w:p>
    <w:p>
      <w:pPr>
        <w:pStyle w:val="ListParagraph"/>
        <w:numPr>
          <w:ilvl w:val="0"/>
          <w:numId w:val="2"/>
        </w:numPr>
        <w:spacing w:before="60" w:after="60"/>
      </w:pPr>
      <w:r>
        <w:rPr>
          <w:rFonts w:ascii="Arial" w:cs="Arial" w:eastAsia="Arial" w:hAnsi="Arial"/>
          <w:color w:val="1e1e1e"/>
          <w:sz w:val="20"/>
          <w:szCs w:val="20"/>
        </w:rPr>
        <w:t xml:space="preserve">Node2Vec embeddings for KG nodes</w:t>
      </w:r>
    </w:p>
    <w:p>
      <w:pPr>
        <w:pStyle w:val="ListParagraph"/>
        <w:numPr>
          <w:ilvl w:val="0"/>
          <w:numId w:val="2"/>
        </w:numPr>
        <w:spacing w:before="60" w:after="60"/>
      </w:pPr>
      <w:r>
        <w:rPr>
          <w:rFonts w:ascii="Arial" w:cs="Arial" w:eastAsia="Arial" w:hAnsi="Arial"/>
          <w:color w:val="1e1e1e"/>
          <w:sz w:val="20"/>
          <w:szCs w:val="20"/>
        </w:rPr>
        <w:t xml:space="preserve">LinUCB contextual bandit with state = [5 scores + 128-dim KG embedding]</w:t>
      </w:r>
    </w:p>
    <w:p>
      <w:pPr>
        <w:pStyle w:val="ListParagraph"/>
        <w:numPr>
          <w:ilvl w:val="0"/>
          <w:numId w:val="2"/>
        </w:numPr>
        <w:spacing w:before="60" w:after="60"/>
      </w:pPr>
      <w:r>
        <w:rPr>
          <w:rFonts w:ascii="Arial" w:cs="Arial" w:eastAsia="Arial" w:hAnsi="Arial"/>
          <w:color w:val="1e1e1e"/>
          <w:sz w:val="20"/>
          <w:szCs w:val="20"/>
        </w:rPr>
        <w:t xml:space="preserve">Reward from DepMap + OT + P-score + novelty</w:t>
      </w:r>
    </w:p>
    <w:p>
      <w:pPr>
        <w:pStyle w:val="ListParagraph"/>
        <w:numPr>
          <w:ilvl w:val="0"/>
          <w:numId w:val="2"/>
        </w:numPr>
        <w:spacing w:before="60" w:after="60"/>
      </w:pPr>
      <w:r>
        <w:rPr>
          <w:rFonts w:ascii="Arial" w:cs="Arial" w:eastAsia="Arial" w:hAnsi="Arial"/>
          <w:color w:val="1e1e1e"/>
          <w:sz w:val="20"/>
          <w:szCs w:val="20"/>
        </w:rPr>
        <w:t xml:space="preserve">Output: RL-ranked target list with per-target rationale</w:t>
      </w:r>
    </w:p>
    <w:p>
      <w:pPr>
        <w:spacing w:before="80" w:after="0"/>
      </w:pPr>
      <w:r>
        <w:t xml:space="preserve"/>
      </w:r>
    </w:p>
    <w:p>
      <w:pPr>
        <w:pStyle w:val="Heading2"/>
        <w:spacing w:before="320" w:after="120"/>
      </w:pPr>
      <w:r>
        <w:rPr>
          <w:rFonts w:ascii="Arial" w:cs="Arial" w:eastAsia="Arial" w:hAnsi="Arial"/>
          <w:b/>
          <w:bCs/>
          <w:color w:val="2C3E50"/>
          <w:sz w:val="26"/>
          <w:szCs w:val="26"/>
        </w:rPr>
        <w:t xml:space="preserve">Phase 3 — Full Platform</w:t>
      </w:r>
    </w:p>
    <w:p>
      <w:pPr>
        <w:pStyle w:val="ListParagraph"/>
        <w:numPr>
          <w:ilvl w:val="0"/>
          <w:numId w:val="2"/>
        </w:numPr>
        <w:spacing w:before="60" w:after="60"/>
      </w:pPr>
      <w:r>
        <w:rPr>
          <w:rFonts w:ascii="Arial" w:cs="Arial" w:eastAsia="Arial" w:hAnsi="Arial"/>
          <w:color w:val="1e1e1e"/>
          <w:sz w:val="20"/>
          <w:szCs w:val="20"/>
        </w:rPr>
        <w:t xml:space="preserve">All 23 scoring models</w:t>
      </w:r>
    </w:p>
    <w:p>
      <w:pPr>
        <w:pStyle w:val="ListParagraph"/>
        <w:numPr>
          <w:ilvl w:val="0"/>
          <w:numId w:val="2"/>
        </w:numPr>
        <w:spacing w:before="60" w:after="60"/>
      </w:pPr>
      <w:r>
        <w:rPr>
          <w:rFonts w:ascii="Arial" w:cs="Arial" w:eastAsia="Arial" w:hAnsi="Arial"/>
          <w:color w:val="1e1e1e"/>
          <w:sz w:val="20"/>
          <w:szCs w:val="20"/>
        </w:rPr>
        <w:t xml:space="preserve">R-GCN KG embeddings (PyTorch Geometric)</w:t>
      </w:r>
    </w:p>
    <w:p>
      <w:pPr>
        <w:pStyle w:val="ListParagraph"/>
        <w:numPr>
          <w:ilvl w:val="0"/>
          <w:numId w:val="2"/>
        </w:numPr>
        <w:spacing w:before="60" w:after="60"/>
      </w:pPr>
      <w:r>
        <w:rPr>
          <w:rFonts w:ascii="Arial" w:cs="Arial" w:eastAsia="Arial" w:hAnsi="Arial"/>
          <w:color w:val="1e1e1e"/>
          <w:sz w:val="20"/>
          <w:szCs w:val="20"/>
        </w:rPr>
        <w:t xml:space="preserve">PPO agent with GNN policy</w:t>
      </w:r>
    </w:p>
    <w:p>
      <w:pPr>
        <w:pStyle w:val="ListParagraph"/>
        <w:numPr>
          <w:ilvl w:val="0"/>
          <w:numId w:val="2"/>
        </w:numPr>
        <w:spacing w:before="60" w:after="60"/>
      </w:pPr>
      <w:r>
        <w:rPr>
          <w:rFonts w:ascii="Arial" w:cs="Arial" w:eastAsia="Arial" w:hAnsi="Arial"/>
          <w:color w:val="1e1e1e"/>
          <w:sz w:val="20"/>
          <w:szCs w:val="20"/>
        </w:rPr>
        <w:t xml:space="preserve">FastAPI + Next.js frontend</w:t>
      </w:r>
    </w:p>
    <w:p>
      <w:pPr>
        <w:pStyle w:val="ListParagraph"/>
        <w:numPr>
          <w:ilvl w:val="0"/>
          <w:numId w:val="2"/>
        </w:numPr>
        <w:spacing w:before="60" w:after="60"/>
      </w:pPr>
      <w:r>
        <w:rPr>
          <w:rFonts w:ascii="Arial" w:cs="Arial" w:eastAsia="Arial" w:hAnsi="Arial"/>
          <w:color w:val="1e1e1e"/>
          <w:sz w:val="20"/>
          <w:szCs w:val="20"/>
        </w:rPr>
        <w:t xml:space="preserve">Multi-indication support</w:t>
      </w:r>
    </w:p>
    <w:p>
      <w:pPr>
        <w:pStyle w:val="ListParagraph"/>
        <w:numPr>
          <w:ilvl w:val="0"/>
          <w:numId w:val="2"/>
        </w:numPr>
        <w:spacing w:before="60" w:after="60"/>
      </w:pPr>
      <w:r>
        <w:rPr>
          <w:rFonts w:ascii="Arial" w:cs="Arial" w:eastAsia="Arial" w:hAnsi="Arial"/>
          <w:color w:val="1e1e1e"/>
          <w:sz w:val="20"/>
          <w:szCs w:val="20"/>
        </w:rPr>
        <w:t xml:space="preserve">LLM explainability per top target</w:t>
      </w:r>
    </w:p>
    <w:p>
      <w:pPr>
        <w:pStyle w:val="Heading1"/>
        <w:pBdr>
          <w:bottom w:val="single" w:color="1A56A0" w:sz="6" w:space="4"/>
        </w:pBdr>
        <w:spacing w:before="400" w:after="160"/>
      </w:pPr>
      <w:r>
        <w:rPr>
          <w:rFonts w:ascii="Arial" w:cs="Arial" w:eastAsia="Arial" w:hAnsi="Arial"/>
          <w:b/>
          <w:bCs/>
          <w:color w:val="1A56A0"/>
          <w:sz w:val="32"/>
          <w:szCs w:val="32"/>
        </w:rPr>
        <w:t xml:space="preserve">13. Key Design Decisions &amp; Rationale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Chosen Approach</w:t>
            </w:r>
          </w:p>
        </w:tc>
        <w:tc>
          <w:tcPr>
            <w:tcW w:type="dxa" w:w="4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Why Not Alternative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RL algorithm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LinUCB contextual bandit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Full PPO is overkill for sequential target selection with small action space; LinUCB is interpretable and fast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Wet-lab replacement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4 computational proxies (P-score, DepMap, OT, novelty)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Direct assay data not available; these proxies are validated surrogates at population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KG embedding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Node2Vec → R-GCN for v2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End-to-end GNN requires more data; Node2Vec gives good structural embeddings with minimal supervision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Gene ID standard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Ensembl ENSG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HGNC symbols have aliases and ambiguity; Ensembl IDs are stable and universal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Meta-analysis method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Fisher's combined probability + random-effects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Single-dataset DEG is noisy; meta-analysis across 5+ studies is the PandaOmics core insight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Reward weights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Equal initial weights (0.3/0.3/0.3/-0.1)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Empirically sensible defaults; the RL agent is explicitly designed to learn better weights from data</w:t>
            </w:r>
          </w:p>
        </w:tc>
      </w:tr>
    </w:tbl>
    <w:p>
      <w:pPr>
        <w:pStyle w:val="Heading1"/>
        <w:pBdr>
          <w:bottom w:val="single" w:color="1A56A0" w:sz="6" w:space="4"/>
        </w:pBdr>
        <w:spacing w:before="400" w:after="160"/>
      </w:pPr>
      <w:r>
        <w:rPr>
          <w:rFonts w:ascii="Arial" w:cs="Arial" w:eastAsia="Arial" w:hAnsi="Arial"/>
          <w:b/>
          <w:bCs/>
          <w:color w:val="1A56A0"/>
          <w:sz w:val="32"/>
          <w:szCs w:val="32"/>
        </w:rPr>
        <w:t xml:space="preserve">14. Limitations &amp; Open Questions</w:t>
      </w:r>
    </w:p>
    <w:p>
      <w:pPr>
        <w:pStyle w:val="ListParagraph"/>
        <w:numPr>
          <w:ilvl w:val="0"/>
          <w:numId w:val="2"/>
        </w:numPr>
        <w:spacing w:before="60" w:after="60"/>
      </w:pPr>
      <w:r>
        <w:rPr>
          <w:rFonts w:ascii="Arial" w:cs="Arial" w:eastAsia="Arial" w:hAnsi="Arial"/>
          <w:color w:val="1e1e1e"/>
          <w:sz w:val="20"/>
          <w:szCs w:val="20"/>
        </w:rPr>
        <w:t xml:space="preserve">No wet-lab validation: Computational reward proxies are surrogates. DepMap cell line data may not reflect in vivo biology for all indications.</w:t>
      </w:r>
    </w:p>
    <w:p>
      <w:pPr>
        <w:pStyle w:val="ListParagraph"/>
        <w:numPr>
          <w:ilvl w:val="0"/>
          <w:numId w:val="2"/>
        </w:numPr>
        <w:spacing w:before="60" w:after="60"/>
      </w:pPr>
      <w:r>
        <w:rPr>
          <w:rFonts w:ascii="Arial" w:cs="Arial" w:eastAsia="Arial" w:hAnsi="Arial"/>
          <w:color w:val="1e1e1e"/>
          <w:sz w:val="20"/>
          <w:szCs w:val="20"/>
        </w:rPr>
        <w:t xml:space="preserve">KG incompleteness: The KG is only as good as its source databases. Rare disease targets or non-canonical biology may be underrepresented.</w:t>
      </w:r>
    </w:p>
    <w:p>
      <w:pPr>
        <w:pStyle w:val="ListParagraph"/>
        <w:numPr>
          <w:ilvl w:val="0"/>
          <w:numId w:val="2"/>
        </w:numPr>
        <w:spacing w:before="60" w:after="60"/>
      </w:pPr>
      <w:r>
        <w:rPr>
          <w:rFonts w:ascii="Arial" w:cs="Arial" w:eastAsia="Arial" w:hAnsi="Arial"/>
          <w:color w:val="1e1e1e"/>
          <w:sz w:val="20"/>
          <w:szCs w:val="20"/>
        </w:rPr>
        <w:t xml:space="preserve">RL sample efficiency: Contextual bandits require many episodes to converge. Pre-training on OT historical data is critical to avoid cold-start.</w:t>
      </w:r>
    </w:p>
    <w:p>
      <w:pPr>
        <w:pStyle w:val="ListParagraph"/>
        <w:numPr>
          <w:ilvl w:val="0"/>
          <w:numId w:val="2"/>
        </w:numPr>
        <w:spacing w:before="60" w:after="60"/>
      </w:pPr>
      <w:r>
        <w:rPr>
          <w:rFonts w:ascii="Arial" w:cs="Arial" w:eastAsia="Arial" w:hAnsi="Arial"/>
          <w:color w:val="1e1e1e"/>
          <w:sz w:val="20"/>
          <w:szCs w:val="20"/>
        </w:rPr>
        <w:t xml:space="preserve">P-score label leakage: If P-score training data includes targets already well-validated in the literature, it may overfit to 'hot' targets rather than truly predicting novelty.</w:t>
      </w:r>
    </w:p>
    <w:p>
      <w:pPr>
        <w:pStyle w:val="ListParagraph"/>
        <w:numPr>
          <w:ilvl w:val="0"/>
          <w:numId w:val="2"/>
        </w:numPr>
        <w:spacing w:before="60" w:after="60"/>
      </w:pPr>
      <w:r>
        <w:rPr>
          <w:rFonts w:ascii="Arial" w:cs="Arial" w:eastAsia="Arial" w:hAnsi="Arial"/>
          <w:color w:val="1e1e1e"/>
          <w:sz w:val="20"/>
          <w:szCs w:val="20"/>
        </w:rPr>
        <w:t xml:space="preserve">Expression data heterogeneity: Combining GEO datasets from different platforms requires careful batch correction (ComBat or limma removeBatchEffect).</w:t>
      </w:r>
    </w:p>
    <w:p>
      <w:pPr>
        <w:pStyle w:val="Heading1"/>
        <w:pBdr>
          <w:bottom w:val="single" w:color="1A56A0" w:sz="6" w:space="4"/>
        </w:pBdr>
        <w:spacing w:before="400" w:after="160"/>
      </w:pPr>
      <w:r>
        <w:rPr>
          <w:rFonts w:ascii="Arial" w:cs="Arial" w:eastAsia="Arial" w:hAnsi="Arial"/>
          <w:b/>
          <w:bCs/>
          <w:color w:val="1A56A0"/>
          <w:sz w:val="32"/>
          <w:szCs w:val="32"/>
        </w:rPr>
        <w:t xml:space="preserve">Appendix A — API Reference</w:t>
      </w:r>
    </w:p>
    <w:p>
      <w:pPr>
        <w:pStyle w:val="Heading2"/>
        <w:spacing w:before="320" w:after="120"/>
      </w:pPr>
      <w:r>
        <w:rPr>
          <w:rFonts w:ascii="Arial" w:cs="Arial" w:eastAsia="Arial" w:hAnsi="Arial"/>
          <w:b/>
          <w:bCs/>
          <w:color w:val="2C3E50"/>
          <w:sz w:val="26"/>
          <w:szCs w:val="26"/>
        </w:rPr>
        <w:t xml:space="preserve">Key 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API</w:t>
            </w:r>
          </w:p>
        </w:tc>
        <w:tc>
          <w:tcPr>
            <w:tcW w:type="dxa" w:w="4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Endpoint / Method</w:t>
            </w:r>
          </w:p>
        </w:tc>
        <w:tc>
          <w:tcPr>
            <w:tcW w:type="dxa" w:w="26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Rate Limit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NCBI Entrez (GEO/PubMed)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https://eutils.ncbi.nlm.nih.gov/entrez/eutils/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3 req/s (10 with API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Open Targets GraphQL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https://api.platform.opentargets.org/api/v4/graphql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Unlimited (fair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DepMap</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https://depmap.org/portal/api/</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Bulk download recommended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ClinicalTrials v2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https://clinicaltrials.gov/api/v2/studies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No stated limit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STRING DB</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https://string-db.org/api/</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1 req/s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MyGene.info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https://mygene.info/v3/query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1000 req/min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Anthropic Claude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https://api.anthropic.com/v1/messages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18"/>
                <w:szCs w:val="18"/>
              </w:rPr>
              <w:t xml:space="preserve">Per-tier rate limits</w:t>
            </w:r>
          </w:p>
        </w:tc>
      </w:tr>
    </w:tbl>
    <w:p>
      <w:pPr>
        <w:spacing w:before="200" w:after="0"/>
      </w:pPr>
      <w:r>
        <w:t xml:space="preserve"/>
      </w:r>
    </w:p>
    <w:p>
      <w:pPr>
        <w:jc w:val="center"/>
      </w:pPr>
      <w:r>
        <w:rPr>
          <w:rFonts w:ascii="Arial" w:cs="Arial" w:eastAsia="Arial" w:hAnsi="Arial"/>
          <w:i/>
          <w:iCs/>
          <w:color w:val="555555"/>
          <w:sz w:val="18"/>
          <w:szCs w:val="18"/>
        </w:rPr>
        <w:t xml:space="preserve">End of Design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2026-03-08T19:17:05.814Z</dcterms:created>
  <dcterms:modified xsi:type="dcterms:W3CDTF">2026-03-08T19:17:05.814Z</dcterms:modified>
</cp:coreProperties>
</file>

<file path=docProps/custom.xml><?xml version="1.0" encoding="utf-8"?>
<Properties xmlns="http://schemas.openxmlformats.org/officeDocument/2006/custom-properties" xmlns:vt="http://schemas.openxmlformats.org/officeDocument/2006/docPropsVTypes"/>
</file>