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1215" w14:textId="2B7D3C94" w:rsidR="005F5740" w:rsidRPr="00767682" w:rsidRDefault="005F5740">
      <w:pPr>
        <w:rPr>
          <w:rFonts w:asciiTheme="minorHAnsi" w:hAnsiTheme="minorHAnsi" w:cstheme="minorHAnsi"/>
        </w:rPr>
      </w:pPr>
    </w:p>
    <w:p w14:paraId="617D1219" w14:textId="5E6CAED9" w:rsidR="002150EB" w:rsidRPr="00767682" w:rsidRDefault="002150EB" w:rsidP="002150EB">
      <w:pPr>
        <w:spacing w:line="0" w:lineRule="atLeast"/>
        <w:ind w:right="-59"/>
        <w:jc w:val="center"/>
        <w:rPr>
          <w:rFonts w:asciiTheme="minorHAnsi" w:eastAsia="Arial" w:hAnsiTheme="minorHAnsi" w:cstheme="minorHAnsi"/>
          <w:b/>
          <w:sz w:val="24"/>
        </w:rPr>
      </w:pPr>
      <w:r w:rsidRPr="00767682">
        <w:rPr>
          <w:rFonts w:asciiTheme="minorHAnsi" w:eastAsia="Arial" w:hAnsiTheme="minorHAnsi" w:cstheme="minorHAnsi"/>
          <w:b/>
          <w:sz w:val="24"/>
        </w:rPr>
        <w:t>INFORME</w:t>
      </w:r>
      <w:r w:rsidR="00B03018" w:rsidRPr="00767682">
        <w:rPr>
          <w:rFonts w:asciiTheme="minorHAnsi" w:eastAsia="Arial" w:hAnsiTheme="minorHAnsi" w:cstheme="minorHAnsi"/>
          <w:b/>
          <w:sz w:val="24"/>
        </w:rPr>
        <w:t xml:space="preserve"> </w:t>
      </w:r>
      <w:r w:rsidRPr="00767682">
        <w:rPr>
          <w:rFonts w:asciiTheme="minorHAnsi" w:eastAsia="Arial" w:hAnsiTheme="minorHAnsi" w:cstheme="minorHAnsi"/>
          <w:b/>
          <w:sz w:val="24"/>
        </w:rPr>
        <w:t>DE SUPERVISIÓN DE CONTRATOS DE PRESTACIÓN DE SERVICIOS</w:t>
      </w:r>
    </w:p>
    <w:p w14:paraId="162C3A27" w14:textId="42B5406B" w:rsidR="002150EB" w:rsidRPr="00767682" w:rsidRDefault="002150EB" w:rsidP="002150EB">
      <w:pPr>
        <w:spacing w:line="0" w:lineRule="atLeast"/>
        <w:ind w:right="-59"/>
        <w:jc w:val="center"/>
        <w:rPr>
          <w:rFonts w:asciiTheme="minorHAnsi" w:eastAsia="Arial" w:hAnsiTheme="minorHAnsi" w:cstheme="minorHAnsi"/>
          <w:b/>
          <w:sz w:val="24"/>
        </w:rPr>
      </w:pPr>
      <w:r w:rsidRPr="00767682">
        <w:rPr>
          <w:rFonts w:asciiTheme="minorHAnsi" w:eastAsia="Arial" w:hAnsiTheme="minorHAnsi" w:cstheme="minorHAnsi"/>
          <w:b/>
          <w:sz w:val="24"/>
        </w:rPr>
        <w:t>PROFESIONALES Y DE APOYO A LA GESTIÓN</w:t>
      </w:r>
    </w:p>
    <w:p w14:paraId="3E75301F" w14:textId="30C3FAA4" w:rsidR="002150EB" w:rsidRPr="00767682" w:rsidRDefault="002150EB" w:rsidP="002150EB">
      <w:pPr>
        <w:spacing w:line="0" w:lineRule="atLeast"/>
        <w:ind w:right="-59"/>
        <w:jc w:val="center"/>
        <w:rPr>
          <w:rFonts w:asciiTheme="minorHAnsi" w:eastAsia="Arial" w:hAnsiTheme="minorHAnsi" w:cstheme="minorHAnsi"/>
          <w:b/>
          <w:sz w:val="24"/>
        </w:rPr>
      </w:pPr>
    </w:p>
    <w:p w14:paraId="69733633" w14:textId="5E38CBA6" w:rsidR="002150EB" w:rsidRPr="00767682" w:rsidRDefault="002150EB" w:rsidP="002150EB">
      <w:pPr>
        <w:spacing w:line="0" w:lineRule="atLeast"/>
        <w:ind w:right="-59"/>
        <w:jc w:val="center"/>
        <w:rPr>
          <w:rFonts w:asciiTheme="minorHAnsi" w:eastAsia="Arial" w:hAnsiTheme="minorHAnsi" w:cstheme="minorHAnsi"/>
          <w:b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150EB" w:rsidRPr="00767682" w14:paraId="4001B64A" w14:textId="77777777" w:rsidTr="002150EB">
        <w:tc>
          <w:tcPr>
            <w:tcW w:w="4414" w:type="dxa"/>
          </w:tcPr>
          <w:p w14:paraId="4D037B74" w14:textId="10ECE8A6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NOMBRE DEL/ LA CONTRATISTA</w:t>
            </w:r>
          </w:p>
        </w:tc>
        <w:tc>
          <w:tcPr>
            <w:tcW w:w="4414" w:type="dxa"/>
          </w:tcPr>
          <w:p>
            <w:r/>
            <w:r>
              <w:rPr>
                <w:rFonts w:ascii="Arial" w:hAnsi="Arial"/>
              </w:rPr>
              <w:t>Angel Mateus Arrieta Morelo</w:t>
            </w:r>
          </w:p>
        </w:tc>
      </w:tr>
      <w:tr w:rsidR="002150EB" w:rsidRPr="00767682" w14:paraId="512ECD1E" w14:textId="77777777" w:rsidTr="002150EB">
        <w:tc>
          <w:tcPr>
            <w:tcW w:w="4414" w:type="dxa"/>
            <w:vAlign w:val="center"/>
          </w:tcPr>
          <w:p w14:paraId="1CBAFB8B" w14:textId="0FC02488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eastAsia="Arial" w:hAnsiTheme="minorHAnsi" w:cstheme="minorHAnsi"/>
                <w:b/>
              </w:rPr>
              <w:t>CARGO</w:t>
            </w:r>
          </w:p>
        </w:tc>
        <w:tc>
          <w:tcPr>
            <w:tcW w:w="4414" w:type="dxa"/>
          </w:tcPr>
          <w:p>
            <w:r/>
            <w:r>
              <w:rPr>
                <w:rFonts w:ascii="Arial" w:hAnsi="Arial"/>
              </w:rPr>
              <w:t>Consultor informático / Personal de comunicación y visibilidad</w:t>
            </w:r>
          </w:p>
        </w:tc>
      </w:tr>
      <w:tr w:rsidR="002150EB" w:rsidRPr="00767682" w14:paraId="69D38A39" w14:textId="77777777" w:rsidTr="002150EB">
        <w:tc>
          <w:tcPr>
            <w:tcW w:w="4414" w:type="dxa"/>
            <w:vAlign w:val="center"/>
          </w:tcPr>
          <w:p w14:paraId="0B7FD94F" w14:textId="646EED8A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NIT/ No de CÉDULA</w:t>
            </w:r>
          </w:p>
        </w:tc>
        <w:tc>
          <w:tcPr>
            <w:tcW w:w="4414" w:type="dxa"/>
          </w:tcPr>
          <w:p>
            <w:r/>
            <w:r>
              <w:rPr>
                <w:rFonts w:ascii="Arial" w:hAnsi="Arial"/>
              </w:rPr>
              <w:t>1028033422</w:t>
            </w:r>
          </w:p>
        </w:tc>
      </w:tr>
      <w:tr w:rsidR="002150EB" w:rsidRPr="00767682" w14:paraId="7C865286" w14:textId="77777777" w:rsidTr="002150EB">
        <w:tc>
          <w:tcPr>
            <w:tcW w:w="4414" w:type="dxa"/>
            <w:vAlign w:val="center"/>
          </w:tcPr>
          <w:p w14:paraId="736AA0C5" w14:textId="06C9D2C7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PERIODO DEL INFORME</w:t>
            </w:r>
          </w:p>
        </w:tc>
        <w:tc>
          <w:tcPr>
            <w:tcW w:w="4414" w:type="dxa"/>
          </w:tcPr>
          <w:p>
            <w:r/>
            <w:r>
              <w:rPr>
                <w:rFonts w:ascii="Arial" w:hAnsi="Arial"/>
              </w:rPr>
              <w:t>1 de marzo de 2026 – 17 de julio de 2026 (corte informe final)</w:t>
            </w:r>
          </w:p>
        </w:tc>
      </w:tr>
      <w:tr w:rsidR="002150EB" w:rsidRPr="00767682" w14:paraId="6CC68D9B" w14:textId="77777777" w:rsidTr="002150EB">
        <w:tc>
          <w:tcPr>
            <w:tcW w:w="4414" w:type="dxa"/>
            <w:vAlign w:val="center"/>
          </w:tcPr>
          <w:p w14:paraId="4818E34D" w14:textId="07A7BE2A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FECHA DE PRESENTACIÓN DEL INFORME</w:t>
            </w:r>
          </w:p>
        </w:tc>
        <w:tc>
          <w:tcPr>
            <w:tcW w:w="4414" w:type="dxa"/>
          </w:tcPr>
          <w:p>
            <w:r/>
            <w:r>
              <w:rPr>
                <w:rFonts w:ascii="Arial" w:hAnsi="Arial"/>
              </w:rPr>
              <w:t>17 de julio de 2026</w:t>
            </w:r>
          </w:p>
        </w:tc>
      </w:tr>
      <w:tr w:rsidR="002150EB" w:rsidRPr="00767682" w14:paraId="590F121A" w14:textId="77777777" w:rsidTr="002150EB">
        <w:tc>
          <w:tcPr>
            <w:tcW w:w="4414" w:type="dxa"/>
            <w:vAlign w:val="center"/>
          </w:tcPr>
          <w:p w14:paraId="183375E9" w14:textId="493708A1" w:rsidR="002150EB" w:rsidRPr="00767682" w:rsidRDefault="002150EB" w:rsidP="002150EB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</w:rPr>
            </w:pPr>
            <w:r w:rsidRPr="00767682">
              <w:rPr>
                <w:rFonts w:asciiTheme="minorHAnsi" w:hAnsiTheme="minorHAnsi" w:cstheme="minorHAnsi"/>
                <w:b/>
                <w:bCs/>
                <w:color w:val="000000"/>
              </w:rPr>
              <w:t>NOMBRE DEL COORDINADOR</w:t>
            </w:r>
          </w:p>
        </w:tc>
        <w:tc>
          <w:tcPr>
            <w:tcW w:w="4414" w:type="dxa"/>
          </w:tcPr>
          <w:p>
            <w:r/>
            <w:r>
              <w:rPr>
                <w:rFonts w:ascii="Arial" w:hAnsi="Arial"/>
              </w:rPr>
              <w:t>Francy Conu</w:t>
            </w:r>
          </w:p>
        </w:tc>
      </w:tr>
    </w:tbl>
    <w:p w14:paraId="43E97F96" w14:textId="77777777" w:rsidR="002150EB" w:rsidRPr="00767682" w:rsidRDefault="002150EB" w:rsidP="002150EB">
      <w:pPr>
        <w:spacing w:line="0" w:lineRule="atLeast"/>
        <w:ind w:right="-59"/>
        <w:jc w:val="both"/>
        <w:rPr>
          <w:rFonts w:asciiTheme="minorHAnsi" w:eastAsia="Arial" w:hAnsiTheme="minorHAnsi" w:cstheme="minorHAnsi"/>
          <w:b/>
          <w:sz w:val="24"/>
        </w:rPr>
      </w:pPr>
    </w:p>
    <w:p w14:paraId="7E89BFBF" w14:textId="7EE9461F" w:rsidR="002150EB" w:rsidRPr="00767682" w:rsidRDefault="002150EB">
      <w:pPr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8"/>
      </w:tblGrid>
      <w:tr w:rsidR="002150EB" w:rsidRPr="00767682" w14:paraId="5DB457E6" w14:textId="77777777" w:rsidTr="00A815E3">
        <w:trPr>
          <w:trHeight w:val="332"/>
        </w:trPr>
        <w:tc>
          <w:tcPr>
            <w:tcW w:w="11374" w:type="dxa"/>
          </w:tcPr>
          <w:p w14:paraId="5D1A86DB" w14:textId="77777777" w:rsidR="002150EB" w:rsidRPr="00767682" w:rsidRDefault="002150EB" w:rsidP="00A815E3">
            <w:pPr>
              <w:spacing w:line="0" w:lineRule="atLeast"/>
              <w:ind w:right="-59"/>
              <w:jc w:val="center"/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767682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>OBJETO DEL CONTRATO</w:t>
            </w:r>
          </w:p>
        </w:tc>
      </w:tr>
      <w:tr w:rsidR="002150EB" w:rsidRPr="00767682" w14:paraId="1BB88198" w14:textId="77777777" w:rsidTr="00A815E3">
        <w:tc>
          <w:tcPr>
            <w:tcW w:w="11374" w:type="dxa"/>
          </w:tcPr>
          <w:p>
            <w:r/>
            <w:r>
              <w:rPr>
                <w:rFonts w:ascii="Arial" w:hAnsi="Arial"/>
              </w:rPr>
              <w:t>Prestación de servicios de Consultoría en Tecnología de la Información para el diseño, desarrollo e implementación del Mockup Interactivo (MVP) de la Plataforma Digital Palenke de Pensamiento y Cuidadores del Territorio del Proceso de Comunidades Negras (PCN), que incluye: portal público/interno con control de visibilidad por rol, biblioteca documental temática (Memoria Afroterritorial), módulo de Mujeres, Juventudes y Niñez (MJN), catálogo de tableros estadísticos con integración Power BI y panel de administración para la gestión de contenidos. El geoportal/geovisor interno no forma parte del cierre del MVP y queda para la siguiente etapa del proyecto. Contrato HILEROS 055-2026 – Proyecto Turning Tides P1010.</w:t>
            </w:r>
          </w:p>
        </w:tc>
      </w:tr>
    </w:tbl>
    <w:p w14:paraId="0F19199F" w14:textId="12C6491C" w:rsidR="002150EB" w:rsidRPr="00767682" w:rsidRDefault="002150EB">
      <w:pPr>
        <w:rPr>
          <w:rFonts w:asciiTheme="minorHAnsi" w:hAnsiTheme="minorHAnsi" w:cstheme="minorHAnsi"/>
        </w:rPr>
      </w:pPr>
    </w:p>
    <w:p w14:paraId="422375E2" w14:textId="77777777" w:rsidR="00CF1484" w:rsidRPr="00767682" w:rsidRDefault="00CF1484" w:rsidP="00CF1484">
      <w:pPr>
        <w:spacing w:line="200" w:lineRule="exact"/>
        <w:rPr>
          <w:rFonts w:asciiTheme="minorHAnsi" w:eastAsia="Times New Roman" w:hAnsiTheme="minorHAnsi" w:cstheme="minorHAnsi"/>
          <w:sz w:val="24"/>
        </w:rPr>
      </w:pPr>
    </w:p>
    <w:p w14:paraId="656E2B74" w14:textId="77777777" w:rsidR="00CF1484" w:rsidRPr="00767682" w:rsidRDefault="00CF1484" w:rsidP="00CF1484">
      <w:pPr>
        <w:spacing w:line="248" w:lineRule="exact"/>
        <w:jc w:val="center"/>
        <w:rPr>
          <w:rFonts w:asciiTheme="minorHAnsi" w:eastAsia="Arial" w:hAnsiTheme="minorHAnsi" w:cstheme="minorHAnsi"/>
          <w:b/>
          <w:sz w:val="24"/>
        </w:rPr>
      </w:pPr>
      <w:r w:rsidRPr="00767682">
        <w:rPr>
          <w:rFonts w:asciiTheme="minorHAnsi" w:eastAsia="Arial" w:hAnsiTheme="minorHAnsi" w:cstheme="minorHAnsi"/>
          <w:b/>
          <w:sz w:val="24"/>
        </w:rPr>
        <w:t>CUMPLIMIENTO DE LAS OBLIGACIONES DEL CONTRATO</w:t>
      </w:r>
    </w:p>
    <w:p w14:paraId="5BEF6BEC" w14:textId="56CB3BCF" w:rsidR="002150EB" w:rsidRPr="00767682" w:rsidRDefault="002150EB">
      <w:pPr>
        <w:rPr>
          <w:rFonts w:asciiTheme="minorHAnsi" w:hAnsiTheme="minorHAnsi" w:cstheme="minorHAnsi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4390"/>
        <w:gridCol w:w="4536"/>
      </w:tblGrid>
      <w:tr w:rsidR="00863465" w:rsidRPr="00767682" w14:paraId="7EC61238" w14:textId="77777777" w:rsidTr="00863465">
        <w:trPr>
          <w:tblHeader/>
        </w:trPr>
        <w:tc>
          <w:tcPr>
            <w:tcW w:w="4390" w:type="dxa"/>
            <w:vAlign w:val="center"/>
          </w:tcPr>
          <w:p w14:paraId="18F351AC" w14:textId="29C1B3FE" w:rsidR="00863465" w:rsidRPr="00767682" w:rsidRDefault="00102CB9" w:rsidP="0076768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OBLIGACIONES</w:t>
            </w:r>
            <w:r w:rsidR="00863465">
              <w:rPr>
                <w:rFonts w:asciiTheme="minorHAnsi" w:hAnsiTheme="minorHAnsi" w:cstheme="minorHAnsi"/>
                <w:b/>
                <w:bCs/>
              </w:rPr>
              <w:t xml:space="preserve"> ESPECIFICAS </w:t>
            </w:r>
          </w:p>
        </w:tc>
        <w:tc>
          <w:tcPr>
            <w:tcW w:w="4536" w:type="dxa"/>
            <w:vAlign w:val="center"/>
          </w:tcPr>
          <w:p w14:paraId="4991023C" w14:textId="1ADDA3AC" w:rsidR="00863465" w:rsidRPr="00767682" w:rsidRDefault="00863465" w:rsidP="0076768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ACTIVIDADES </w:t>
            </w:r>
            <w:r w:rsidR="00102CB9">
              <w:rPr>
                <w:rFonts w:asciiTheme="minorHAnsi" w:hAnsiTheme="minorHAnsi" w:cstheme="minorHAnsi"/>
                <w:b/>
                <w:bCs/>
              </w:rPr>
              <w:t>EJECUTADAS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DURANTE EL PERIODO</w:t>
            </w:r>
          </w:p>
        </w:tc>
      </w:tr>
      <w:tr w:rsidR="00863465" w:rsidRPr="00767682" w14:paraId="1DF0AE7E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1. Mantener comunicación constante con la coordinación del proyecto para los ajustes necesarios y realizar presentación de avances cada mes.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sostuvo comunicación continua con la coordinación del proyecto para revisar prioridades funcionales, ajustes de contenido, definición de accesos y validación de avances de la plataforma. Los avances se reportaron mediante informes mensuales y espacios de seguimiento.</w:t>
              <w:br/>
              <w:br/>
              <w:t>Producto / evidencia: Informes administrativos firmados de abril y mayo de 2026; registro base de reunión del 27 de marzo de 2026 (Google Meet, 49 minutos); trazabilidad de requerimientos funcionales y ajustes atendidos durante el periodo.</w:t>
              <w:br/>
              <w:t>Enlace / anexo: FORMATO INFORME ADM_ANGEL_ARRIETA_ABRIL_2026.docx; FORMATO INFORME ADM_ANGEL_ARRIETA_MAYO_2026.docx; docs/final-formats/evidences/01</w:t>
              <w:br/>
              <w:t>Estado: En proceso | Avance: 100%</w:t>
            </w:r>
          </w:p>
        </w:tc>
      </w:tr>
      <w:tr w:rsidR="00863465" w:rsidRPr="00767682" w14:paraId="4D6015F8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3. Desarrollar el MVP de la plataforma en el plazo establecido (3 meses).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diseñó, desarrolló y desplegó el MVP de la plataforma con Next.js, React, TypeScript y Tailwind. El alcance funcional entregado en Fase 1 incluye inicio, biblioteca, memoria afroterritorial, MJN, gobierno propio, incidencia, mirador de datos (Power BI) y paneles administrativos base. El geoportal/geovisor interno no se incluye como entregable cerrado del MVP; corresponde a la siguiente etapa.</w:t>
              <w:br/>
              <w:br/>
              <w:t>Producto / evidencia: MVP funcional publicado en entorno web, con navegación operativa, módulos de Fase 1 visibles, rutas públicas e internas y base técnica lista para continuidad contractual. Geoportal: diferido a siguiente etapa (fuera del cierre MVP).</w:t>
              <w:br/>
              <w:t>Enlace / anexo: https://dev-palenke-two.vercel.app/; docs/final-formats/evidences/screenshots/01-home-plataforma.png</w:t>
              <w:br/>
              <w:t>Estado: Cumplido | Avance: 100%</w:t>
            </w:r>
          </w:p>
        </w:tc>
      </w:tr>
      <w:tr w:rsidR="00863465" w:rsidRPr="00767682" w14:paraId="57930B62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4. Implementar sistema de usuarios y roles (público, interno y administrador).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implementó autenticación con Supabase SSR, validación de sesión, control de permisos por rol y flujos de solicitud/aprobación de acceso. También se habilitaron superficies diferenciadas para visitante público, usuario interno y administración.</w:t>
              <w:br/>
              <w:br/>
              <w:t>Producto / evidencia: Sistema de usuarios y roles operativo: login, control de sesión, lectura de permisos, solicitudes de acceso y revisión administrativa de solicitudes.</w:t>
              <w:br/>
              <w:t>Enlace / anexo: src/middleware.ts; src/lib/auth/permissions.ts; src/lib/viewer.ts; src/app/login; src/app/admin/solicitudes; src/app/solicitar-acceso; docs/final-formats/evidences/04</w:t>
              <w:br/>
              <w:t>Estado: Cumplido | Avance: 100%</w:t>
            </w:r>
          </w:p>
        </w:tc>
      </w:tr>
      <w:tr w:rsidR="00863465" w:rsidRPr="00767682" w14:paraId="6B29BC67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5. Configurar niveles de visibilidad de contenidos (público, interno y restringido).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configuraron reglas de apertura y descarga por nivel de visibilidad, junto con validaciones por sesión y por rol para contenidos públicos e internos. El comportamiento también contempla accesos aprobados a documentos puntuales.</w:t>
              <w:br/>
              <w:br/>
              <w:t>Producto / evidencia: Lógica de visibilidad y permisos activa para documentos, vistas protegidas y recursos con acceso condicionado por rol o por aprobación previa.</w:t>
              <w:br/>
              <w:t>Enlace / anexo: src/lib/document-access.ts; src/lib/auth/permissions.ts; src/lib/viewer.ts; src/app/gobierno-propio/[instrumento]/page.tsx; docs/final-formats/evidences/05</w:t>
              <w:br/>
              <w:t>Estado: Cumplido | Avance: 100%</w:t>
            </w:r>
          </w:p>
        </w:tc>
      </w:tr>
      <w:tr w:rsidR="00863465" w:rsidRPr="00767682" w14:paraId="668D4A07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6. Desarrollar e implementar la Biblioteca Base con buscador y filtros básicos.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desarrolló la Biblioteca Base con barra de búsqueda, filtros por sección, territorio, tipo, año y temas, además de resumen de filtros activos y paginación. Se integró la sección de normativa con registros visibles por rol.</w:t>
              <w:br/>
              <w:br/>
              <w:t>Producto / evidencia: Biblioteca Base navegable y filtrable, con búsqueda funcional, resumen de filtros y acceso al corpus documental del MVP.</w:t>
              <w:br/>
              <w:t>Enlace / anexo: src/app/biblioteca/page.tsx; src/components/palenke/BibliotecaSearchBar.tsx; src/components/palenke/BibliotecaFilterSummary.tsx; https://dev-palenke-two.vercel.app/biblioteca; docs/final-formats/evidences/screenshots/02-biblioteca-buscador.png</w:t>
              <w:br/>
              <w:t>Estado: Cumplido | Avance: 100%</w:t>
            </w:r>
          </w:p>
        </w:tc>
      </w:tr>
      <w:tr w:rsidR="00863465" w:rsidRPr="00767682" w14:paraId="17E77DAF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7. Crear la sección Mujeres, Juventudes y Niñez.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construyó la sección Mujeres, Juventudes y Niñez con hero editorial, contexto político, documentos filtrados por agenda, piezas autorizadas y campañas destacadas. Parte del componente de litigio estratégico sigue dependiendo de contenido definitivo del equipo.</w:t>
              <w:br/>
              <w:br/>
              <w:t>Producto / evidencia: Sección MJN publicada con estructura editorial, tabs de contenido, piezas autorizadas y campañas visibles; pendiente completar insumos definitivos en algunos contenidos asociados a litigio.</w:t>
              <w:br/>
              <w:t>Enlace / anexo: src/app/mujeres-juventudes-ninez/page.tsx; src/app/mujeres-juventudes-ninez/campanas/[slug]/page.tsx; https://dev-palenke-two.vercel.app/mujeres-juventudes-ninez; docs/final-formats/evidences/screenshots/03-mjn.png</w:t>
              <w:br/>
              <w:t>Estado: En proceso | Avance: 90%</w:t>
            </w:r>
          </w:p>
        </w:tc>
      </w:tr>
      <w:tr w:rsidR="00863465" w:rsidRPr="00767682" w14:paraId="4CDDED97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8. Integrar dashboards Power BI y enlace al geoportal interno.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integró el mirador de datos con tableros Power BI visibles según rol, panel SCITA para consumo de dashboards y superficie administrativa para crear y editar tableros. Respecto al geoportal interno: no se entrega como módulo implementado del MVP; solo se deja preparada una ruta/punto de acceso para la siguiente etapa del proyecto, donde corresponde la integración plena con el geoportal SIG del equipo.</w:t>
              <w:br/>
              <w:br/>
              <w:t>Producto / evidencia: Power BI / mirador de datos: implementado (catálogo, SCITA/estadísticas, administración de tableros). Geoportal interno: NO implementado como módulo del MVP; diferido a la siguiente etapa. Evidencia de la página de acceso preparatoria en evidences/screenshots/05-geoportal-acceso.png (no constituye cierre del módulo SIG).</w:t>
              <w:br/>
              <w:t>Enlace / anexo: src/app/estadisticas/page.tsx; src/app/scita/page.tsx; src/components/palenke/ScitaDashboardPanel.tsx; src/components/palenke/ScitaDashboardAdminForm.tsx; src/app/admin/dashboards; https://dev-palenke-two.vercel.app/estadisticas; docs/final-formats/evidences/08; Geoportal (siguiente etapa / no MVP): src/app/geoportal/page.tsx; https://dev-palenke-two.vercel.app/geoportal; docs/final-formats/evidences/screenshots/05-geoportal-acceso.png; docs/final-formats/evidences/14_7</w:t>
              <w:br/>
              <w:t>Estado: En proceso | Avance: 70%</w:t>
            </w:r>
          </w:p>
        </w:tc>
      </w:tr>
      <w:tr w:rsidR="00863465" w:rsidRPr="00767682" w14:paraId="1D627347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9. Implementar seguridad básica (SSL y control de accesos).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aseguró el acceso HTTPS en despliegue y se implementaron validaciones de sesión, protección de rutas, control de permisos y separación de vistas según rol. La protección cubre páginas internas y superficies administrativas.</w:t>
              <w:br/>
              <w:br/>
              <w:t>Producto / evidencia: Seguridad básica operativa en despliegue: HTTPS/SSL, validación de sesión, middleware de control y restricción de acceso a rutas y recursos internos.</w:t>
              <w:br/>
              <w:t>Enlace / anexo: src/middleware.ts; src/lib/auth/permissions.ts; despliegue en Vercel con HTTPS; docs/final-formats/evidences/09</w:t>
              <w:br/>
              <w:t>Estado: Cumplido | Avance: 100%</w:t>
            </w:r>
          </w:p>
        </w:tc>
      </w:tr>
      <w:tr w:rsidR="00863465" w:rsidRPr="00767682" w14:paraId="43C122C4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10. Entregar código fuente completo y accesos administrativos.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El código fuente permanece versionado en GitHub con historial de cambios y despliegues continuos. Repositorio privado: https://github.com/anuidev8/palenke. Existen superficies administrativas funcionales en la plataforma. La entrega formal de accesos (GitHub por email + credenciales admin + acta) pertenece al cierre contractual.</w:t>
              <w:br/>
              <w:br/>
              <w:t>Producto / evidencia: Repositorio privado GitHub: https://github.com/anuidev8/palenke. Acceso: invitar por email al revisor. Contiene código Next.js, docs técnicas, supabase/migrations (modelo PostgreSQL) y estructura completa del MVP. Paneles admin disponibles; pendiente acta y credenciales formales.</w:t>
              <w:br/>
              <w:t>Enlace / anexo: https://github.com/anuidev8/palenke; docs/final-formats/evidences/10/REPOSITORIO_GITHUB.md; src/app/admin; docs/technical/palenke-mvp-technical-documentation.md; supabase/migrations/; docs/final-formats/evidences/10</w:t>
              <w:br/>
              <w:t>Estado: En proceso | Avance: 60%</w:t>
            </w:r>
          </w:p>
        </w:tc>
      </w:tr>
      <w:tr w:rsidR="00863465" w:rsidRPr="00767682" w14:paraId="7F288090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11. Entregar documentación técnica básica.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elaboró documentación técnica del MVP en formatos Markdown, HTML y PDF, junto con el protocolo operativo de integración SIG - BI - PostgreSQL - Power BI - Palenke.</w:t>
              <w:br/>
              <w:br/>
              <w:t>Producto / evidencia: Paquete documental técnico básico entregado: documentación del MVP (incluye sección 3A — tipo y modelo de base de datos PostgreSQL/Supabase), exportes HTML/PDF si aplican, protocolo SIG–BI–PostgreSQL–Power BI y anexo evidences/11/DB_MODEL_SUPABASE_POSTGRES.md.</w:t>
              <w:br/>
              <w:t>Enlace / anexo: docs/technical/palenke-mvp-technical-documentation.md; docs/technical/palenke-mvp-technical-documentation.html; docs/technical/palenke-mvp-technical-documentation.pdf; docs/protocolo-sig-bi-postgresql-powerbi-y-palenke.md; docs/final-formats/evidences/11; docs/final-formats/evidences/11/DB_MODEL_SUPABASE_POSTGRES.md; supabase/migrations/</w:t>
              <w:br/>
              <w:t>Estado: Cumplido | Avance: 100%</w:t>
            </w:r>
          </w:p>
        </w:tc>
      </w:tr>
      <w:tr w:rsidR="00863465" w:rsidRPr="00767682" w14:paraId="526B411E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12. Capacitar al equipo designado.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No se encontró evidencia formal en el repositorio de una sesión de capacitación cerrada con lista de asistencia, agenda, material o grabación entregable para este ítem.</w:t>
              <w:br/>
              <w:br/>
              <w:t>Producto / evidencia: Sin evidencia formal de capacitación al equipo designado dentro del corte revisado.</w:t>
              <w:br/>
              <w:t>Enlace / anexo: docs/final-formats/evidences/12</w:t>
              <w:br/>
              <w:t>Estado: No iniciado | Avance: 0%</w:t>
            </w:r>
          </w:p>
        </w:tc>
      </w:tr>
      <w:tr w:rsidR="00863465" w:rsidRPr="00767682" w14:paraId="732BEE8F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13. Corregir fallas detectadas antes de la entrega final.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Durante el periodo se atendieron ajustes funcionales, visuales y de estructura de datos, incluyendo refactors, rediseños de módulos y correcciones derivadas de requerimientos nuevos o cambios editoriales.</w:t>
              <w:br/>
              <w:br/>
              <w:t>Producto / evidencia: Historial de mejoras y correcciones en curso, soportado por cambios en el repositorio y por la trazabilidad consignada en informes mensuales.</w:t>
              <w:br/>
              <w:t>Enlace / anexo: Informes ABRIL y MAYO 2026; repositorio Git del proyecto; docs/final-formats/evidences/13</w:t>
              <w:br/>
              <w:t>Estado: En proceso | Avance: 50%</w:t>
            </w:r>
          </w:p>
        </w:tc>
      </w:tr>
      <w:tr w:rsidR="00863465" w:rsidRPr="00767682" w14:paraId="732BEE8F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16. Implementar taxonomías y metadatos avanzados para organización de contenidos.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avanzó en metadatos y taxonomías mediante varias migraciones y ajustes editoriales para gobierno propio, conservación, reglamentos y publicaciones. El modelo ya organiza mejor el contenido, pero aún no cubre de forma homogénea todos los módulos documentales.</w:t>
              <w:br/>
              <w:br/>
              <w:t>Producto / evidencia: Taxonomías y metadatos parciales implementados en varios componentes del sistema, reutilizables para la fase integral.</w:t>
              <w:br/>
              <w:t>Enlace / anexo: supabase/migrations/013_update_gobierno_propio_document_metadata.sql; supabase/migrations/014_align_gobierno_propio_ui_metadata.sql; supabase/migrations/015_backfill_gobierno_propio_supporting_docs_metadata.sql; supabase/migrations/016_align_conservacion_ui_metadata.sql; supabase/migrations/017_reglamentos_cc_mayor_capitania_territory_paez.sql; src/lib/lo-ultimo-publications.ts</w:t>
              <w:br/>
              <w:t>Estado: En proceso | Avance: 55%</w:t>
            </w:r>
          </w:p>
        </w:tc>
      </w:tr>
      <w:tr w:rsidR="00863465" w:rsidRPr="00767682" w14:paraId="732BEE8F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17. Desarrollar motor de búsqueda avanzada con múltiples filtros.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Actualmente existen búsqueda por texto, filtros múltiples, chips de temas, buscadores por módulo y una capa adicional de búsqueda asistida para biblioteca/mediateca. Aún no existe un único motor transversal para todos los módulos de la plataforma integral.</w:t>
              <w:br/>
              <w:br/>
              <w:t>Producto / evidencia: Capacidades de búsqueda avanzada parciales: filtros múltiples en biblioteca, búsqueda por módulo, búsqueda jurídica y panel de búsqueda asistida.</w:t>
              <w:br/>
              <w:t>Enlace / anexo: src/components/palenke/BibliotecaSearchBar.tsx; src/components/palenke/SeguridadJuridicaSearchBar.tsx; src/components/palenke/GlobalBibliotecaSearchDock.tsx; src/components/palenke/BibliotecaAiSearchPanel.tsx; src/lib/ai-search.ts</w:t>
              <w:br/>
              <w:t>Estado: En proceso | Avance: 60%</w:t>
            </w:r>
          </w:p>
        </w:tc>
      </w:tr>
      <w:tr w:rsidR="00863465" w:rsidRPr="00767682" w14:paraId="732BEE8F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18. Implementar módulo de Áreas de Conservación Comunitaria (ACCs).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implementó un módulo administrativo de ACCs y su correlato público en gobierno propio, con metadatos territoriales, visibilidad, vínculo a dashboard y referencia preparatoria al geoportal (módulo diferido a siguiente etapa, fuera del MVP). El módulo ya es demostrable, aunque el cierre fino de contenido y operación sigue abierto.</w:t>
              <w:br/>
              <w:br/>
              <w:t>Producto / evidencia: Módulo ACC funcional para gestión y visualización, con estructura pública y administrativa disponible.</w:t>
              <w:br/>
              <w:t>Enlace / anexo: src/app/admin/accs/page.tsx; src/app/admin/accs/[id]/editar/page.tsx; src/app/gobierno-propio/page.tsx; https://dev-palenke-two.vercel.app/gobierno-propio; docs/final-formats/evidences/screenshots/06-gobierno-propio-accs.png</w:t>
              <w:br/>
              <w:t>Estado: En proceso | Avance: 90%</w:t>
            </w:r>
          </w:p>
        </w:tc>
      </w:tr>
      <w:tr w:rsidR="00863465" w:rsidRPr="00767682" w14:paraId="732BEE8F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19. Desarrollar módulo estructurado de incidencia política y litigio estratégico.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habilitó la sección de Incidencia/Lo Último con listado, detalle, búsqueda, paginación y soporte para publicaciones con imagen o embeds sociales. El componente de litigio estratégico estructurado sigue dependiendo de insumos definitivos y de consolidación editorial.</w:t>
              <w:br/>
              <w:br/>
              <w:t>Producto / evidencia: Módulo de incidencia publicado y utilizable; componente de litigio estratégico aún en consolidación.</w:t>
              <w:br/>
              <w:t>Enlace / anexo: src/app/incidencia/page.tsx; src/app/incidencia/[slug]/page.tsx; docs/plan-biblioteca-rutas-litigio.md; https://dev-palenke-two.vercel.app/incidencia; docs/final-formats/evidences/screenshots/07-incidencia.png</w:t>
              <w:br/>
              <w:t>Estado: En proceso | Avance: 55%</w:t>
            </w:r>
          </w:p>
        </w:tc>
      </w:tr>
      <w:tr w:rsidR="00863465" w:rsidRPr="00767682" w14:paraId="732BEE8F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20. Fortalecer integraciones técnicas (APIs e interoperabilidad).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Se construyeron APIs internas de la propia plataforma para solicitudes de acceso, mensajes de contacto, carga/preparación de evidencias SCITA y previsualización/URL firmada de documentos. No se documentan integraciones amplias con APIs externas de terceros dentro de este entregable.</w:t>
              <w:br/>
              <w:br/>
              <w:t>Producto / evidencia: Conjunto de endpoints internos implementados para soporte funcional del portal, administración de acceso y gestión documental.</w:t>
              <w:br/>
              <w:t>Enlace / anexo: src/app/api/access-requests/route.ts; src/app/api/contact-messages/route.ts; src/app/api/scita/reports/prepare-upload/route.ts; src/app/api/scita/reports/[id]/evidence/route.ts; src/app/api/documents/[id]/preview/route.ts; src/app/api/documents/[id]/signed-url/route.ts</w:t>
              <w:br/>
              <w:t>Estado: En proceso | Avance: 60%</w:t>
            </w:r>
          </w:p>
        </w:tc>
      </w:tr>
      <w:tr w:rsidR="00863465" w:rsidRPr="00767682" w14:paraId="732BEE8F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21. Optimizar rendimiento y reforzar seguridad de la plataforma.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No se encontró evidencia suficiente de una fase formal de optimización de rendimiento ni de hardening adicional de seguridad más allá del control de acceso básico ya implementado.</w:t>
              <w:br/>
              <w:br/>
              <w:t>Producto / evidencia: Sin evidencia formal de optimización ampliada o auditoría específica de performance/seguridad.</w:t>
              <w:br/>
              <w:t>Enlace / anexo: docs/final-formats/evidences/21</w:t>
              <w:br/>
              <w:t>Estado: No iniciado | Avance: 0%</w:t>
            </w:r>
          </w:p>
        </w:tc>
      </w:tr>
      <w:tr w:rsidR="00863465" w:rsidRPr="00767682" w14:paraId="732BEE8F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22. Ampliar la documentación técnica del sistema.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Además de la documentación básica del MVP, ya existen un protocolo técnico de integración y un checklist de cumplimiento que sirven como base para ampliar la documentación del sistema. Aún falta consolidar un paquete único de documentación ampliada de Fase 2.</w:t>
              <w:br/>
              <w:br/>
              <w:t>Producto / evidencia: Base documental ampliada en construcción: protocolo técnico, checklist de cumplimiento y materiales de continuidad.</w:t>
              <w:br/>
              <w:t>Enlace / anexo: docs/protocolo-sig-bi-postgresql-powerbi-y-palenke.md; docs/CHECKLIST-CUMPLIMIENTO-ANEXO-4-RRI.md; docs/technical/palenke-mvp-technical-documentation.md</w:t>
              <w:br/>
              <w:t>Estado: En proceso | Avance: 60%</w:t>
            </w:r>
          </w:p>
        </w:tc>
      </w:tr>
      <w:tr w:rsidR="00863465" w:rsidRPr="00767682" w14:paraId="732BEE8F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23. Realizar capacitación complementaria al equipo.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No se encontró evidencia formal de capacitación complementaria documentada en el repositorio para este corte.</w:t>
              <w:br/>
              <w:br/>
              <w:t>Producto / evidencia: Sin evidencia formal de capacitación complementaria.</w:t>
              <w:br/>
              <w:t>Enlace / anexo: docs/final-formats/evidences/23</w:t>
              <w:br/>
              <w:t>Estado: No iniciado | Avance: 0%</w:t>
            </w:r>
          </w:p>
        </w:tc>
      </w:tr>
      <w:tr w:rsidR="00863465" w:rsidRPr="00767682" w14:paraId="732BEE8F" w14:textId="77777777" w:rsidTr="00863465">
        <w:tc>
          <w:tcPr>
            <w:tcW w:w="4390" w:type="dxa"/>
            <w:vAlign w:val="center"/>
          </w:tcPr>
          <w:p>
            <w:r/>
            <w:r>
              <w:rPr>
                <w:rFonts w:ascii="Arial" w:hAnsi="Arial"/>
              </w:rPr>
              <w:t>24. Garantizar estabilidad técnica durante el periodo acordado.</w:t>
            </w:r>
          </w:p>
        </w:tc>
        <w:tc>
          <w:tcPr>
            <w:tcW w:w="4536" w:type="dxa"/>
            <w:vAlign w:val="center"/>
          </w:tcPr>
          <w:p>
            <w:r/>
            <w:r>
              <w:rPr>
                <w:rFonts w:ascii="Arial" w:hAnsi="Arial"/>
              </w:rPr>
              <w:t>La plataforma ha mantenido desarrollo y despliegue continuo durante el periodo revisado, con seguimiento mensual y sin evidencia en el repositorio de una caída estructural documentada del servicio. El aseguramiento definitivo de estabilidad sigue siendo una obligación vigente hasta el cierre del contrato.</w:t>
              <w:br/>
              <w:br/>
              <w:t>Producto / evidencia: Historial de continuidad técnica y mantenimiento funcional del portal durante el periodo evaluado.</w:t>
              <w:br/>
              <w:t>Enlace / anexo: Repositorio Git del proyecto; informes ABRIL y MAYO 2026; docs/final-formats/evidences/24</w:t>
              <w:br/>
              <w:t>Estado: En proceso | Avance: 60%</w:t>
            </w:r>
          </w:p>
        </w:tc>
      </w:tr>
    </w:tbl>
    <w:p w14:paraId="4DC25408" w14:textId="10D7A505" w:rsidR="00CF1484" w:rsidRDefault="00CF1484">
      <w:pPr>
        <w:rPr>
          <w:rFonts w:asciiTheme="minorHAnsi" w:hAnsiTheme="minorHAnsi" w:cstheme="minorHAnsi"/>
        </w:rPr>
      </w:pPr>
    </w:p>
    <w:p w14:paraId="70F80630" w14:textId="1A339F75" w:rsidR="00B25CDF" w:rsidRDefault="009B291C" w:rsidP="00863D12">
      <w:pPr>
        <w:jc w:val="both"/>
        <w:rPr>
          <w:rFonts w:asciiTheme="minorHAnsi" w:hAnsiTheme="minorHAnsi" w:cstheme="minorHAnsi"/>
          <w:b/>
        </w:rPr>
      </w:pPr>
      <w:r>
        <w:rPr>
          <w:rFonts w:ascii="Arial" w:hAnsi="Arial"/>
        </w:rPr>
        <w:t>ANEXOS DEL INFORME FINAL</w:t>
        <w:br/>
        <w:t>1. Matriz de cumplimiento: docs/final-formats/02_Matriz_cumplimiento_ANGEL_MATEUS_final.xlsx</w:t>
        <w:br/>
        <w:t>2. Repositorio de evidencias numerado: docs/final-formats/evidences/</w:t>
        <w:br/>
        <w:t>3. Capturas de plataforma: docs/final-formats/evidences/screenshots/</w:t>
        <w:br/>
        <w:t>4. URL de validación del MVP: https://dev-palenke-two.vercel.app/</w:t>
        <w:br/>
        <w:t>5. Documentación técnica: docs/technical/palenke-mvp-technical-documentation.md (y exportes HTML/PDF si aplican)</w:t>
        <w:br/>
        <w:t>6. Protocolo SIG–BI–PostgreSQL–Power BI–Palenke: docs/protocolo-sig-bi-postgresql-powerbi-y-palenke.md</w:t>
        <w:br/>
        <w:t>7. Repositorio de código (privado): https://github.com/anuidev8/palenke (acceso por invitación email; ver evidences/10/REPOSITORIO_GITHUB.md)</w:t>
        <w:br/>
        <w:t>8. Informes administrativos previos: FORMATO INFORME ADM_ANGEL_ARRIETA_ABRIL_2026.docx; FORMATO INFORME ADM_ANGEL_ARRIETA_MAYO_2026.docx</w:t>
        <w:br/>
        <w:t>9. Pendientes de cierre administrativo (cuenta de cobro, seguridad social, RUT, paz y salvo, acta de transferencia y firmas) se anexarán por el canal institucional de Hileros.</w:t>
        <w:br/>
        <w:br/>
        <w:t>NOTA SOBRE GEOPORTAL</w:t>
        <w:br/>
        <w:t>El módulo de geoportal/geovisor interno NO se incluye como entregable cerrado del MVP (Fase 1). En este corte solo existe una página/punto de acceso preparatorio (/geoportal). La implementación del módulo corresponde a la siguiente etapa. Ver obligación 8 y entregable 14.7 en la matriz, y evidencia docs/final-formats/evidences/14_7 y screenshots/05-geoportal-acceso.png.</w:t>
        <w:br/>
        <w:br/>
        <w:t>PENDIENTES / CONTINUIDAD (resumen)</w:t>
        <w:br/>
        <w:t>- Geoportal interno: siguiente etapa (fuera del MVP).</w:t>
        <w:br/>
        <w:t>- Capacitación al equipo (obligaciones 12 y 23): pendiente programar y documentar.</w:t>
        <w:br/>
        <w:t>- Transferencia formal de código y accesos administrativos (obligación 10): pendiente acta.</w:t>
        <w:br/>
        <w:t>- Contenidos definitivos MJN/litigio y cierre fino Fase 2: insumos de continuidad.</w:t>
        <w:br/>
        <w:t>- Optimización avanzada de rendimiento/seguridad (obligación 21): no iniciada en este corte.</w:t>
      </w:r>
    </w:p>
    <w:p w14:paraId="27E14DAD" w14:textId="77777777" w:rsidR="009B291C" w:rsidRDefault="009B291C" w:rsidP="00863D12">
      <w:pPr>
        <w:jc w:val="both"/>
        <w:rPr>
          <w:rFonts w:asciiTheme="minorHAnsi" w:hAnsiTheme="minorHAnsi" w:cstheme="minorHAnsi"/>
          <w:b/>
        </w:rPr>
      </w:pPr>
    </w:p>
    <w:p w14:paraId="4E12A624" w14:textId="77777777" w:rsidR="009B291C" w:rsidRDefault="009B291C" w:rsidP="00863D12">
      <w:pPr>
        <w:jc w:val="both"/>
        <w:rPr>
          <w:rFonts w:asciiTheme="minorHAnsi" w:hAnsiTheme="minorHAnsi" w:cstheme="minorHAnsi"/>
          <w:b/>
        </w:rPr>
      </w:pPr>
    </w:p>
    <w:p w14:paraId="40EC1F97" w14:textId="77777777" w:rsidR="009B291C" w:rsidRPr="00863465" w:rsidRDefault="009B291C" w:rsidP="00863D12">
      <w:pPr>
        <w:jc w:val="both"/>
        <w:rPr>
          <w:rFonts w:asciiTheme="minorHAnsi" w:hAnsiTheme="minorHAnsi" w:cstheme="minorHAnsi"/>
          <w:b/>
        </w:rPr>
      </w:pPr>
    </w:p>
    <w:p w14:paraId="4BB21EA9" w14:textId="3177A91B" w:rsidR="00B25CDF" w:rsidRPr="00230ACC" w:rsidRDefault="00230ACC" w:rsidP="00863D12">
      <w:pPr>
        <w:jc w:val="both"/>
        <w:rPr>
          <w:b/>
          <w:bCs/>
          <w:sz w:val="22"/>
          <w:szCs w:val="22"/>
        </w:rPr>
      </w:pPr>
      <w:r w:rsidRPr="00863465">
        <w:rPr>
          <w:b/>
          <w:sz w:val="22"/>
          <w:szCs w:val="22"/>
        </w:rPr>
        <w:t>Atentamente,</w:t>
      </w:r>
      <w:r w:rsidRPr="00230ACC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</w:t>
      </w:r>
      <w:r w:rsidRPr="00230ACC">
        <w:rPr>
          <w:b/>
          <w:bCs/>
          <w:sz w:val="22"/>
          <w:szCs w:val="22"/>
        </w:rPr>
        <w:t>VISTO BUENO</w:t>
      </w:r>
    </w:p>
    <w:p w14:paraId="0193DCAD" w14:textId="20857F23" w:rsidR="00B25CDF" w:rsidRDefault="00B25CDF" w:rsidP="00863D12">
      <w:pPr>
        <w:jc w:val="both"/>
        <w:rPr>
          <w:rFonts w:asciiTheme="minorHAnsi" w:hAnsiTheme="minorHAnsi" w:cstheme="minorHAnsi"/>
        </w:rPr>
      </w:pPr>
    </w:p>
    <w:tbl>
      <w:tblPr>
        <w:tblpPr w:leftFromText="141" w:rightFromText="141" w:vertAnchor="text" w:horzAnchor="margin" w:tblpY="148"/>
        <w:tblW w:w="5000" w:type="pct"/>
        <w:tblLook w:val="04A0" w:firstRow="1" w:lastRow="0" w:firstColumn="1" w:lastColumn="0" w:noHBand="0" w:noVBand="1"/>
      </w:tblPr>
      <w:tblGrid>
        <w:gridCol w:w="4419"/>
        <w:gridCol w:w="4419"/>
      </w:tblGrid>
      <w:tr w:rsidR="00B25CDF" w14:paraId="7A6374C1" w14:textId="77777777" w:rsidTr="00863465">
        <w:trPr>
          <w:trHeight w:val="563"/>
        </w:trPr>
        <w:tc>
          <w:tcPr>
            <w:tcW w:w="2500" w:type="pct"/>
          </w:tcPr>
          <w:p w14:paraId="0B6DDA99" w14:textId="7520BB00" w:rsidR="00B25CDF" w:rsidRPr="00F50929" w:rsidRDefault="00B25CDF" w:rsidP="00B25CDF">
            <w:pPr>
              <w:jc w:val="center"/>
              <w:rPr>
                <w:rFonts w:eastAsia="Arial"/>
                <w:b/>
              </w:rPr>
            </w:pPr>
          </w:p>
        </w:tc>
        <w:tc>
          <w:tcPr>
            <w:tcW w:w="2500" w:type="pct"/>
          </w:tcPr>
          <w:p w14:paraId="1067D502" w14:textId="77777777" w:rsidR="00B25CDF" w:rsidRPr="00F50929" w:rsidRDefault="00B25CDF" w:rsidP="00B25CDF">
            <w:pPr>
              <w:jc w:val="center"/>
              <w:rPr>
                <w:rFonts w:eastAsia="Arial"/>
                <w:b/>
              </w:rPr>
            </w:pPr>
          </w:p>
        </w:tc>
      </w:tr>
      <w:tr w:rsidR="00B25CDF" w14:paraId="296DCF84" w14:textId="77777777" w:rsidTr="00863465">
        <w:tc>
          <w:tcPr>
            <w:tcW w:w="2500" w:type="pct"/>
          </w:tcPr>
          <w:p>
            <w:r/>
            <w:r>
              <w:rPr>
                <w:rFonts w:ascii="Arial" w:hAnsi="Arial"/>
              </w:rPr>
              <w:t>FIRMA CONTRATISTA</w:t>
              <w:br/>
              <w:t>NOMBRE: Angel Mateus Arrieta Morelo</w:t>
              <w:br/>
              <w:t>C.C: 1028033422</w:t>
              <w:br/>
              <w:t>(Pendiente firma manuscrita / digital)</w:t>
            </w:r>
          </w:p>
        </w:tc>
        <w:tc>
          <w:tcPr>
            <w:tcW w:w="2500" w:type="pct"/>
          </w:tcPr>
          <w:p>
            <w:r/>
            <w:r>
              <w:rPr>
                <w:rFonts w:ascii="Arial" w:hAnsi="Arial"/>
              </w:rPr>
              <w:t>FIRMA</w:t>
              <w:br/>
              <w:t>COORDINADOR(A): Francy Conu</w:t>
              <w:br/>
              <w:t>(Pendiente visto bueno)</w:t>
            </w:r>
          </w:p>
        </w:tc>
      </w:tr>
    </w:tbl>
    <w:p w14:paraId="3C6B3496" w14:textId="77CD3FC9" w:rsidR="00B25CDF" w:rsidRDefault="00B25CDF" w:rsidP="00863D12">
      <w:pPr>
        <w:jc w:val="both"/>
        <w:rPr>
          <w:rFonts w:asciiTheme="minorHAnsi" w:hAnsiTheme="minorHAnsi" w:cstheme="minorHAnsi"/>
        </w:rPr>
      </w:pPr>
    </w:p>
    <w:sectPr w:rsidR="00B25CDF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BC1C" w14:textId="77777777" w:rsidR="00175530" w:rsidRDefault="00175530" w:rsidP="002150EB">
      <w:r>
        <w:separator/>
      </w:r>
    </w:p>
  </w:endnote>
  <w:endnote w:type="continuationSeparator" w:id="0">
    <w:p w14:paraId="3DD18349" w14:textId="77777777" w:rsidR="00175530" w:rsidRDefault="00175530" w:rsidP="00215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E0C9" w14:textId="77777777" w:rsidR="002150EB" w:rsidRDefault="002150EB" w:rsidP="002150EB">
    <w:pPr>
      <w:pStyle w:val="Piedepgina"/>
      <w:spacing w:before="240"/>
      <w:jc w:val="center"/>
      <w:rPr>
        <w:sz w:val="18"/>
        <w:szCs w:val="18"/>
        <w:lang w:val="es-MX"/>
      </w:rPr>
    </w:pPr>
    <w:bookmarkStart w:id="0" w:name="_Hlk109386711"/>
    <w:r w:rsidRPr="00167452">
      <w:rPr>
        <w:sz w:val="18"/>
        <w:szCs w:val="18"/>
        <w:lang w:val="es-MX"/>
      </w:rPr>
      <w:t>Calle 12 D Nro. 1 A – 10 Teléfono 3 907289 Celular 318 4003907 Bogotá D.C.</w:t>
    </w:r>
  </w:p>
  <w:p w14:paraId="7F206405" w14:textId="0E1769C2" w:rsidR="002150EB" w:rsidRPr="00C65B91" w:rsidRDefault="002150EB" w:rsidP="002150EB">
    <w:pPr>
      <w:pStyle w:val="Piedepgina"/>
      <w:jc w:val="center"/>
      <w:rPr>
        <w:sz w:val="18"/>
        <w:szCs w:val="18"/>
        <w:lang w:val="en-US"/>
      </w:rPr>
    </w:pPr>
    <w:r w:rsidRPr="00C65B91">
      <w:rPr>
        <w:sz w:val="18"/>
        <w:szCs w:val="18"/>
        <w:lang w:val="en-US"/>
      </w:rPr>
      <w:t xml:space="preserve">Email. </w:t>
    </w:r>
    <w:hyperlink r:id="rId1" w:history="1">
      <w:r w:rsidR="00980FAE" w:rsidRPr="002C51E2">
        <w:rPr>
          <w:rStyle w:val="Hipervnculo"/>
          <w:sz w:val="18"/>
          <w:szCs w:val="18"/>
          <w:lang w:val="en-US"/>
        </w:rPr>
        <w:t>hileros@renacientes.org</w:t>
      </w:r>
    </w:hyperlink>
    <w:r w:rsidRPr="00C65B91">
      <w:rPr>
        <w:sz w:val="18"/>
        <w:szCs w:val="18"/>
        <w:lang w:val="en-US"/>
      </w:rPr>
      <w:t xml:space="preserve">, </w:t>
    </w:r>
    <w:hyperlink r:id="rId2" w:history="1">
      <w:r w:rsidRPr="00C65B91">
        <w:rPr>
          <w:rStyle w:val="Hipervnculo"/>
          <w:sz w:val="18"/>
          <w:szCs w:val="18"/>
          <w:lang w:val="en-US"/>
        </w:rPr>
        <w:t>administracion@renacientes.org</w:t>
      </w:r>
    </w:hyperlink>
    <w:r w:rsidRPr="00C65B91">
      <w:rPr>
        <w:sz w:val="18"/>
        <w:szCs w:val="18"/>
        <w:lang w:val="en-US"/>
      </w:rPr>
      <w:t xml:space="preserve">, </w:t>
    </w:r>
    <w:hyperlink r:id="rId3" w:history="1">
      <w:r w:rsidRPr="00C65B91">
        <w:rPr>
          <w:rStyle w:val="Hipervnculo"/>
          <w:sz w:val="18"/>
          <w:szCs w:val="18"/>
          <w:lang w:val="en-US"/>
        </w:rPr>
        <w:t>www.renacientes.org</w:t>
      </w:r>
    </w:hyperlink>
    <w:r w:rsidRPr="00C65B91">
      <w:rPr>
        <w:sz w:val="18"/>
        <w:szCs w:val="18"/>
        <w:lang w:val="en-US"/>
      </w:rPr>
      <w:t xml:space="preserve"> </w:t>
    </w:r>
  </w:p>
  <w:bookmarkEnd w:id="0" w:displacedByCustomXml="next"/>
  <w:sdt>
    <w:sdtPr>
      <w:id w:val="-1192750937"/>
      <w:docPartObj>
        <w:docPartGallery w:val="Page Numbers (Bottom of Page)"/>
        <w:docPartUnique/>
      </w:docPartObj>
    </w:sdtPr>
    <w:sdtContent>
      <w:p w14:paraId="0BAF7CFE" w14:textId="22C15019" w:rsidR="002150EB" w:rsidRDefault="002150EB" w:rsidP="002150E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3836">
          <w:rPr>
            <w:noProof/>
          </w:rPr>
          <w:t>2</w:t>
        </w:r>
        <w:r>
          <w:fldChar w:fldCharType="end"/>
        </w:r>
      </w:p>
    </w:sdtContent>
  </w:sdt>
  <w:p w14:paraId="56884F0B" w14:textId="77777777" w:rsidR="002150EB" w:rsidRDefault="002150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B2BD" w14:textId="77777777" w:rsidR="00175530" w:rsidRDefault="00175530" w:rsidP="002150EB">
      <w:r>
        <w:separator/>
      </w:r>
    </w:p>
  </w:footnote>
  <w:footnote w:type="continuationSeparator" w:id="0">
    <w:p w14:paraId="268D25EF" w14:textId="77777777" w:rsidR="00175530" w:rsidRDefault="00175530" w:rsidP="00215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181" w:type="pct"/>
      <w:tblInd w:w="-11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79"/>
      <w:gridCol w:w="4829"/>
      <w:gridCol w:w="2905"/>
    </w:tblGrid>
    <w:tr w:rsidR="002150EB" w:rsidRPr="00A61C91" w14:paraId="04F3DF66" w14:textId="77777777" w:rsidTr="002150EB">
      <w:trPr>
        <w:trHeight w:val="323"/>
      </w:trPr>
      <w:tc>
        <w:tcPr>
          <w:tcW w:w="1456" w:type="pct"/>
          <w:vMerge w:val="restart"/>
          <w:vAlign w:val="center"/>
        </w:tcPr>
        <w:p w14:paraId="587B172B" w14:textId="626A1008" w:rsidR="002150EB" w:rsidRPr="00A61C91" w:rsidRDefault="008E4728" w:rsidP="002150EB">
          <w:pPr>
            <w:pStyle w:val="Encabezado"/>
            <w:tabs>
              <w:tab w:val="left" w:pos="3285"/>
            </w:tabs>
            <w:jc w:val="center"/>
            <w:rPr>
              <w:color w:val="FF0000"/>
            </w:rPr>
          </w:pPr>
          <w:r>
            <w:rPr>
              <w:noProof/>
              <w:color w:val="FF0000"/>
            </w:rPr>
            <w:drawing>
              <wp:anchor distT="0" distB="0" distL="114300" distR="114300" simplePos="0" relativeHeight="251658240" behindDoc="1" locked="0" layoutInCell="1" allowOverlap="1" wp14:anchorId="26BE79DC" wp14:editId="53D01911">
                <wp:simplePos x="0" y="0"/>
                <wp:positionH relativeFrom="column">
                  <wp:posOffset>472440</wp:posOffset>
                </wp:positionH>
                <wp:positionV relativeFrom="paragraph">
                  <wp:posOffset>-26035</wp:posOffset>
                </wp:positionV>
                <wp:extent cx="974725" cy="604520"/>
                <wp:effectExtent l="0" t="0" r="0" b="508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4725" cy="6045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12" w:type="pct"/>
          <w:vMerge w:val="restart"/>
          <w:tcBorders>
            <w:bottom w:val="nil"/>
          </w:tcBorders>
          <w:vAlign w:val="center"/>
        </w:tcPr>
        <w:p w14:paraId="05349ED2" w14:textId="77777777" w:rsidR="002150EB" w:rsidRDefault="002150EB" w:rsidP="002150EB">
          <w:pPr>
            <w:pStyle w:val="Encabezado"/>
            <w:tabs>
              <w:tab w:val="left" w:pos="3045"/>
              <w:tab w:val="left" w:pos="3285"/>
            </w:tabs>
            <w:jc w:val="center"/>
            <w:rPr>
              <w:b/>
            </w:rPr>
          </w:pPr>
        </w:p>
        <w:p w14:paraId="4EBD9BBB" w14:textId="77777777" w:rsidR="002150EB" w:rsidRDefault="002150EB" w:rsidP="002150EB">
          <w:pPr>
            <w:pStyle w:val="Encabezado"/>
            <w:tabs>
              <w:tab w:val="left" w:pos="3045"/>
              <w:tab w:val="left" w:pos="3285"/>
            </w:tabs>
            <w:jc w:val="center"/>
            <w:rPr>
              <w:b/>
            </w:rPr>
          </w:pPr>
          <w:r>
            <w:rPr>
              <w:b/>
            </w:rPr>
            <w:t>CORPORACIÓN AGENCIA AFROCOLOMBIANA HILEROS</w:t>
          </w:r>
        </w:p>
        <w:p w14:paraId="5B0C2CAC" w14:textId="77777777" w:rsidR="002150EB" w:rsidRPr="00A61C91" w:rsidRDefault="002150EB" w:rsidP="002150EB">
          <w:pPr>
            <w:jc w:val="center"/>
            <w:rPr>
              <w:b/>
              <w:noProof/>
            </w:rPr>
          </w:pPr>
          <w:r w:rsidRPr="00CB2DBA">
            <w:rPr>
              <w:sz w:val="18"/>
              <w:szCs w:val="18"/>
            </w:rPr>
            <w:t>Registro S0033953- marzo 19 de 2009 NIT 900300959-1</w:t>
          </w:r>
        </w:p>
      </w:tc>
      <w:tc>
        <w:tcPr>
          <w:tcW w:w="1331" w:type="pct"/>
          <w:vAlign w:val="center"/>
        </w:tcPr>
        <w:p w14:paraId="7D1AB738" w14:textId="5D01872B" w:rsidR="002150EB" w:rsidRPr="00C57012" w:rsidRDefault="002150EB" w:rsidP="002150EB">
          <w:pPr>
            <w:pStyle w:val="Encabezado"/>
            <w:tabs>
              <w:tab w:val="left" w:pos="3285"/>
            </w:tabs>
            <w:rPr>
              <w:sz w:val="18"/>
              <w:szCs w:val="18"/>
            </w:rPr>
          </w:pPr>
          <w:r w:rsidRPr="00230ACC">
            <w:rPr>
              <w:color w:val="000000" w:themeColor="text1"/>
              <w:sz w:val="18"/>
              <w:szCs w:val="18"/>
            </w:rPr>
            <w:t>Código:</w:t>
          </w:r>
          <w:r w:rsidR="00230ACC">
            <w:rPr>
              <w:color w:val="000000" w:themeColor="text1"/>
              <w:sz w:val="18"/>
              <w:szCs w:val="18"/>
            </w:rPr>
            <w:t xml:space="preserve"> </w:t>
          </w:r>
          <w:r w:rsidR="00AA4B94" w:rsidRPr="00AA4B94">
            <w:rPr>
              <w:color w:val="000000" w:themeColor="text1"/>
              <w:sz w:val="18"/>
              <w:szCs w:val="18"/>
            </w:rPr>
            <w:t>CAAH-GA-INF-001-2026</w:t>
          </w:r>
        </w:p>
      </w:tc>
    </w:tr>
    <w:tr w:rsidR="002150EB" w:rsidRPr="00A61C91" w14:paraId="17E9C58A" w14:textId="77777777" w:rsidTr="002150EB">
      <w:trPr>
        <w:trHeight w:val="321"/>
      </w:trPr>
      <w:tc>
        <w:tcPr>
          <w:tcW w:w="1456" w:type="pct"/>
          <w:vMerge/>
          <w:vAlign w:val="center"/>
        </w:tcPr>
        <w:p w14:paraId="1ACE0FDE" w14:textId="77777777" w:rsidR="002150EB" w:rsidRPr="00A61C91" w:rsidRDefault="002150EB" w:rsidP="002150EB">
          <w:pPr>
            <w:pStyle w:val="Encabezado"/>
            <w:tabs>
              <w:tab w:val="left" w:pos="3285"/>
            </w:tabs>
            <w:jc w:val="center"/>
            <w:rPr>
              <w:color w:val="FF0000"/>
            </w:rPr>
          </w:pPr>
        </w:p>
      </w:tc>
      <w:tc>
        <w:tcPr>
          <w:tcW w:w="2212" w:type="pct"/>
          <w:vMerge/>
          <w:tcBorders>
            <w:top w:val="nil"/>
            <w:bottom w:val="nil"/>
          </w:tcBorders>
        </w:tcPr>
        <w:p w14:paraId="6E4379E2" w14:textId="77777777" w:rsidR="002150EB" w:rsidRPr="00A61C91" w:rsidRDefault="002150EB" w:rsidP="002150EB">
          <w:pPr>
            <w:pStyle w:val="Encabezado"/>
            <w:tabs>
              <w:tab w:val="left" w:pos="3045"/>
              <w:tab w:val="left" w:pos="3285"/>
            </w:tabs>
            <w:rPr>
              <w:b/>
            </w:rPr>
          </w:pPr>
        </w:p>
      </w:tc>
      <w:tc>
        <w:tcPr>
          <w:tcW w:w="1331" w:type="pct"/>
          <w:vAlign w:val="center"/>
        </w:tcPr>
        <w:p w14:paraId="2DA7C2D2" w14:textId="5ED366C7" w:rsidR="002150EB" w:rsidRPr="002150EB" w:rsidRDefault="002150EB" w:rsidP="002150EB">
          <w:pPr>
            <w:pStyle w:val="Encabezado"/>
            <w:tabs>
              <w:tab w:val="left" w:pos="3285"/>
            </w:tabs>
            <w:rPr>
              <w:sz w:val="18"/>
              <w:szCs w:val="18"/>
              <w:highlight w:val="red"/>
            </w:rPr>
          </w:pPr>
          <w:r w:rsidRPr="00230ACC">
            <w:rPr>
              <w:sz w:val="18"/>
              <w:szCs w:val="18"/>
            </w:rPr>
            <w:t>Versión:</w:t>
          </w:r>
          <w:r w:rsidR="00863465">
            <w:rPr>
              <w:sz w:val="18"/>
              <w:szCs w:val="18"/>
            </w:rPr>
            <w:t>1</w:t>
          </w:r>
        </w:p>
      </w:tc>
    </w:tr>
    <w:tr w:rsidR="002150EB" w:rsidRPr="00A61C91" w14:paraId="1CAE140A" w14:textId="77777777" w:rsidTr="002150EB">
      <w:trPr>
        <w:trHeight w:val="321"/>
      </w:trPr>
      <w:tc>
        <w:tcPr>
          <w:tcW w:w="1456" w:type="pct"/>
          <w:vMerge/>
          <w:vAlign w:val="center"/>
        </w:tcPr>
        <w:p w14:paraId="7E4BEB0A" w14:textId="77777777" w:rsidR="002150EB" w:rsidRPr="00A61C91" w:rsidRDefault="002150EB" w:rsidP="002150EB">
          <w:pPr>
            <w:pStyle w:val="Encabezado"/>
            <w:tabs>
              <w:tab w:val="left" w:pos="3285"/>
            </w:tabs>
            <w:jc w:val="center"/>
            <w:rPr>
              <w:color w:val="FF0000"/>
            </w:rPr>
          </w:pPr>
        </w:p>
      </w:tc>
      <w:tc>
        <w:tcPr>
          <w:tcW w:w="2212" w:type="pct"/>
          <w:tcBorders>
            <w:top w:val="nil"/>
          </w:tcBorders>
        </w:tcPr>
        <w:p w14:paraId="4184C968" w14:textId="77777777" w:rsidR="002150EB" w:rsidRPr="00CB2DBA" w:rsidRDefault="002150EB" w:rsidP="002150EB">
          <w:pPr>
            <w:pStyle w:val="Encabezado"/>
            <w:jc w:val="center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1331" w:type="pct"/>
          <w:vAlign w:val="center"/>
        </w:tcPr>
        <w:p w14:paraId="1E2F6E7B" w14:textId="07CA2DE1" w:rsidR="002150EB" w:rsidRPr="002150EB" w:rsidRDefault="002150EB" w:rsidP="002150EB">
          <w:pPr>
            <w:pStyle w:val="Encabezado"/>
            <w:tabs>
              <w:tab w:val="left" w:pos="3285"/>
            </w:tabs>
            <w:rPr>
              <w:sz w:val="18"/>
              <w:szCs w:val="18"/>
              <w:highlight w:val="red"/>
            </w:rPr>
          </w:pPr>
          <w:r w:rsidRPr="00230ACC">
            <w:rPr>
              <w:sz w:val="18"/>
              <w:szCs w:val="18"/>
            </w:rPr>
            <w:t>Fecha: 0</w:t>
          </w:r>
          <w:r w:rsidR="00AA4B94">
            <w:rPr>
              <w:sz w:val="18"/>
              <w:szCs w:val="18"/>
            </w:rPr>
            <w:t>2</w:t>
          </w:r>
          <w:r w:rsidRPr="00230ACC">
            <w:rPr>
              <w:sz w:val="18"/>
              <w:szCs w:val="18"/>
            </w:rPr>
            <w:t>-20</w:t>
          </w:r>
          <w:r w:rsidR="00230ACC">
            <w:rPr>
              <w:sz w:val="18"/>
              <w:szCs w:val="18"/>
            </w:rPr>
            <w:t>2</w:t>
          </w:r>
          <w:r w:rsidR="00AA4B94">
            <w:rPr>
              <w:sz w:val="18"/>
              <w:szCs w:val="18"/>
            </w:rPr>
            <w:t>6</w:t>
          </w:r>
        </w:p>
      </w:tc>
    </w:tr>
  </w:tbl>
  <w:p w14:paraId="08A59146" w14:textId="77777777" w:rsidR="002150EB" w:rsidRDefault="002150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E3C04"/>
    <w:multiLevelType w:val="hybridMultilevel"/>
    <w:tmpl w:val="64B024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58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0EB"/>
    <w:rsid w:val="00102CB9"/>
    <w:rsid w:val="0011409D"/>
    <w:rsid w:val="0016033E"/>
    <w:rsid w:val="00163886"/>
    <w:rsid w:val="00175530"/>
    <w:rsid w:val="002150EB"/>
    <w:rsid w:val="00230ACC"/>
    <w:rsid w:val="00345A50"/>
    <w:rsid w:val="00346356"/>
    <w:rsid w:val="0035358A"/>
    <w:rsid w:val="003F0D7F"/>
    <w:rsid w:val="0047299C"/>
    <w:rsid w:val="0050027A"/>
    <w:rsid w:val="005814D9"/>
    <w:rsid w:val="005F5740"/>
    <w:rsid w:val="006443EC"/>
    <w:rsid w:val="006B1F01"/>
    <w:rsid w:val="006F6AF6"/>
    <w:rsid w:val="00734864"/>
    <w:rsid w:val="0075711C"/>
    <w:rsid w:val="00761324"/>
    <w:rsid w:val="00767682"/>
    <w:rsid w:val="00863465"/>
    <w:rsid w:val="00863D12"/>
    <w:rsid w:val="008E4728"/>
    <w:rsid w:val="0096748D"/>
    <w:rsid w:val="00980FAE"/>
    <w:rsid w:val="00984927"/>
    <w:rsid w:val="009B291C"/>
    <w:rsid w:val="009D6F26"/>
    <w:rsid w:val="00A75F37"/>
    <w:rsid w:val="00AA4B94"/>
    <w:rsid w:val="00AB7AAA"/>
    <w:rsid w:val="00AD7511"/>
    <w:rsid w:val="00B03018"/>
    <w:rsid w:val="00B25CDF"/>
    <w:rsid w:val="00B90E03"/>
    <w:rsid w:val="00BC3863"/>
    <w:rsid w:val="00C550A2"/>
    <w:rsid w:val="00C718A1"/>
    <w:rsid w:val="00C840C7"/>
    <w:rsid w:val="00CD3836"/>
    <w:rsid w:val="00CD68FF"/>
    <w:rsid w:val="00CF1484"/>
    <w:rsid w:val="00D52FBA"/>
    <w:rsid w:val="00EA32D9"/>
    <w:rsid w:val="00FA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16282"/>
  <w15:chartTrackingRefBased/>
  <w15:docId w15:val="{77AF1F31-10DC-4F20-B9E5-5DD05B9A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0EB"/>
    <w:pPr>
      <w:spacing w:after="0" w:line="240" w:lineRule="auto"/>
    </w:pPr>
    <w:rPr>
      <w:rFonts w:ascii="Calibri" w:eastAsia="Calibri" w:hAnsi="Calibri" w:cs="Arial"/>
      <w:sz w:val="20"/>
      <w:szCs w:val="20"/>
      <w:lang w:eastAsia="es-CO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52FBA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09D"/>
    <w:pPr>
      <w:keepNext/>
      <w:keepLines/>
      <w:spacing w:before="40" w:line="276" w:lineRule="auto"/>
      <w:jc w:val="both"/>
      <w:outlineLvl w:val="2"/>
    </w:pPr>
    <w:rPr>
      <w:rFonts w:ascii="Arial" w:eastAsiaTheme="majorEastAsia" w:hAnsi="Arial" w:cstheme="majorBidi"/>
      <w:b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A75F37"/>
    <w:pPr>
      <w:spacing w:after="200"/>
      <w:jc w:val="center"/>
    </w:pPr>
    <w:rPr>
      <w:rFonts w:ascii="Arial" w:eastAsia="Times New Roman" w:hAnsi="Arial" w:cs="Times New Roman"/>
      <w:iCs/>
      <w:szCs w:val="1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09D"/>
    <w:rPr>
      <w:rFonts w:ascii="Arial" w:eastAsiaTheme="majorEastAsia" w:hAnsi="Arial" w:cstheme="majorBidi"/>
      <w:b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52FBA"/>
    <w:rPr>
      <w:rFonts w:asciiTheme="majorHAnsi" w:eastAsiaTheme="majorEastAsia" w:hAnsiTheme="majorHAnsi" w:cstheme="majorBidi"/>
      <w:sz w:val="24"/>
      <w:szCs w:val="32"/>
    </w:rPr>
  </w:style>
  <w:style w:type="paragraph" w:styleId="Encabezado">
    <w:name w:val="header"/>
    <w:aliases w:val="Encabezado Car Car Car Car Car,Encabezado Car Car Car,Encabezado Car Car Car Car,encabezado,Encabezado1,Tablas,Encabezado Car Car,Encabezado11,encabezado1,Encabezado12,encabezado2,Encabezado111,encabezado11,Encabezado13,encabezado3"/>
    <w:basedOn w:val="Normal"/>
    <w:link w:val="EncabezadoCar"/>
    <w:uiPriority w:val="99"/>
    <w:unhideWhenUsed/>
    <w:rsid w:val="002150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 Car Car Car,Encabezado Car Car Car Car1,Encabezado Car Car Car Car Car1,encabezado Car,Encabezado1 Car,Tablas Car,Encabezado Car Car Car1,Encabezado11 Car,encabezado1 Car,Encabezado12 Car,encabezado2 Car"/>
    <w:basedOn w:val="Fuentedeprrafopredeter"/>
    <w:link w:val="Encabezado"/>
    <w:uiPriority w:val="99"/>
    <w:rsid w:val="002150EB"/>
  </w:style>
  <w:style w:type="paragraph" w:styleId="Piedepgina">
    <w:name w:val="footer"/>
    <w:basedOn w:val="Normal"/>
    <w:link w:val="PiedepginaCar"/>
    <w:uiPriority w:val="99"/>
    <w:unhideWhenUsed/>
    <w:rsid w:val="002150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50EB"/>
  </w:style>
  <w:style w:type="character" w:styleId="Hipervnculo">
    <w:name w:val="Hyperlink"/>
    <w:uiPriority w:val="99"/>
    <w:unhideWhenUsed/>
    <w:rsid w:val="002150E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215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A338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980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renacientes.org" TargetMode="External"/><Relationship Id="rId2" Type="http://schemas.openxmlformats.org/officeDocument/2006/relationships/hyperlink" Target="mailto:administracion@renacientes.org" TargetMode="External"/><Relationship Id="rId1" Type="http://schemas.openxmlformats.org/officeDocument/2006/relationships/hyperlink" Target="mailto:hileros@renacientes.org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459</Characters>
  <Application>Microsoft Office Word</Application>
  <DocSecurity>0</DocSecurity>
  <Lines>91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Maria Torres</dc:creator>
  <cp:keywords/>
  <dc:description/>
  <cp:lastModifiedBy>karen zapata</cp:lastModifiedBy>
  <cp:revision>5</cp:revision>
  <dcterms:created xsi:type="dcterms:W3CDTF">2026-02-26T17:48:00Z</dcterms:created>
  <dcterms:modified xsi:type="dcterms:W3CDTF">2026-06-26T14:56:00Z</dcterms:modified>
</cp:coreProperties>
</file>