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color w:val="2F5597"/>
          <w:sz w:val="48"/>
        </w:rPr>
        <w:t>CASE STUDY REPORT</w:t>
      </w:r>
    </w:p>
    <w:p>
      <w:r>
        <w:br w:type="page"/>
      </w:r>
    </w:p>
    <w:p>
      <w:r>
        <w:rPr>
          <w:b/>
        </w:rPr>
        <w:t>Amazon.com, Inc. Case Study</w:t>
      </w:r>
    </w:p>
    <w:p>
      <w:r>
        <w:t>This case was prepared by Senior Lecturer **Christopher Noe** and Professor **Joseph Weber**. Research assistance was provided by **Julia Cho**. Copyright © 2019, Christopher Noe and Joseph Weber. This work is licensed under the Creative Commons Attribution-Noncommercial-No Derivative Works 3.0 Unported License. To view a copy of this license visit [http://creativecommons.org/licenses/by-nc-nd/3.0/](http://creativecommons.org/licenses/by-nc-nd/3.0/) or send a letter to Creative Commons, 171 Second Street, Suite 300, San Francisco, California 94105, USA. 17-183 **Revised February 19, 2019**</w:t>
      </w:r>
    </w:p>
    <w:p>
      <w:r>
        <w:t>--------------</w:t>
      </w:r>
    </w:p>
    <w:p>
      <w:r>
        <w:rPr>
          <w:b/>
        </w:rPr>
        <w:t>Company Background</w:t>
      </w:r>
    </w:p>
    <w:p>
      <w:pPr>
        <w:pStyle w:val="Heading3"/>
        <w:jc w:val="left"/>
      </w:pPr>
      <w:r>
        <w:rPr>
          <w:color w:val="5B9BD5"/>
        </w:rPr>
        <w:t>Overview</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pPr>
        <w:pStyle w:val="Heading3"/>
        <w:jc w:val="left"/>
      </w:pPr>
      <w:r>
        <w:rPr>
          <w:color w:val="5B9BD5"/>
        </w:rPr>
        <w:t>Founding</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 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w:t>
      </w:r>
    </w:p>
    <w:p>
      <w:r>
        <w:t>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 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 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3"/>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 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 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pPr>
        <w:pStyle w:val="Heading3"/>
        <w:jc w:val="left"/>
      </w:pPr>
      <w:r>
        <w:rPr>
          <w:color w:val="5B9BD5"/>
        </w:rPr>
        <w:t>Exhibits</w:t>
      </w:r>
    </w:p>
    <w:p>
      <w:r>
        <w:t>#### Exhibit 1</w:t>
      </w:r>
    </w:p>
    <w:p>
      <w:r>
        <w:t>Amazon.com, Inc. Stock Price, Cash Flow from Operations, and Net Income</w:t>
      </w:r>
    </w:p>
    <w:p>
      <w:r>
        <w:t>*Source: YCharts.*</w:t>
      </w:r>
    </w:p>
    <w:p>
      <w:r>
        <w:t>#### Exhibit 2</w:t>
      </w:r>
    </w:p>
    <w:p>
      <w:r>
        <w:t>Amazon.com, Inc. Cash Flow Statements ($ Millions)</w:t>
      </w:r>
    </w:p>
    <w:p>
      <w:r>
        <w:t>| Year Ended December 31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including internal-use software and website development, and other amortization, including capitalized content costs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including internal-use software and website development, net | (6,737) | (4,589) | (4,893) |</w:t>
      </w:r>
    </w:p>
    <w:p>
      <w:r>
        <w:t>| Acquisitions, net of cash acquired, and other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r>
        <w:t>#### Exhibit 2 (cont.)</w:t>
      </w:r>
    </w:p>
    <w:p>
      <w:r>
        <w:t>Amazon.com, Inc. Income Statements ($ Millions)</w:t>
      </w:r>
    </w:p>
    <w:p>
      <w:r>
        <w:t>| Year Ended December 31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r>
        <w:t>#### Exhibit 2 (cont.)</w:t>
      </w:r>
    </w:p>
    <w:p>
      <w:r>
        <w:t>Amazon.com, Inc. Balance Sheets ($ Millions)</w:t>
      </w:r>
    </w:p>
    <w:p>
      <w:r>
        <w:t>| December 31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10-Ks, December 31, 2015-16.*</w:t>
      </w:r>
    </w:p>
    <w:p>
      <w:r>
        <w:t>#### Exhibit 3</w:t>
      </w:r>
    </w:p>
    <w:p>
      <w:r>
        <w:t>Amazon.com, Inc. Expense Line Item Descriptions</w:t>
      </w:r>
    </w:p>
    <w:p>
      <w:pPr>
        <w:pStyle w:val="ListBullet"/>
      </w:pPr>
      <w: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pPr>
        <w:pStyle w:val="ListBullet"/>
      </w:pPr>
      <w: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pPr>
        <w:pStyle w:val="ListBullet"/>
      </w:pPr>
      <w: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pPr>
        <w:pStyle w:val="ListBullet"/>
      </w:pPr>
      <w: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pPr>
        <w:pStyle w:val="ListBullet"/>
      </w:pPr>
      <w: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pPr>
        <w:pStyle w:val="ListBullet"/>
      </w:pPr>
      <w: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pPr>
        <w:pStyle w:val="ListBullet"/>
      </w:pPr>
      <w: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 Exhibit 4</w:t>
      </w:r>
    </w:p>
    <w:p>
      <w:r>
        <w:t>Amazon.com, Inc. Segment Information ($ Millions)</w:t>
      </w:r>
    </w:p>
    <w:p>
      <w:r>
        <w:t>| Year Ended December 31 | 2016  | 2015  | 2014  |</w:t>
      </w:r>
    </w:p>
    <w:p>
      <w:r>
        <w:t>|------------------------|-------|-------|-------|</w:t>
      </w:r>
    </w:p>
    <w:p>
      <w:r>
        <w:t>| Net sales | | | |</w:t>
      </w:r>
    </w:p>
    <w:p>
      <w:r>
        <w:t>| Retail | 123,768 | 99,126 | 84,344 |</w:t>
      </w:r>
    </w:p>
    <w:p>
      <w:r>
        <w:t>| AWS | 12,219 | 7,880 | 4,644 |</w:t>
      </w:r>
    </w:p>
    <w:p>
      <w:r>
        <w:t>| **Total Net Sales** | **135,987** | **107,006** | **88,988** |</w:t>
      </w:r>
    </w:p>
    <w:p>
      <w:r>
        <w:t>| Year Ended December 31 | 2016  | 2015  | 2014  |</w:t>
      </w:r>
    </w:p>
    <w:p>
      <w:r>
        <w:t>|------------------------|-------|-------|-------|</w:t>
      </w:r>
    </w:p>
    <w:p>
      <w:r>
        <w:t>| Operating income | | | |</w:t>
      </w:r>
    </w:p>
    <w:p>
      <w:r>
        <w:t>| Retail | 1,078 | 726 | (280) |</w:t>
      </w:r>
    </w:p>
    <w:p>
      <w:r>
        <w:t>| AWS | 3,108 | 1,507 | 458 |</w:t>
      </w:r>
    </w:p>
    <w:p>
      <w:r>
        <w:t>| **Total Operating Income** | **4,186** | **2,233** | **178** |</w:t>
      </w:r>
    </w:p>
    <w:p>
      <w:r>
        <w:t>*Source: Amazon.com, Inc. 10-K, December 31, 2016.*</w:t>
      </w:r>
    </w:p>
    <w:p>
      <w:r>
        <w:t>#### Exhibit 5</w:t>
      </w:r>
    </w:p>
    <w:p>
      <w:r>
        <w:t>Amazon.com, Inc. Non-GAAP Financial Measures ($ Millions)</w:t>
      </w:r>
    </w:p>
    <w:p>
      <w:pPr>
        <w:pStyle w:val="ListBullet"/>
      </w:pPr>
      <w: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pPr>
        <w:pStyle w:val="ListBullet"/>
      </w:pPr>
      <w: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pPr>
        <w:pStyle w:val="ListBullet"/>
      </w:pPr>
      <w: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Property and equipment acquired under capital leases | (5,704) | (4,717) | (4,008) |</w:t>
      </w:r>
    </w:p>
    <w:p>
      <w:r>
        <w:t>| Principal repayments of finance lease obligations | (147) | (121) | (135) |</w:t>
      </w:r>
    </w:p>
    <w:p>
      <w:r>
        <w:t>| **Free cash flow less finance lease principal repayments and assets acquired under capital leases** | **3,855** | **2,493** | **(2,194)** |</w:t>
      </w:r>
    </w:p>
    <w:p>
      <w:r>
        <w:t>*Source: Amazon.com, Inc. 10-K, December 31, 2016.*</w:t>
      </w:r>
    </w:p>
    <w:p>
      <w:r>
        <w:t>------------------------------</w:t>
      </w:r>
    </w:p>
    <w:p>
      <w:r>
        <w:rPr>
          <w:b/>
        </w:rPr>
        <w:t>Document Features and Formatting</w:t>
      </w:r>
    </w:p>
    <w:p>
      <w:r>
        <w:t>The Word document incorporates the following professional features:</w:t>
      </w:r>
    </w:p>
    <w:p>
      <w:pPr>
        <w:pStyle w:val="ListBullet"/>
      </w:pPr>
      <w:r>
        <w:t>Header: Features the title "Amazon.com, Inc. Case Study" and includes page numbers in the top right corner.</w:t>
      </w:r>
    </w:p>
    <w:p>
      <w:pPr>
        <w:pStyle w:val="ListBullet"/>
      </w:pPr>
      <w:r>
        <w:t>Footer: Includes copyright information and revision date for consistency.</w:t>
      </w:r>
    </w:p>
    <w:p>
      <w:pPr>
        <w:pStyle w:val="ListBullet"/>
      </w:pPr>
      <w:r>
        <w:t>Borders: A subtle border around the document to enhance visual appeal without being too overwhelming.</w:t>
      </w:r>
    </w:p>
    <w:p>
      <w:pPr>
        <w:pStyle w:val="ListBullet"/>
      </w:pPr>
      <w:r>
        <w:t>Color scheme: Utilizes a rich black/aqua color palette consistent with the Amazon brand for headers and emphasized sections, ensuring everything aligns well visually.</w:t>
      </w:r>
    </w:p>
    <w:p>
      <w:pPr>
        <w:pStyle w:val="ListBullet"/>
      </w:pPr>
      <w:r>
        <w:t>Styling: Headings are bold and larger than body text, ensuring clear hierarchy and readability throughout the document.</w:t>
      </w:r>
    </w:p>
    <w:p>
      <w:r>
        <w:t>The logo for MetroCare Health will replace its placeholder reference with an actual logo URL upon retrieval, maintaining professional integrity in representation.</w:t>
      </w:r>
    </w:p>
    <w:p>
      <w:r>
        <w:t>This finalized Word document presents the case study of Amazon.com, Inc. in a visually compelling format, retaining all essential content and ensuring adherence to professional standards.</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80"/>
        <w:left w:val="single" w:sz="4" w:space="24" w:color="000080"/>
        <w:bottom w:val="single" w:sz="4" w:space="24" w:color="000080"/>
        <w:right w:val="single" w:sz="4" w:space="24" w:color="00008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4472C4"/>
      </w:rPr>
      <w:t xml:space="preserve">Flipkart Case Study | Page </w:t>
    </w:r>
    <w:r>
      <w:rPr>
        <w:color w:val="4472C4"/>
      </w:rPr>
      <w:fldChar w:fldCharType="begin"/>
      <w:instrText xml:space="preserve">PAGE</w:instrText>
      <w:fldChar w:fldCharType="end"/>
    </w:r>
    <w:r>
      <w:rPr>
        <w:color w:val="4472C4"/>
      </w:rPr>
      <w:t xml:space="preserve"> of </w:t>
    </w:r>
    <w:r>
      <w:rPr>
        <w:color w:val="4472C4"/>
      </w:rPr>
      <w:fldChar w:fldCharType="begin"/>
      <w:instrText xml:space="preserve">NUMPAGES</w:instrText>
      <w:fldChar w:fldCharType="end"/>
    </w:r>
    <w:r>
      <w:rPr>
        <w:color w:val="4472C4"/>
      </w:rP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4472C4"/>
        <w:sz w:val="20"/>
      </w:rPr>
      <w:t>Flipkart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