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2F5597"/>
          <w:sz w:val="48"/>
        </w:rPr>
        <w:t>CASE STUDY REPORT</w:t>
      </w:r>
    </w:p>
    <w:p>
      <w:r>
        <w:br w:type="page"/>
      </w:r>
    </w:p>
    <w:p>
      <w:r>
        <w:rPr>
          <w:b/>
        </w:rPr>
        <w:t>Meticulous Formatting of Case Study Document</w:t>
      </w:r>
    </w:p>
    <w:p>
      <w:r>
        <w:t>---</w:t>
      </w:r>
    </w:p>
    <w:p>
      <w:pPr>
        <w:pStyle w:val="Heading3"/>
        <w:jc w:val="left"/>
      </w:pPr>
      <w:r>
        <w:rPr>
          <w:color w:val="5B9BD5"/>
        </w:rPr>
        <w:t>Amazon.com, Inc. Case Study</w:t>
      </w:r>
    </w:p>
    <w:p>
      <w:r>
        <w:t>*This case was prepared by Senior Lecturer Christopher Noe and Professor Joseph Weber. Research assistance was provided by Julia Cho.*</w:t>
      </w:r>
    </w:p>
    <w:p>
      <w:r>
        <w:rPr>
          <w:b/>
        </w:rPr>
        <w:t>Copyright © 2019, Christopher Noe and Joseph Weber. This work is licensed under the Creative Commons Attribution-Noncommercial -No Derivative Works 3.0 Unported License. To view a copy of this license visit [http://creativecommons.org/licenses/by-nc-nd/3.0/](http://creativecommons.org/licenses/by-nc-nd/3.0/) or send a letter to Creative Commons, 171 Second Street, Suite 300, San Francisco, California 94105, USA.</w:t>
      </w:r>
    </w:p>
    <w:p>
      <w:r>
        <w:rPr>
          <w:b/>
        </w:rPr>
        <w:t>17-183</w:t>
      </w:r>
    </w:p>
    <w:p>
      <w:r>
        <w:rPr>
          <w:b/>
        </w:rPr>
        <w:t>Revised February 19, 2019</w:t>
      </w:r>
    </w:p>
    <w:p>
      <w:r>
        <w:t>![MetroCare Health Logo](https://www.metrocarehealth.org/wp-content/uploads/2021/10/MetroCare-Logo.png)</w:t>
      </w:r>
    </w:p>
    <w:p>
      <w:r>
        <w:t>---</w:t>
      </w:r>
    </w:p>
    <w:p>
      <w:pPr>
        <w:pStyle w:val="Heading2"/>
        <w:jc w:val="left"/>
      </w:pPr>
      <w:r>
        <w:rPr>
          <w:color w:val="5B9BD5"/>
        </w:rPr>
        <w:t>Company Background</w:t>
      </w:r>
    </w:p>
    <w:p>
      <w:r>
        <w:rPr>
          <w:b/>
        </w:rPr>
        <w:t>Amazon.com, Inc.</w:t>
      </w:r>
    </w:p>
    <w:p>
      <w:r>
        <w:rPr>
          <w:b/>
        </w:rPr>
        <w:t>Christopher Noe and Joseph Weber</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 term would allow the company to maximize profit in the long term.</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al 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ingrained a tolerance for failure into Amazon’s culture because of his belief that failed experiments are a necessary evil to create successful inventions.</w:t>
      </w:r>
    </w:p>
    <w:p>
      <w:r>
        <w:t>---</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r>
        <w:t>---</w:t>
      </w:r>
    </w:p>
    <w:p>
      <w:pPr>
        <w:pStyle w:val="Heading2"/>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 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r>
        <w:t>---</w:t>
      </w:r>
    </w:p>
    <w:p>
      <w:pPr>
        <w:pStyle w:val="Heading2"/>
        <w:jc w:val="left"/>
      </w:pPr>
      <w:r>
        <w:rPr>
          <w:color w:val="5B9BD5"/>
        </w:rPr>
        <w:t>Exhibits</w:t>
      </w:r>
    </w:p>
    <w:p>
      <w:pPr>
        <w:pStyle w:val="Heading3"/>
        <w:jc w:val="left"/>
      </w:pPr>
      <w:r>
        <w:rPr>
          <w:color w:val="5B9BD5"/>
        </w:rPr>
        <w:t>Exhibit 1: Amazon.com, Inc. Stock Price, Cash Flow from Operations, and Net Income</w:t>
      </w:r>
    </w:p>
    <w:p>
      <w:r>
        <w:t>*Source: YCharts.*</w:t>
      </w:r>
    </w:p>
    <w:p>
      <w:pPr>
        <w:pStyle w:val="Heading3"/>
        <w:jc w:val="left"/>
      </w:pPr>
      <w:r>
        <w:rPr>
          <w:color w:val="5B9BD5"/>
        </w:rPr>
        <w:t>Exhibit 2: Amazon.com, Inc. Cash Flow Statements ($ Millions)</w:t>
      </w:r>
    </w:p>
    <w:p>
      <w:r>
        <w:t>Year Ended December 31,</w:t>
      </w:r>
    </w:p>
    <w:p>
      <w:r>
        <w:t>| Year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 Depreciation of property and equipment, including internal-use software and website development, and other amortization, including capitalized content costs | 8,116   | 6,281   | 4,746   |</w:t>
      </w:r>
    </w:p>
    <w:p>
      <w:r>
        <w:t>| - Stock-based compensation  | 2,975   | 2,119   | 1,497   |</w:t>
      </w:r>
    </w:p>
    <w:p>
      <w:r>
        <w:t>| - Other operating expense, net  | 160     | 155     | 129     |</w:t>
      </w:r>
    </w:p>
    <w:p>
      <w:r>
        <w:t>| - Other expense (income), net  | (20)    | 250     | 59      |</w:t>
      </w:r>
    </w:p>
    <w:p>
      <w:r>
        <w:t>| - Deferred income taxes  | (246)   | 81     | (316)   |</w:t>
      </w:r>
    </w:p>
    <w:p>
      <w:r>
        <w:t>| - Excess tax benefits from stock-based compensation  | (829)   | (119)   | (6)    |</w:t>
      </w:r>
    </w:p>
    <w:p>
      <w:r>
        <w:t>| Changes in operating assets and liabilities: |          |          |          |</w:t>
      </w:r>
    </w:p>
    <w:p>
      <w:r>
        <w:t>| - Inventories | (1,426) | (2,187) | (1,193) |</w:t>
      </w:r>
    </w:p>
    <w:p>
      <w:r>
        <w:t>| - Accounts receivable, net and other | (3,367) | (1,755) | (1,039) |</w:t>
      </w:r>
    </w:p>
    <w:p>
      <w:r>
        <w:t>| - Accounts payable  | 5,030   | 4,294   | 1,759   |</w:t>
      </w:r>
    </w:p>
    <w:p>
      <w:r>
        <w:t>| - Accrued expenses and other  | 1,724   | 913     | 706     |</w:t>
      </w:r>
    </w:p>
    <w:p>
      <w:r>
        <w:t>| - Additions to unearned revenue  | 11,931  | 7,401   | 4,433   |</w:t>
      </w:r>
    </w:p>
    <w:p>
      <w:r>
        <w:t>| - Amortization of previously unearned revenue | (9,976) | (6,109) | (3,692) |</w:t>
      </w:r>
    </w:p>
    <w:p>
      <w:r>
        <w:t>| Net cash provided by (used in) operating activities | 16,443  | 11,920  | 6,842   |</w:t>
      </w:r>
    </w:p>
    <w:p>
      <w:r>
        <w:t>| INVESTING ACTIVITIES: |          |          |          |</w:t>
      </w:r>
    </w:p>
    <w:p>
      <w:r>
        <w:t>| - Purchases of property and equipment, including internal-use software and website development, net | (6,737) | (4,589) | (4,893) |</w:t>
      </w:r>
    </w:p>
    <w:p>
      <w:r>
        <w:t>| - Acquisitions, net of cash acquired, and other | (116)   | (795)   | (979)   |</w:t>
      </w:r>
    </w:p>
    <w:p>
      <w:r>
        <w:t>| - Sales and maturities of marketable securities | 4,733   | 3,025   | 3,349   |</w:t>
      </w:r>
    </w:p>
    <w:p>
      <w:r>
        <w:t>| - Purchases of marketable securities | (7,756) | (4,091) | (2,542) |</w:t>
      </w:r>
    </w:p>
    <w:p>
      <w:r>
        <w:t>| Net cash provided by (used in) investing activities | (9,876) | (6,450) | (5,065) |</w:t>
      </w:r>
    </w:p>
    <w:p>
      <w:r>
        <w:t>| FINANCING ACTIVITIES: |          |          |          |</w:t>
      </w:r>
    </w:p>
    <w:p>
      <w:r>
        <w:t>| - Excess tax benefits from stock-based compensation | 829     | 119     | 6      |</w:t>
      </w:r>
    </w:p>
    <w:p>
      <w:r>
        <w:t>| - Proceeds from issuance of long-term debt | 621     | 353     | 6,359   |</w:t>
      </w:r>
    </w:p>
    <w:p>
      <w:r>
        <w:t>| - Repayments of long-term debt and other | (354)   | (1,652) | (513)   |</w:t>
      </w:r>
    </w:p>
    <w:p>
      <w:r>
        <w:t>| - Principal repayments of capital lease obligations | (3,860) | (2,462) | (1,285) |</w:t>
      </w:r>
    </w:p>
    <w:p>
      <w:r>
        <w:t>| -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r>
        <w:t>*AMAZON.COM, INC.</w:t>
      </w:r>
    </w:p>
    <w:p>
      <w:r>
        <w:t>Christopher Noe and Joseph Weber</w:t>
      </w:r>
    </w:p>
    <w:p>
      <w:r>
        <w:t>Rev. February 19, 2019*</w:t>
      </w:r>
    </w:p>
    <w:p>
      <w:r>
        <w:t>---</w:t>
      </w:r>
    </w:p>
    <w:p>
      <w:pPr>
        <w:pStyle w:val="Heading3"/>
        <w:jc w:val="left"/>
      </w:pPr>
      <w:r>
        <w:rPr>
          <w:color w:val="5B9BD5"/>
        </w:rPr>
        <w:t>Exhibit 2 (cont.) Amazon.com, Inc. Income Statements ($ Millions)</w:t>
      </w:r>
    </w:p>
    <w:p>
      <w:r>
        <w:t>Year Ended December 31,</w:t>
      </w:r>
    </w:p>
    <w:p>
      <w:r>
        <w:t>| Year      | 2016     | 2015     | 2014     |</w:t>
      </w:r>
    </w:p>
    <w:p>
      <w:r>
        <w:t>|-----------|----------|----------|----------|</w:t>
      </w:r>
    </w:p>
    <w:p>
      <w:r>
        <w:t>| Net product sales | 94,665  | 79,268  | 70,080  |</w:t>
      </w:r>
    </w:p>
    <w:p>
      <w:r>
        <w:t>| Net service sales  | 41,322  | 27,738  | 18,908  |</w:t>
      </w:r>
    </w:p>
    <w:p>
      <w:r>
        <w:t>| Total net sales   | 135,987 | 107,006 | 88,988  |</w:t>
      </w:r>
    </w:p>
    <w:p>
      <w:r>
        <w:t>| Operating expenses: |          |          |          |</w:t>
      </w:r>
    </w:p>
    <w:p>
      <w:r>
        <w:t>| - Cost of sales       | 88,265  | 71,651  | 62,752  |</w:t>
      </w:r>
    </w:p>
    <w:p>
      <w:r>
        <w:t>| - Fulfillment         | 17,619  | 13,410  | 10,766  |</w:t>
      </w:r>
    </w:p>
    <w:p>
      <w:r>
        <w:t>| - Marketing           | 7,233   | 5,254   | 4,332   |</w:t>
      </w:r>
    </w:p>
    <w:p>
      <w:r>
        <w:t>| - Technology and content | 16,085 | 12,540 | 9,275   |</w:t>
      </w:r>
    </w:p>
    <w:p>
      <w:r>
        <w:t>| - General and administrative | 2,432 | 1,747 | 1,552   |</w:t>
      </w:r>
    </w:p>
    <w:p>
      <w:r>
        <w:t>| -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r>
        <w:t>---</w:t>
      </w:r>
    </w:p>
    <w:p>
      <w:pPr>
        <w:pStyle w:val="Heading3"/>
        <w:jc w:val="left"/>
      </w:pPr>
      <w:r>
        <w:rPr>
          <w:color w:val="5B9BD5"/>
        </w:rPr>
        <w:t>Exhibit 2 (cont.) Amazon.com, Inc. Balance Sheets ($ Millions)</w:t>
      </w:r>
    </w:p>
    <w:p>
      <w:r>
        <w:t>December 31,</w:t>
      </w:r>
    </w:p>
    <w:p>
      <w:r>
        <w:t>| Year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10-Ks, December 31, 2015-16.*</w:t>
      </w:r>
    </w:p>
    <w:p>
      <w:r>
        <w:t>---</w:t>
      </w:r>
    </w:p>
    <w:p>
      <w:pPr>
        <w:pStyle w:val="Heading3"/>
        <w:jc w:val="left"/>
      </w:pPr>
      <w:r>
        <w:rPr>
          <w:color w:val="5B9BD5"/>
        </w:rPr>
        <w:t>Exhibit 3 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w:t>
      </w:r>
    </w:p>
    <w:p>
      <w:pPr>
        <w:pStyle w:val="Heading3"/>
        <w:jc w:val="left"/>
      </w:pPr>
      <w:r>
        <w:rPr>
          <w:color w:val="5B9BD5"/>
        </w:rPr>
        <w:t>Exhibit 4 Amazon.com, Inc. Segment Information ($ Millions)</w:t>
      </w:r>
    </w:p>
    <w:p>
      <w:r>
        <w:t>Year Ended December 31,</w:t>
      </w:r>
    </w:p>
    <w:p>
      <w:r>
        <w:t>| Year      | 2016     | 2015     | 2014     |</w:t>
      </w:r>
    </w:p>
    <w:p>
      <w:r>
        <w:t>|-----------|----------|----------|----------|</w:t>
      </w:r>
    </w:p>
    <w:p>
      <w:r>
        <w:t>| **Net sales**       |          |          |          |</w:t>
      </w:r>
    </w:p>
    <w:p>
      <w:r>
        <w:t>| Retail  | 123,768 | 99,126  | 84,344  |</w:t>
      </w:r>
    </w:p>
    <w:p>
      <w:r>
        <w:t>| AWS     | 12,219  | 7,880   | 4,644   |</w:t>
      </w:r>
    </w:p>
    <w:p>
      <w:r>
        <w:t>| **Total**   | 135,987 | 107,006 | 88,988  |</w:t>
      </w:r>
    </w:p>
    <w:p>
      <w:r>
        <w:t>Year Ended December 31,</w:t>
      </w:r>
    </w:p>
    <w:p>
      <w:r>
        <w:t>| Year      | 2016     | 2015     | 2014     |</w:t>
      </w:r>
    </w:p>
    <w:p>
      <w:r>
        <w:t>|-----------|----------|----------|----------|</w:t>
      </w:r>
    </w:p>
    <w:p>
      <w:r>
        <w:t>| **Operating income** |       |          |          |</w:t>
      </w:r>
    </w:p>
    <w:p>
      <w:r>
        <w:t>| Retail  | 1,078   | 726    | (280)   |</w:t>
      </w:r>
    </w:p>
    <w:p>
      <w:r>
        <w:t>| AWS     | 3,108   | 1,507  | 458     |</w:t>
      </w:r>
    </w:p>
    <w:p>
      <w:r>
        <w:t>| **Total**   | 4,186   | 2,233  | 178     |</w:t>
      </w:r>
    </w:p>
    <w:p>
      <w:r>
        <w:t>*Source: Amazon.com, Inc. 10-K, December 31, 2016.*</w:t>
      </w:r>
    </w:p>
    <w:p>
      <w:r>
        <w:t>---</w:t>
      </w:r>
    </w:p>
    <w:p>
      <w:pPr>
        <w:pStyle w:val="Heading3"/>
        <w:jc w:val="left"/>
      </w:pPr>
      <w:r>
        <w:rPr>
          <w:color w:val="5B9BD5"/>
        </w:rPr>
        <w:t>Exhibit 5 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Year Ended December 31,</w:t>
      </w:r>
    </w:p>
    <w:p>
      <w:r>
        <w:t>| Year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t>Year Ended December 31,</w:t>
      </w:r>
    </w:p>
    <w:p>
      <w:r>
        <w:t>| Year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rPr>
          <w:b/>
        </w:rP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t>Year Ended December 31,</w:t>
      </w:r>
    </w:p>
    <w:p>
      <w:r>
        <w:t>| Year      | 2016     | 2015     | 2014     |</w:t>
      </w:r>
    </w:p>
    <w:p>
      <w:r>
        <w:t>|-----------|----------|----------|----------|</w:t>
      </w:r>
    </w:p>
    <w:p>
      <w:r>
        <w:t>| Net cash provided by (used in) operating activities | 16,443 | 11,920  | 6,842   |</w:t>
      </w:r>
    </w:p>
    <w:p>
      <w:r>
        <w:t>| Purchases of property and equipment, including internal-use software and website development, net | (6,737) | (4,589) | (4,893) |</w:t>
      </w:r>
    </w:p>
    <w:p>
      <w:r>
        <w:t>| Property and equipment acquired under capital leases | (5,704) | (4,717) | (4,008) |</w:t>
      </w:r>
    </w:p>
    <w:p>
      <w:r>
        <w:t>| Principal repayments of finance lease obligations | (147)   | (121)   | (135)   |</w:t>
      </w:r>
    </w:p>
    <w:p>
      <w:r>
        <w:t>| **Free cash flow less finance lease principal repayments and assets acquired under capital leases** | 3,855   | 2,493   | (2,194) |</w:t>
      </w:r>
    </w:p>
    <w:p>
      <w:r>
        <w:t>*Source: Amazon.com, Inc. 10-K, December 31, 2016.*</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Inc. Case Study | 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4472C4"/>
        <w:sz w:val="20"/>
      </w:rPr>
      <w:t>Inc.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