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t>---</w:t>
      </w:r>
    </w:p>
    <w:p>
      <w:r>
        <w:rPr>
          <w:b/>
        </w:rPr>
        <w:t>Header:</w:t>
      </w:r>
    </w:p>
    <w:p>
      <w:r>
        <w:t>Innovative Healthcare Integration - MetroCare Health Case Study</w:t>
      </w:r>
    </w:p>
    <w:p>
      <w:r>
        <w:rPr>
          <w:b/>
        </w:rPr>
        <w:t>Logo Placement:</w:t>
      </w:r>
    </w:p>
    <w:p>
      <w:r>
        <w:t>![MetroCare Health Logo](https://metrocareny.com/assets/logo.png)</w:t>
      </w:r>
    </w:p>
    <w:p>
      <w:r>
        <w:rPr>
          <w:b/>
        </w:rPr>
        <w:t>Borders:</w:t>
      </w:r>
    </w:p>
    <w:p>
      <w:r>
        <w:t>Add a polished, professional border to the entire document.</w:t>
      </w:r>
    </w:p>
    <w:p>
      <w:r>
        <w:t>---</w:t>
      </w:r>
    </w:p>
    <w:p>
      <w:r>
        <w:rPr>
          <w:b/>
        </w:rPr>
        <w:t>Document Content:</w:t>
      </w:r>
    </w:p>
    <w:p>
      <w:r>
        <w:t>---</w:t>
      </w:r>
    </w:p>
    <w:p>
      <w:pPr>
        <w:pStyle w:val="Heading1"/>
        <w:jc w:val="left"/>
      </w:pPr>
      <w:r>
        <w:t>Innovative Healthcare Integration</w:t>
      </w:r>
    </w:p>
    <w:p>
      <w:pPr>
        <w:pStyle w:val="Heading2"/>
        <w:jc w:val="left"/>
      </w:pPr>
      <w:r>
        <w:t>Modernized</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Footer:</w:t>
      </w:r>
    </w:p>
    <w:p>
      <w:r>
        <w:t>Page X of Y (Automatically insert page numbers)</w:t>
      </w:r>
    </w:p>
    <w:p>
      <w:r>
        <w:t>---</w:t>
      </w:r>
    </w:p>
    <w:p>
      <w:r>
        <w:t>This document now showcases a professional format with all necessary elements to reflect the case study of MetroCare Health effectively.</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