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LLM Fine-Tuning Dataset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Dataset Validation &amp; EDA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Interview Question Generator</w:t>
      </w:r>
    </w:p>
    <w:p>
      <w:r>
        <w:t xml:space="preserve"/>
      </w:r>
    </w:p>
    <w:p>
      <w:pPr>
        <w:spacing w:after="80"/>
        <w:jc w:val="center"/>
      </w:pPr>
      <w:r>
        <w:rPr>
          <w:i/>
          <w:iCs/>
          <w:color w:val="7F7F7F"/>
          <w:sz w:val="22"/>
          <w:szCs w:val="22"/>
        </w:rPr>
        <w:t xml:space="preserve">Prepared for Senior Review</w:t>
      </w:r>
    </w:p>
    <w:p>
      <w:pPr>
        <w:spacing w:after="80"/>
        <w:jc w:val="center"/>
      </w:pPr>
      <w:r>
        <w:rPr>
          <w:color w:val="7F7F7F"/>
          <w:sz w:val="22"/>
          <w:szCs w:val="22"/>
        </w:rPr>
        <w:t xml:space="preserve">Date: June 11, 2026</w:t>
      </w:r>
    </w:p>
    <w:p>
      <w:pPr>
        <w:spacing w:after="80"/>
        <w:jc w:val="center"/>
      </w:pPr>
      <w:r>
        <w:rPr>
          <w:color w:val="404040"/>
          <w:sz w:val="20"/>
          <w:szCs w:val="20"/>
        </w:rPr>
        <w:t xml:space="preserve">Dataset Version: v3.1  |  Records: 1,679  |  Tokenizer: google/gemma-4-E4B-it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document provides a comprehensive analysis of the LLM fine-tuning dataset prepared for an Interview Question Generator model. The dataset has been evaluated across six quality dimensions: schema validity, token budget compliance, content quality, metadata balance, format consistency, and near-duplicate detection.</w:t>
      </w:r>
    </w:p>
    <w:p>
      <w:r>
        <w:t xml:space="preserve"/>
      </w:r>
    </w:p>
    <w:p>
      <w:pPr>
        <w:pBdr>
          <w:left w:val="single" w:color="2E75B6" w:sz="12"/>
        </w:pBdr>
        <w:shd w:fill="E8F4FD" w:val="clear"/>
        <w:spacing w:after="80" w:before="80"/>
        <w:ind w:left="240" w:right="240"/>
      </w:pPr>
      <w:r>
        <w:rPr>
          <w:i/>
          <w:iCs/>
          <w:sz w:val="19"/>
          <w:szCs w:val="19"/>
        </w:rPr>
        <w:t xml:space="preserve">Overall Verdict: The dataset is SUITABLE for fine-tuning with one minor issue (near-duplicate user prompts) that should be reviewed before training proceeds.</w:t>
      </w:r>
    </w:p>
    <w:p>
      <w:r>
        <w:t xml:space="preserve"/>
      </w:r>
    </w:p>
    <w:p>
      <w:pPr>
        <w:pStyle w:val="Heading2"/>
      </w:pPr>
      <w:r>
        <w:t xml:space="preserve">Key Metrics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Quality Dimension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Records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1,679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 Validation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 valid (5/5 checks)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Token Compliance (&lt; 8,192)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 within limit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Exact Duplicates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Near-Duplicate Prompts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744 / 1,603 (46%)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A5200"/>
                <w:sz w:val="19"/>
                <w:szCs w:val="19"/>
              </w:rPr>
              <w:t xml:space="preserve">⚠️ Warning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Assistant Format Check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1,603 / 1,603 pass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Empty / Null Fields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 across all fields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Mean Token Count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1,264 tokens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Outliers (assistant length)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34 records (2%)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✅ Pass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2. Dataset Overview</w:t>
      </w:r>
    </w:p>
    <w:p>
      <w:pPr>
        <w:pStyle w:val="Heading2"/>
      </w:pPr>
      <w:r>
        <w:t xml:space="preserve">2.1 Structure &amp; Format</w:t>
      </w:r>
    </w:p>
    <w:p>
      <w:pPr>
        <w:spacing w:after="120"/>
      </w:pPr>
      <w:r>
        <w:t xml:space="preserve">The dataset is stored as a JSONL file where each record follows a three-turn conversation structure with accompanying metadata.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conversations[0] — system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Fixed recruiter/hiring manager persona prompt (334 chars, constant)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conversations[1] — user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Job description input prompt (avg 3,094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conversations[2] — assistant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Generated interview questions with type tags (avg 2,663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metadata.domain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Engineering/business domain (e.g., Data Science, MLOps)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metadata.industry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Target industry vertical (e.g., FinTech, HealthTech)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metadata.level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Seniority level of the candidate 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metadata.company_size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Size bracket of the hiring company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metadata.quality_score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Quality score assigned during generation (all = 100)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metadata.q_counts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Per-record count of each question type 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metadata.version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 generation version (v3.1)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Loading Results</w:t>
      </w:r>
    </w:p>
    <w:p>
      <w:pPr>
        <w:spacing w:after="120"/>
      </w:pPr>
      <w:r>
        <w:t xml:space="preserve">The JSONL file was parsed without any errors. All 1,603 records were successfully loaded and no malformed JSON lines were encountered.</w:t>
      </w:r>
    </w:p>
    <w:p>
      <w:pPr>
        <w:pStyle w:val="ListParagraph"/>
        <w:numPr>
          <w:ilvl w:val="0"/>
          <w:numId w:val="2"/>
        </w:numPr>
      </w:pPr>
      <w:r>
        <w:t xml:space="preserve">Total records loaded: 1,603</w:t>
      </w:r>
    </w:p>
    <w:p>
      <w:pPr>
        <w:pStyle w:val="ListParagraph"/>
        <w:numPr>
          <w:ilvl w:val="0"/>
          <w:numId w:val="2"/>
        </w:numPr>
      </w:pPr>
      <w:r>
        <w:t xml:space="preserve">JSON parse errors: 0</w:t>
      </w:r>
    </w:p>
    <w:p>
      <w:pPr>
        <w:pStyle w:val="ListParagraph"/>
        <w:numPr>
          <w:ilvl w:val="0"/>
          <w:numId w:val="2"/>
        </w:numPr>
      </w:pPr>
      <w:r>
        <w:t xml:space="preserve">Records with exactly 3 conversation turns: 1,603 (100%)</w:t>
      </w:r>
    </w:p>
    <w:p>
      <w:pPr>
        <w:pStyle w:val="ListParagraph"/>
        <w:numPr>
          <w:ilvl w:val="0"/>
          <w:numId w:val="2"/>
        </w:numPr>
      </w:pPr>
      <w:r>
        <w:t xml:space="preserve">Records with unexpected roles: 0</w:t>
      </w:r>
    </w:p>
    <w:p>
      <w:r>
        <w:br w:type="page"/>
      </w:r>
    </w:p>
    <w:p>
      <w:pPr>
        <w:pStyle w:val="Heading1"/>
      </w:pPr>
      <w:r>
        <w:t xml:space="preserve">3. Schema Validation</w:t>
      </w:r>
    </w:p>
    <w:p>
      <w:pPr>
        <w:spacing w:after="120"/>
      </w:pPr>
      <w:r>
        <w:t xml:space="preserve">Every record was validated against a strict schema requiring all three conversation roles and full metadata presence. The validation passed perfectly on all 5 checks with zero failures.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Validation Check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Failures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Has conversations array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✅ 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Has metadata object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✅ 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Has system turn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✅ 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Has user turn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✅ 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Has assistant turn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✅ 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Extra / unexpected roles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✅ 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Turn count exactly 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✅ 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</w:tbl>
    <w:p>
      <w:r>
        <w:t xml:space="preserve"/>
      </w:r>
    </w:p>
    <w:p>
      <w:pPr>
        <w:pBdr>
          <w:left w:val="single" w:color="388E3C" w:sz="12"/>
        </w:pBdr>
        <w:shd w:fill="E8F5E9" w:val="clear"/>
        <w:spacing w:after="80" w:before="80"/>
        <w:ind w:left="240" w:right="240"/>
      </w:pPr>
      <w:r>
        <w:rPr>
          <w:i/>
          <w:iCs/>
          <w:sz w:val="19"/>
          <w:szCs w:val="19"/>
        </w:rPr>
        <w:t xml:space="preserve">Schema validation: FULLY PASSED. All records conform to the expected conversation structure and no structural anomalies were detected.</w:t>
      </w:r>
    </w:p>
    <w:p>
      <w:r>
        <w:br w:type="page"/>
      </w:r>
    </w:p>
    <w:p>
      <w:pPr>
        <w:pStyle w:val="Heading1"/>
      </w:pPr>
      <w:r>
        <w:t xml:space="preserve">4. Token &amp; Length Analysis</w:t>
      </w:r>
    </w:p>
    <w:p>
      <w:pPr>
        <w:spacing w:after="120"/>
      </w:pPr>
      <w:r>
        <w:t xml:space="preserve">Token counts were computed using the target tokenizer (google/gemma-4-E4B-it). All records fall well within the 8,192-token context window of the target model.</w:t>
      </w:r>
    </w:p>
    <w:p>
      <w:r>
        <w:t xml:space="preserve"/>
      </w:r>
    </w:p>
    <w:p>
      <w:pPr>
        <w:pStyle w:val="Heading2"/>
      </w:pPr>
      <w:r>
        <w:t xml:space="preserve">4.1 Token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80"/>
        <w:gridCol w:w="218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Tokens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Characters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Mean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1,264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6,092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874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Median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1,260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6,089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871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639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3,196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462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Max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1,661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7,771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1,121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95th Percentile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1,365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99th Percentile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1,519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Over limit (&gt;8,192)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Distribution Plots</w:t>
      </w:r>
    </w:p>
    <w:p>
      <w:pPr>
        <w:spacing w:after="120"/>
      </w:pPr>
      <w:r>
        <w:t xml:space="preserve">The three plots below show the distributions of total tokens, assistant response length, and user prompt length across all records.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571750" cy="1819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571750" cy="1819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spacing w:after="80"/>
        <w:jc w:val="center"/>
      </w:pPr>
      <w:r>
        <w:rPr>
          <w:i/>
          <w:iCs/>
          <w:color w:val="595959"/>
          <w:sz w:val="18"/>
          <w:szCs w:val="18"/>
        </w:rPr>
        <w:t xml:space="preserve">Figure 1 (left): Total Token Distribution  |  Figure 2 (right): Assistant Response Length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5245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595959"/>
          <w:sz w:val="18"/>
          <w:szCs w:val="18"/>
        </w:rPr>
        <w:t xml:space="preserve">Figure 3: User Prompt Length Distribution</w:t>
      </w:r>
    </w:p>
    <w:p>
      <w:r>
        <w:t xml:space="preserve"/>
      </w:r>
    </w:p>
    <w:p>
      <w:pPr>
        <w:pStyle w:val="Heading2"/>
      </w:pPr>
      <w:r>
        <w:t xml:space="preserve">4.3 Key Observations</w:t>
      </w:r>
    </w:p>
    <w:p>
      <w:pPr>
        <w:pStyle w:val="ListParagraph"/>
        <w:numPr>
          <w:ilvl w:val="0"/>
          <w:numId w:val="2"/>
        </w:numPr>
      </w:pPr>
      <w:r>
        <w:t xml:space="preserve">Token distribution is very tight and well-clustered: mean 1,264, median 1,260 — nearly symmetric with no heavy tails.</w:t>
      </w:r>
    </w:p>
    <w:p>
      <w:pPr>
        <w:pStyle w:val="ListParagraph"/>
        <w:numPr>
          <w:ilvl w:val="0"/>
          <w:numId w:val="2"/>
        </w:numPr>
      </w:pPr>
      <w:r>
        <w:t xml:space="preserve">The maximum token count (1,661) is only 20% of the 8,192 context limit, leaving ample headroom for the model.</w:t>
      </w:r>
    </w:p>
    <w:p>
      <w:pPr>
        <w:pStyle w:val="ListParagraph"/>
        <w:numPr>
          <w:ilvl w:val="0"/>
          <w:numId w:val="2"/>
        </w:numPr>
      </w:pPr>
      <w:r>
        <w:t xml:space="preserve">User prompts average 3,094 characters — consistent with realistic, detailed job descriptions.</w:t>
      </w:r>
    </w:p>
    <w:p>
      <w:pPr>
        <w:pStyle w:val="ListParagraph"/>
        <w:numPr>
          <w:ilvl w:val="0"/>
          <w:numId w:val="2"/>
        </w:numPr>
      </w:pPr>
      <w:r>
        <w:t xml:space="preserve">Assistant responses average 2,663 characters — consistent across the dataset (std dev only 170 chars).</w:t>
      </w:r>
    </w:p>
    <w:p>
      <w:pPr>
        <w:pStyle w:val="ListParagraph"/>
        <w:numPr>
          <w:ilvl w:val="0"/>
          <w:numId w:val="2"/>
        </w:numPr>
      </w:pPr>
      <w:r>
        <w:t xml:space="preserve">System prompt is perfectly constant at 334 characters for all 1,603 records.</w:t>
      </w:r>
    </w:p>
    <w:p>
      <w:pPr>
        <w:pBdr>
          <w:left w:val="single" w:color="388E3C" w:sz="12"/>
        </w:pBdr>
        <w:shd w:fill="E8F5E9" w:val="clear"/>
        <w:spacing w:after="80" w:before="80"/>
        <w:ind w:left="240" w:right="240"/>
      </w:pPr>
      <w:r>
        <w:rPr>
          <w:i/>
          <w:iCs/>
          <w:sz w:val="19"/>
          <w:szCs w:val="19"/>
        </w:rPr>
        <w:t xml:space="preserve">Token Budget: EXCELLENT. All records are within budget and clustering is tight, indicating consistent generation quality.</w:t>
      </w:r>
    </w:p>
    <w:p>
      <w:r>
        <w:br w:type="page"/>
      </w:r>
    </w:p>
    <w:p>
      <w:pPr>
        <w:pStyle w:val="Heading1"/>
      </w:pPr>
      <w:r>
        <w:t xml:space="preserve">5. Data Quality Checks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5245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95959"/>
          <w:sz w:val="18"/>
          <w:szCs w:val="18"/>
        </w:rPr>
        <w:t xml:space="preserve">Figure 4: Data Quality Summary — All checks pass at full dataset count (1,603)</w:t>
      </w:r>
    </w:p>
    <w:p>
      <w:r>
        <w:t xml:space="preserve"/>
      </w:r>
    </w:p>
    <w:p>
      <w:pPr>
        <w:pStyle w:val="Heading2"/>
      </w:pPr>
      <w:r>
        <w:t xml:space="preserve">5.1 Null &amp; Empty String Check</w:t>
      </w:r>
    </w:p>
    <w:p>
      <w:pPr>
        <w:spacing w:after="120"/>
      </w:pPr>
      <w:r>
        <w:t xml:space="preserve">No null values or empty strings were found in any of the three conversation fields (system, user, assistant) across all 1,603 records.</w:t>
      </w:r>
    </w:p>
    <w:p>
      <w:r>
        <w:t xml:space="preserve"/>
      </w:r>
    </w:p>
    <w:p>
      <w:pPr>
        <w:pStyle w:val="Heading2"/>
      </w:pPr>
      <w:r>
        <w:t xml:space="preserve">5.2 Exact Duplicate Detection</w:t>
      </w:r>
    </w:p>
    <w:p>
      <w:pPr>
        <w:spacing w:after="120"/>
      </w:pPr>
      <w:r>
        <w:t xml:space="preserve">Zero exact duplicate pairs (matching user + assistant content) were found. Every training example is unique at the exact-match level.</w:t>
      </w:r>
    </w:p>
    <w:p>
      <w:r>
        <w:t xml:space="preserve"/>
      </w:r>
    </w:p>
    <w:p>
      <w:pPr>
        <w:pStyle w:val="Heading2"/>
      </w:pPr>
      <w:r>
        <w:t xml:space="preserve">5.3 Near-Duplicate User Prompts</w:t>
      </w:r>
    </w:p>
    <w:p>
      <w:pPr>
        <w:pBdr>
          <w:left w:val="single" w:color="F9A825" w:sz="12"/>
        </w:pBdr>
        <w:shd w:fill="FFF8E1" w:val="clear"/>
        <w:spacing w:after="80" w:before="80"/>
        <w:ind w:left="240" w:right="240"/>
      </w:pPr>
      <w:r>
        <w:rPr>
          <w:i/>
          <w:iCs/>
          <w:sz w:val="19"/>
          <w:szCs w:val="19"/>
        </w:rPr>
        <w:t xml:space="preserve">⚠️  Warning: 744 records share near-identical user prompt prefixes (first 200 characters). This indicates the same job description was used to generate multiple records (likely with different domain/level/industry metadata combinations). This is expected behaviour for a grid-style dataset generation approach, but should be confirmed with the data generation team.</w:t>
      </w:r>
    </w:p>
    <w:p>
      <w:r>
        <w:t xml:space="preserve"/>
      </w:r>
    </w:p>
    <w:p>
      <w:pPr>
        <w:spacing w:after="120"/>
      </w:pPr>
      <w:r>
        <w:t xml:space="preserve">Recommendation: Verify that near-duplicate prompts differ in at least one metadata dimension (domain, industry, level, or company size). If the answers are also different, this is acceptable.</w:t>
      </w:r>
    </w:p>
    <w:p>
      <w:r>
        <w:t xml:space="preserve"/>
      </w:r>
    </w:p>
    <w:p>
      <w:pPr>
        <w:pStyle w:val="Heading2"/>
      </w:pPr>
      <w:r>
        <w:t xml:space="preserve">5.4 Assistant Format Consistency</w:t>
      </w:r>
    </w:p>
    <w:p>
      <w:pPr>
        <w:spacing w:after="120"/>
      </w:pPr>
      <w:r>
        <w:t xml:space="preserve">All 1,603 assistant responses start with a numbered question (e.g., '1. [Technical] ...'). The format is 100% consistent across the dataset — a strong signal of generation pipeline discipline.</w:t>
      </w:r>
    </w:p>
    <w:p>
      <w:r>
        <w:t xml:space="preserve"/>
      </w:r>
    </w:p>
    <w:p>
      <w:pPr>
        <w:pStyle w:val="Heading2"/>
      </w:pPr>
      <w:r>
        <w:t xml:space="preserve">5.5 Outlier Detection (Response Length)</w:t>
      </w:r>
    </w:p>
    <w:p>
      <w:pPr>
        <w:spacing w:after="120"/>
      </w:pPr>
      <w:r>
        <w:t xml:space="preserve">Using IQR analysis on assistant response character counts:</w:t>
      </w:r>
    </w:p>
    <w:p>
      <w:pPr>
        <w:pStyle w:val="ListParagraph"/>
        <w:numPr>
          <w:ilvl w:val="0"/>
          <w:numId w:val="2"/>
        </w:numPr>
      </w:pPr>
      <w:r>
        <w:t xml:space="preserve">IQR range: 2,563 – 2,772 characters</w:t>
      </w:r>
    </w:p>
    <w:p>
      <w:pPr>
        <w:pStyle w:val="ListParagraph"/>
        <w:numPr>
          <w:ilvl w:val="0"/>
          <w:numId w:val="2"/>
        </w:numPr>
      </w:pPr>
      <w:r>
        <w:t xml:space="preserve">Low-length outliers (unusually short): 24 records</w:t>
      </w:r>
    </w:p>
    <w:p>
      <w:pPr>
        <w:pStyle w:val="ListParagraph"/>
        <w:numPr>
          <w:ilvl w:val="0"/>
          <w:numId w:val="2"/>
        </w:numPr>
      </w:pPr>
      <w:r>
        <w:t xml:space="preserve">High-length outliers (unusually long): 10 records</w:t>
      </w:r>
    </w:p>
    <w:p>
      <w:pPr>
        <w:pStyle w:val="ListParagraph"/>
        <w:numPr>
          <w:ilvl w:val="0"/>
          <w:numId w:val="2"/>
        </w:numPr>
      </w:pPr>
      <w:r>
        <w:t xml:space="preserve">Total outliers: 34 records (~2.1% of dataset)</w:t>
      </w:r>
    </w:p>
    <w:p>
      <w:r>
        <w:t xml:space="preserve"/>
      </w:r>
    </w:p>
    <w:p>
      <w:pPr>
        <w:pBdr>
          <w:left w:val="single" w:color="FFC107" w:sz="12"/>
        </w:pBdr>
        <w:shd w:fill="FFF3CD" w:val="clear"/>
        <w:spacing w:after="80" w:before="80"/>
        <w:ind w:left="240" w:right="240"/>
      </w:pPr>
      <w:r>
        <w:rPr>
          <w:i/>
          <w:iCs/>
          <w:sz w:val="19"/>
          <w:szCs w:val="19"/>
        </w:rPr>
        <w:t xml:space="preserve">Recommendation: Manually review the 24 short-response outliers to verify they still contain a complete set of interview questions and have not been truncated during generation.</w:t>
      </w:r>
    </w:p>
    <w:p>
      <w:r>
        <w:br w:type="page"/>
      </w:r>
    </w:p>
    <w:p>
      <w:pPr>
        <w:pStyle w:val="Heading1"/>
      </w:pPr>
      <w:r>
        <w:t xml:space="preserve">6. Metadata &amp; Distribution Analysis</w:t>
      </w:r>
    </w:p>
    <w:p>
      <w:pPr>
        <w:spacing w:after="120"/>
      </w:pPr>
      <w:r>
        <w:t xml:space="preserve">Balanced metadata distributions across domain, industry, job level, and company size are critical for an LLM to generalise well. A skewed training set can cause the model to underperform on underrepresented categories.</w:t>
      </w:r>
    </w:p>
    <w:p>
      <w:r>
        <w:t xml:space="preserve"/>
      </w:r>
    </w:p>
    <w:p>
      <w:pPr>
        <w:pStyle w:val="Heading2"/>
      </w:pPr>
      <w:r>
        <w:t xml:space="preserve">6.1 Domain Distribution (20 categories)</w:t>
      </w:r>
    </w:p>
    <w:p>
      <w:pPr>
        <w:jc w:val="center"/>
      </w:pPr>
      <w:r>
        <w:drawing>
          <wp:inline distT="0" distB="0" distL="0" distR="0">
            <wp:extent cx="55245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95959"/>
          <w:sz w:val="18"/>
          <w:szCs w:val="18"/>
        </w:rPr>
        <w:t xml:space="preserve">Figure 5: Top 20 Domain Distribution</w:t>
      </w:r>
    </w:p>
    <w:p>
      <w:r>
        <w:t xml:space="preserve"/>
      </w:r>
    </w:p>
    <w:p>
      <w:pPr>
        <w:spacing w:after="120"/>
      </w:pPr>
      <w:r>
        <w:t xml:space="preserve">The dataset covers 20 distinct engineering and business domains. The distribution is moderately balanced with counts ranging from 57 (Cloud Architecture, Technical Program Management) to 116 (Mobile Engineering).</w:t>
      </w:r>
    </w:p>
    <w:p>
      <w:pPr>
        <w:pStyle w:val="ListParagraph"/>
        <w:numPr>
          <w:ilvl w:val="0"/>
          <w:numId w:val="2"/>
        </w:numPr>
      </w:pPr>
      <w:r>
        <w:t xml:space="preserve">Most represented: Mobile Engineering (116 records, 7.2%)</w:t>
      </w:r>
    </w:p>
    <w:p>
      <w:pPr>
        <w:pStyle w:val="ListParagraph"/>
        <w:numPr>
          <w:ilvl w:val="0"/>
          <w:numId w:val="2"/>
        </w:numPr>
      </w:pPr>
      <w:r>
        <w:t xml:space="preserve">Least represented: Cloud Architecture &amp; TPM (57 records, 3.6%)</w:t>
      </w:r>
    </w:p>
    <w:p>
      <w:pPr>
        <w:pStyle w:val="ListParagraph"/>
        <w:numPr>
          <w:ilvl w:val="0"/>
          <w:numId w:val="2"/>
        </w:numPr>
      </w:pPr>
      <w:r>
        <w:t xml:space="preserve">Spread ratio (max/min): ~2x — acceptable for fine-tuning</w:t>
      </w:r>
    </w:p>
    <w:p>
      <w:pPr>
        <w:pBdr>
          <w:left w:val="single" w:color="388E3C" w:sz="12"/>
        </w:pBdr>
        <w:shd w:fill="E8F5E9" w:val="clear"/>
        <w:spacing w:after="80" w:before="80"/>
        <w:ind w:left="240" w:right="240"/>
      </w:pPr>
      <w:r>
        <w:rPr>
          <w:i/>
          <w:iCs/>
          <w:sz w:val="19"/>
          <w:szCs w:val="19"/>
        </w:rPr>
        <w:t xml:space="preserve">Domain balance is GOOD. No single domain dominates. The ~2x spread between top and bottom categories is within acceptable bounds.</w:t>
      </w:r>
    </w:p>
    <w:p>
      <w:r>
        <w:t xml:space="preserve"/>
      </w:r>
    </w:p>
    <w:p>
      <w:pPr>
        <w:pStyle w:val="Heading2"/>
      </w:pPr>
      <w:r>
        <w:t xml:space="preserve">6.2 Industry Distribution (14 categories)</w:t>
      </w:r>
    </w:p>
    <w:p>
      <w:pPr>
        <w:jc w:val="center"/>
      </w:pPr>
      <w:r>
        <w:drawing>
          <wp:inline distT="0" distB="0" distL="0" distR="0">
            <wp:extent cx="5524500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95959"/>
          <w:sz w:val="18"/>
          <w:szCs w:val="18"/>
        </w:rPr>
        <w:t xml:space="preserve">Figure 6: Top 20 Industry Distribution</w:t>
      </w:r>
    </w:p>
    <w:p>
      <w:r>
        <w:t xml:space="preserve"/>
      </w:r>
    </w:p>
    <w:p>
      <w:pPr>
        <w:spacing w:after="120"/>
      </w:pPr>
      <w:r>
        <w:t xml:space="preserve">14 industry verticals are represented. AgriTech/CleanTech leads at 148 records (9.2%), while Gaming/Metaverse trails at 90 records (5.6%).</w:t>
      </w:r>
    </w:p>
    <w:p>
      <w:pPr>
        <w:pStyle w:val="ListParagraph"/>
        <w:numPr>
          <w:ilvl w:val="0"/>
          <w:numId w:val="2"/>
        </w:numPr>
      </w:pPr>
      <w:r>
        <w:t xml:space="preserve">Spread ratio (max/min): ~1.6x — very well balanced</w:t>
      </w:r>
    </w:p>
    <w:p>
      <w:pPr>
        <w:pStyle w:val="ListParagraph"/>
        <w:numPr>
          <w:ilvl w:val="0"/>
          <w:numId w:val="2"/>
        </w:numPr>
      </w:pPr>
      <w:r>
        <w:t xml:space="preserve">All industries exceed 90 records — sufficient for the model to learn industry-specific vocabulary</w:t>
      </w:r>
    </w:p>
    <w:p>
      <w:pPr>
        <w:pBdr>
          <w:left w:val="single" w:color="388E3C" w:sz="12"/>
        </w:pBdr>
        <w:shd w:fill="E8F5E9" w:val="clear"/>
        <w:spacing w:after="80" w:before="80"/>
        <w:ind w:left="240" w:right="240"/>
      </w:pPr>
      <w:r>
        <w:rPr>
          <w:i/>
          <w:iCs/>
          <w:sz w:val="19"/>
          <w:szCs w:val="19"/>
        </w:rPr>
        <w:t xml:space="preserve">Industry balance is EXCELLENT. The ~1.6x spread is very tight and all categories have adequate representation.</w:t>
      </w:r>
    </w:p>
    <w:p>
      <w:r>
        <w:t xml:space="preserve"/>
      </w:r>
    </w:p>
    <w:p>
      <w:pPr>
        <w:pStyle w:val="Heading2"/>
      </w:pPr>
      <w:r>
        <w:t xml:space="preserve">6.3 Job Level Distribution (7 levels)</w:t>
      </w:r>
    </w:p>
    <w:p>
      <w:pPr>
        <w:jc w:val="center"/>
      </w:pPr>
      <w:r>
        <w:drawing>
          <wp:inline distT="0" distB="0" distL="0" distR="0">
            <wp:extent cx="26670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95959"/>
          <w:sz w:val="18"/>
          <w:szCs w:val="18"/>
        </w:rPr>
        <w:t xml:space="preserve">Figure 7: Job Level Distribution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86"/>
        <w:gridCol w:w="1787"/>
        <w:gridCol w:w="1787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Job Level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Percentage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Junior (0–2 yrs)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283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17.7%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Lead / Principal (8–12 yrs)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271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16.9%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Mid-level (2–5 yrs)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244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15.2%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Director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215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13.4%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Engineering Manager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206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12.9%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VP / C-suite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199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12.4%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Senior (5–8 yrs)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185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11.5%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r>
        <w:t xml:space="preserve"/>
      </w:r>
    </w:p>
    <w:p>
      <w:pPr>
        <w:pBdr>
          <w:left w:val="single" w:color="388E3C" w:sz="12"/>
        </w:pBdr>
        <w:shd w:fill="E8F5E9" w:val="clear"/>
        <w:spacing w:after="80" w:before="80"/>
        <w:ind w:left="240" w:right="240"/>
      </w:pPr>
      <w:r>
        <w:rPr>
          <w:i/>
          <w:iCs/>
          <w:sz w:val="19"/>
          <w:szCs w:val="19"/>
        </w:rPr>
        <w:t xml:space="preserve">Job level distribution is EXCELLENT — the most balanced of all metadata dimensions, with a spread of only 1.5x between Junior and Senior.</w:t>
      </w:r>
    </w:p>
    <w:p>
      <w:r>
        <w:t xml:space="preserve"/>
      </w:r>
    </w:p>
    <w:p>
      <w:pPr>
        <w:pStyle w:val="Heading2"/>
      </w:pPr>
      <w:r>
        <w:t xml:space="preserve">6.4 Company Size Distribution</w:t>
      </w:r>
    </w:p>
    <w:p>
      <w:pPr>
        <w:jc w:val="center"/>
      </w:pPr>
      <w:r>
        <w:drawing>
          <wp:inline distT="0" distB="0" distL="0" distR="0">
            <wp:extent cx="26670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95959"/>
          <w:sz w:val="18"/>
          <w:szCs w:val="18"/>
        </w:rPr>
        <w:t xml:space="preserve">Figure 8: Company Size Distribution</w:t>
      </w:r>
    </w:p>
    <w:p>
      <w:r>
        <w:t xml:space="preserve"/>
      </w:r>
    </w:p>
    <w:p>
      <w:pPr>
        <w:spacing w:after="120"/>
      </w:pPr>
      <w:r>
        <w:t xml:space="preserve">Company size is distributed across 4 tiers, all within a very narrow band (376–421 records), making it the most uniform metadata dimension in the dataset.</w:t>
      </w:r>
    </w:p>
    <w:p>
      <w:pPr>
        <w:pStyle w:val="ListParagraph"/>
        <w:numPr>
          <w:ilvl w:val="0"/>
          <w:numId w:val="2"/>
        </w:numPr>
      </w:pPr>
      <w:r>
        <w:t xml:space="preserve">Early-stage Startup (10–50): 421 records (26.3%)</w:t>
      </w:r>
    </w:p>
    <w:p>
      <w:pPr>
        <w:pStyle w:val="ListParagraph"/>
        <w:numPr>
          <w:ilvl w:val="0"/>
          <w:numId w:val="2"/>
        </w:numPr>
      </w:pPr>
      <w:r>
        <w:t xml:space="preserve">Growth Startup (50–200): 417 records (26.0%)</w:t>
      </w:r>
    </w:p>
    <w:p>
      <w:pPr>
        <w:pStyle w:val="ListParagraph"/>
        <w:numPr>
          <w:ilvl w:val="0"/>
          <w:numId w:val="2"/>
        </w:numPr>
      </w:pPr>
      <w:r>
        <w:t xml:space="preserve">Mid-size Company (200–1,000): 389 records (24.3%)</w:t>
      </w:r>
    </w:p>
    <w:p>
      <w:pPr>
        <w:pStyle w:val="ListParagraph"/>
        <w:numPr>
          <w:ilvl w:val="0"/>
          <w:numId w:val="2"/>
        </w:numPr>
      </w:pPr>
      <w:r>
        <w:t xml:space="preserve">Large Enterprise (1,000+): 376 records (23.5%)</w:t>
      </w:r>
    </w:p>
    <w:p>
      <w:r>
        <w:br w:type="page"/>
      </w:r>
    </w:p>
    <w:p>
      <w:pPr>
        <w:pStyle w:val="Heading1"/>
      </w:pPr>
      <w:r>
        <w:t xml:space="preserve">7. Question Type Analysis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571750" cy="1762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571750" cy="1762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  <w:jc w:val="center"/>
      </w:pPr>
      <w:r>
        <w:rPr>
          <w:i/>
          <w:iCs/>
          <w:color w:val="595959"/>
          <w:sz w:val="18"/>
          <w:szCs w:val="18"/>
        </w:rPr>
        <w:t xml:space="preserve">Figure 9 (left): Average Question Types per Record  |  Figure 10 (right): Token Counts by Job Level</w:t>
      </w:r>
    </w:p>
    <w:p>
      <w:r>
        <w:t xml:space="preserve"/>
      </w:r>
    </w:p>
    <w:p>
      <w:pPr>
        <w:pStyle w:val="Heading2"/>
      </w:pPr>
      <w:r>
        <w:t xml:space="preserve">7.1 Per-Record Question Type Breakdown</w:t>
      </w:r>
    </w:p>
    <w:p>
      <w:pPr>
        <w:spacing w:after="120"/>
      </w:pPr>
      <w:r>
        <w:t xml:space="preserve">Each assistant response contains a mix of 5 question types, tagged inline with bracket labels [Technical], [Behavioral], etc. The average composition per record is: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 Type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 / Record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(all records)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of 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[Technical]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11,192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35.0%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[Behavioral]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8,043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25.1%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[Situational]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6,404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20.0%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[Culture]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3,216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[Career]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2.0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3,205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10.0%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per record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20.0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32,060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Each record consistently contains exactly 20 questions. The distribution is intentional: heavier emphasis on technical and behavioural questions, with lighter coverage of culture and career questions.</w:t>
      </w:r>
    </w:p>
    <w:p>
      <w:r>
        <w:t xml:space="preserve"/>
      </w:r>
    </w:p>
    <w:p>
      <w:pPr>
        <w:pStyle w:val="Heading2"/>
      </w:pPr>
      <w:r>
        <w:t xml:space="preserve">7.2 Token Counts by Job Level</w:t>
      </w:r>
    </w:p>
    <w:p>
      <w:pPr>
        <w:spacing w:after="120"/>
      </w:pPr>
      <w:r>
        <w:t xml:space="preserve">The boxplot (Figure 10) confirms that token counts are very consistent across all 7 job levels. The median and IQR are nearly identical for Junior through C-suite roles, confirming that question volume and depth do not vary by seniority in the current dataset version.</w:t>
      </w:r>
    </w:p>
    <w:p>
      <w:pPr>
        <w:pBdr>
          <w:left w:val="single" w:color="FFC107" w:sz="12"/>
        </w:pBdr>
        <w:shd w:fill="FFF3CD" w:val="clear"/>
        <w:spacing w:after="80" w:before="80"/>
        <w:ind w:left="240" w:right="240"/>
      </w:pPr>
      <w:r>
        <w:rPr>
          <w:i/>
          <w:iCs/>
          <w:sz w:val="19"/>
          <w:szCs w:val="19"/>
        </w:rPr>
        <w:t xml:space="preserve">This is worth discussing with the data generation team: in real-world recruiting, senior role interviews often require more nuanced and longer questions. Consider whether the current uniform distribution is intentional.</w:t>
      </w:r>
    </w:p>
    <w:p>
      <w:r>
        <w:br w:type="page"/>
      </w:r>
    </w:p>
    <w:p>
      <w:pPr>
        <w:pStyle w:val="Heading1"/>
      </w:pPr>
      <w:r>
        <w:t xml:space="preserve">8. Fine-Tuning Readiness Assessment</w:t>
      </w:r>
    </w:p>
    <w:p>
      <w:pPr>
        <w:spacing w:after="120"/>
      </w:pPr>
      <w:r>
        <w:t xml:space="preserve">Based on the complete EDA, the following table summarises the readiness of the dataset for LLM fine-tuning: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 integrity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✅ 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1,603 records have the correct 3-turn structure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Token budget compliance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✅ 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Max 1,661 tokens vs 8,192 limit — 80% headroom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empty / null fields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✅ 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Zero empty fields across all records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exact duplicates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✅ 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 duplicate (user, assistant) pairs found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Consistent output format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✅ 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 of responses start with numbered questions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Metadata completeness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✅ 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5 metadata fields populated in every record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Domain balance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✅ 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 categories, max/min spread ~2x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Industry balance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✅ 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 categories, max/min spread ~1.6x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Job level balance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✅ 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 levels, near-uniform distribution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 size balance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✅ 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tiers, all within 10% of each other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Near-duplicate prompts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A5200"/>
                <w:sz w:val="19"/>
                <w:szCs w:val="19"/>
              </w:rPr>
              <w:t xml:space="preserve">⚠️ REVIEW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744 records share first-200-char prefix — confirm intentional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Response length outliers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A5200"/>
                <w:sz w:val="19"/>
                <w:szCs w:val="19"/>
              </w:rPr>
              <w:t xml:space="preserve">⚠️ REVIEW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34 records (~2%) are outliers — inspect short ones (24 records)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Token uniformity by 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A5200"/>
                <w:sz w:val="19"/>
                <w:szCs w:val="19"/>
              </w:rPr>
              <w:t xml:space="preserve">⚠️ REVIEW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Token counts identical across seniority levels — verify intent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8.1 Recommended Actions Before Training</w:t>
      </w:r>
    </w:p>
    <w:p>
      <w:pPr>
        <w:pStyle w:val="ListParagraph"/>
        <w:numPr>
          <w:ilvl w:val="0"/>
          <w:numId w:val="2"/>
        </w:numPr>
      </w:pPr>
      <w:r>
        <w:t xml:space="preserve">REQUIRED: Investigate the 744 near-duplicate user prompts. Verify that metadata dimensions differ across these records and that they represent intentional diversity, not accidental duplicates.</w:t>
      </w:r>
    </w:p>
    <w:p>
      <w:pPr>
        <w:pStyle w:val="ListParagraph"/>
        <w:numPr>
          <w:ilvl w:val="0"/>
          <w:numId w:val="2"/>
        </w:numPr>
      </w:pPr>
      <w:r>
        <w:t xml:space="preserve">RECOMMENDED: Manually inspect the 24 short-response outliers to confirm they are not truncated and contain a complete set of 20 questions.</w:t>
      </w:r>
    </w:p>
    <w:p>
      <w:pPr>
        <w:pStyle w:val="ListParagraph"/>
        <w:numPr>
          <w:ilvl w:val="0"/>
          <w:numId w:val="2"/>
        </w:numPr>
      </w:pPr>
      <w:r>
        <w:t xml:space="preserve">OPTIONAL: Consider whether uniform token distribution across seniority levels is intentional. Senior-level technical interviews typically warrant more context-rich questions.</w:t>
      </w:r>
    </w:p>
    <w:p>
      <w:pPr>
        <w:pStyle w:val="ListParagraph"/>
        <w:numPr>
          <w:ilvl w:val="0"/>
          <w:numId w:val="2"/>
        </w:numPr>
      </w:pPr>
      <w:r>
        <w:t xml:space="preserve">OPTIONAL: The dataset size (1,603 records) is moderate. Consider whether augmentation is needed depending on the target model size and task complexity.</w:t>
      </w:r>
    </w:p>
    <w:p>
      <w:r>
        <w:t xml:space="preserve"/>
      </w:r>
    </w:p>
    <w:p>
      <w:pPr>
        <w:pStyle w:val="Heading2"/>
      </w:pPr>
      <w:r>
        <w:t xml:space="preserve">8.2 Strengths of This Dataset</w:t>
      </w:r>
    </w:p>
    <w:p>
      <w:pPr>
        <w:pStyle w:val="ListParagraph"/>
        <w:numPr>
          <w:ilvl w:val="0"/>
          <w:numId w:val="2"/>
        </w:numPr>
      </w:pPr>
      <w:r>
        <w:t xml:space="preserve">Perfect schema compliance with zero structural failures — production-grade data pipeline.</w:t>
      </w:r>
    </w:p>
    <w:p>
      <w:pPr>
        <w:pStyle w:val="ListParagraph"/>
        <w:numPr>
          <w:ilvl w:val="0"/>
          <w:numId w:val="2"/>
        </w:numPr>
      </w:pPr>
      <w:r>
        <w:t xml:space="preserve">Extremely tight token distribution (std dev ~42 tokens) ensures stable batching during fine-tuning with no padding waste.</w:t>
      </w:r>
    </w:p>
    <w:p>
      <w:pPr>
        <w:pStyle w:val="ListParagraph"/>
        <w:numPr>
          <w:ilvl w:val="0"/>
          <w:numId w:val="2"/>
        </w:numPr>
      </w:pPr>
      <w:r>
        <w:t xml:space="preserve">Rich, consistent metadata enables conditional generation and metadata-conditioned evaluations post-training.</w:t>
      </w:r>
    </w:p>
    <w:p>
      <w:pPr>
        <w:pStyle w:val="ListParagraph"/>
        <w:numPr>
          <w:ilvl w:val="0"/>
          <w:numId w:val="2"/>
        </w:numPr>
      </w:pPr>
      <w:r>
        <w:t xml:space="preserve">All 20 questions per record are correctly typed and tagged — enables task-specific evaluation metrics.</w:t>
      </w:r>
    </w:p>
    <w:p>
      <w:pPr>
        <w:pStyle w:val="ListParagraph"/>
        <w:numPr>
          <w:ilvl w:val="0"/>
          <w:numId w:val="2"/>
        </w:numPr>
      </w:pPr>
      <w:r>
        <w:t xml:space="preserve">v3.1 versioning and quality_score=100 on all records indicate a mature, curated dataset.</w:t>
      </w:r>
    </w:p>
    <w:p>
      <w:r>
        <w:br w:type="page"/>
      </w:r>
    </w:p>
    <w:p>
      <w:pPr>
        <w:pStyle w:val="Heading1"/>
      </w:pPr>
      <w:r>
        <w:t xml:space="preserve">9. Appendix: Full EDA Report</w:t>
      </w:r>
    </w:p>
    <w:p>
      <w:pPr>
        <w:spacing w:after="120"/>
      </w:pPr>
      <w:r>
        <w:t xml:space="preserve">The complete EDA visualisation (all 10 plots) is included below for reference.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524500" cy="588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95959"/>
          <w:sz w:val="18"/>
          <w:szCs w:val="18"/>
        </w:rPr>
        <w:t xml:space="preserve">Full EDA Report — LLM Fine-Tuning Dataset (Interview Question Generator, 1,679 records)</w:t>
      </w:r>
    </w:p>
    <w:p>
      <w:r>
        <w:t xml:space="preserve"/>
      </w:r>
    </w:p>
    <w:p>
      <w:pPr>
        <w:pStyle w:val="Heading2"/>
      </w:pPr>
      <w:r>
        <w:t xml:space="preserve">9.1 Pipeline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Tokenizer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google/gemma-4-E4B-it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Max Context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8,192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Validation Split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Random Seed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Output 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./prepared_data/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Dataset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v3.1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Source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raw_dataset.jsonl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9eec1b3dd4d264ea318ce312b0f18e7ccd796ac.png"/><Relationship Id="rId8" Type="http://schemas.openxmlformats.org/officeDocument/2006/relationships/image" Target="media/a78780806dc623f39381214d70afbce68cb0874d.png"/><Relationship Id="rId9" Type="http://schemas.openxmlformats.org/officeDocument/2006/relationships/image" Target="media/e3ef5829344b2f3963bdfb9a5a9ad0a1bc8a9a6f.png"/><Relationship Id="rId10" Type="http://schemas.openxmlformats.org/officeDocument/2006/relationships/image" Target="media/025d57d8e0023774784d7884d92cad4464a80e6a.png"/><Relationship Id="rId11" Type="http://schemas.openxmlformats.org/officeDocument/2006/relationships/image" Target="media/b2e33f47b73bad6393cd653b1aba70b8a692ada9.png"/><Relationship Id="rId12" Type="http://schemas.openxmlformats.org/officeDocument/2006/relationships/image" Target="media/01452f950c10d8a4dcd9754cb45530e8fe305e19.png"/><Relationship Id="rId13" Type="http://schemas.openxmlformats.org/officeDocument/2006/relationships/image" Target="media/c66c37e7f4958370a698c2d5544767b8fb3799b4.png"/><Relationship Id="rId14" Type="http://schemas.openxmlformats.org/officeDocument/2006/relationships/image" Target="media/10a38903dd3d20d128ee5390f892621cad040997.png"/><Relationship Id="rId15" Type="http://schemas.openxmlformats.org/officeDocument/2006/relationships/image" Target="media/253f06d85c8bdab17af621495948f777f53ae2e0.png"/><Relationship Id="rId16" Type="http://schemas.openxmlformats.org/officeDocument/2006/relationships/image" Target="media/5f990c0b5c21cf0445834b54ac5d3c9cd6ebc340.png"/><Relationship Id="rId17" Type="http://schemas.openxmlformats.org/officeDocument/2006/relationships/image" Target="media/4412abddb083175fab3cfea8880d1513c6e37f38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2026-06-11T08:43:21.955Z</dcterms:created>
  <dcterms:modified xsi:type="dcterms:W3CDTF">2026-06-11T08:43:21.955Z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