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p>
    <w:p>
      <w:pPr>
        <w:spacing w:after="60" w:before="0"/>
        <w:jc w:val="center"/>
      </w:pPr>
      <w:r>
        <w:rPr>
          <w:rFonts w:ascii="Arial" w:cs="Arial" w:eastAsia="Arial" w:hAnsi="Arial"/>
          <w:b/>
          <w:bCs/>
          <w:color w:val="1B4F72"/>
          <w:sz w:val="56"/>
          <w:szCs w:val="56"/>
        </w:rPr>
        <w:t xml:space="preserve">ACCESSIBLE AGENTIC AI</w:t>
      </w:r>
    </w:p>
    <w:p>
      <w:pPr>
        <w:spacing w:after="80" w:before="0"/>
        <w:jc w:val="center"/>
      </w:pPr>
      <w:r>
        <w:rPr>
          <w:rFonts w:ascii="Arial" w:cs="Arial" w:eastAsia="Arial" w:hAnsi="Arial"/>
          <w:b/>
          <w:bCs/>
          <w:color w:val="2E86C1"/>
          <w:sz w:val="34"/>
          <w:szCs w:val="34"/>
        </w:rPr>
        <w:t xml:space="preserve">R&amp;D Deep Dive · Volume II</w:t>
      </w:r>
    </w:p>
    <w:p>
      <w:pPr>
        <w:spacing w:after="240" w:before="0"/>
        <w:jc w:val="center"/>
      </w:pPr>
      <w:r>
        <w:rPr>
          <w:rFonts w:ascii="Arial" w:cs="Arial" w:eastAsia="Arial" w:hAnsi="Arial"/>
          <w:i/>
          <w:iCs/>
          <w:color w:val="5D6D7E"/>
          <w:sz w:val="22"/>
          <w:szCs w:val="22"/>
        </w:rPr>
        <w:t xml:space="preserve">Orchestration Frameworks · Edge Voice AI · Indic Language Processing · Healthcare Compliance</w:t>
      </w:r>
    </w:p>
    <w:p>
      <w:pPr>
        <w:pBdr>
          <w:bottom w:val="single" w:color="2E86C1" w:sz="6" w:space="1"/>
        </w:pBdr>
        <w:spacing w:after="120" w:before="120"/>
      </w:pPr>
    </w:p>
    <w:p>
      <w:pPr>
        <w:spacing w:after="0" w:before="140"/>
      </w:pPr>
    </w:p>
    <w:p>
      <w:pPr>
        <w:spacing w:after="80" w:before="0"/>
        <w:jc w:val="center"/>
      </w:pPr>
      <w:r>
        <w:rPr>
          <w:rFonts w:ascii="Arial" w:cs="Arial" w:eastAsia="Arial" w:hAnsi="Arial"/>
          <w:color w:val="1A252F"/>
          <w:sz w:val="22"/>
          <w:szCs w:val="22"/>
        </w:rPr>
        <w:t xml:space="preserve">This document is a direct continuation of the Accessible Agentic AI: Product, Architecture &amp; Roadmap (Version 1.0, April 2026).</w:t>
      </w:r>
    </w:p>
    <w:p>
      <w:pPr>
        <w:spacing w:after="60" w:before="0"/>
        <w:jc w:val="center"/>
      </w:pPr>
      <w:r>
        <w:rPr>
          <w:rFonts w:ascii="Arial" w:cs="Arial" w:eastAsia="Arial" w:hAnsi="Arial"/>
          <w:i/>
          <w:iCs/>
          <w:color w:val="5D6D7E"/>
          <w:sz w:val="22"/>
          <w:szCs w:val="22"/>
        </w:rPr>
        <w:t xml:space="preserve">It does not repeat foundational decisions from V1. Cross-references are clearly marked throughout.</w:t>
      </w:r>
    </w:p>
    <w:p>
      <w:pPr>
        <w:spacing w:after="0" w:before="280"/>
      </w:pPr>
    </w:p>
    <w:p>
      <w:pPr>
        <w:jc w:val="center"/>
      </w:pPr>
      <w:r>
        <w:rPr>
          <w:rFonts w:ascii="Arial" w:cs="Arial" w:eastAsia="Arial" w:hAnsi="Arial"/>
          <w:color w:val="5D6D7E"/>
          <w:sz w:val="20"/>
          <w:szCs w:val="20"/>
        </w:rPr>
        <w:t xml:space="preserve">Version 2.0  ·  April 2026  ·  Confidential</w:t>
      </w:r>
    </w:p>
    <w:p>
      <w:r>
        <w:br w:type="page"/>
      </w:r>
    </w:p>
    <w:p>
      <w:pPr>
        <w:pStyle w:val="Heading1"/>
        <w:spacing w:after="160" w:before="36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160" w:before="360"/>
      </w:pPr>
      <w:r>
        <w:rPr>
          <w:rFonts w:ascii="Arial" w:cs="Arial" w:eastAsia="Arial" w:hAnsi="Arial"/>
          <w:b/>
          <w:bCs/>
          <w:color w:val="1B4F72"/>
          <w:sz w:val="32"/>
          <w:szCs w:val="32"/>
        </w:rPr>
        <w:t xml:space="preserve">1. Scope of This Document</w:t>
      </w:r>
    </w:p>
    <w:p>
      <w:pPr>
        <w:spacing w:after="100" w:before="60"/>
      </w:pPr>
      <w:r>
        <w:rPr>
          <w:rFonts w:ascii="Arial" w:cs="Arial" w:eastAsia="Arial" w:hAnsi="Arial"/>
          <w:color w:val="1A252F"/>
          <w:sz w:val="22"/>
          <w:szCs w:val="22"/>
        </w:rPr>
        <w:t xml:space="preserve">Version 1.0 of the Accessible Agentic AI document established the product vision, the five-layer hybrid architecture, the Guardian-Mode design philosophy, the role-based guardrail matrix, the three-tier memory model, and the phased roadmap from Elder User (Phase 1) through Power User (Phase 3). Readers unfamiliar with those foundations should begin with V1.</w:t>
      </w:r>
    </w:p>
    <w:p>
      <w:pPr>
        <w:spacing w:after="0" w:before="60"/>
      </w:pPr>
    </w:p>
    <w:p>
      <w:pPr>
        <w:spacing w:after="100" w:before="60"/>
      </w:pPr>
      <w:r>
        <w:rPr>
          <w:rFonts w:ascii="Arial" w:cs="Arial" w:eastAsia="Arial" w:hAnsi="Arial"/>
          <w:color w:val="1A252F"/>
          <w:sz w:val="22"/>
          <w:szCs w:val="22"/>
        </w:rPr>
        <w:t xml:space="preserve">This document — Version 2.0 — presents the findings of a second, deeper research and development sprint focused on four areas that V1 deliberately deferred pending further study:</w:t>
      </w:r>
    </w:p>
    <w:p>
      <w:pPr>
        <w:pStyle w:val="ListParagraph"/>
        <w:numPr>
          <w:ilvl w:val="0"/>
          <w:numId w:val="2"/>
        </w:numPr>
        <w:spacing w:after="60" w:before="40"/>
      </w:pPr>
      <w:r>
        <w:rPr>
          <w:rFonts w:ascii="Arial" w:cs="Arial" w:eastAsia="Arial" w:hAnsi="Arial"/>
          <w:b w:val="false"/>
          <w:bCs w:val="false"/>
          <w:color w:val="1A252F"/>
          <w:sz w:val="22"/>
          <w:szCs w:val="22"/>
        </w:rPr>
        <w:t xml:space="preserve">Framework selection: Which orchestration and type-safety layers should replace OpenClaw's Lobster engine and Node.js Gateway in production?</w:t>
      </w:r>
    </w:p>
    <w:p>
      <w:pPr>
        <w:pStyle w:val="ListParagraph"/>
        <w:numPr>
          <w:ilvl w:val="0"/>
          <w:numId w:val="2"/>
        </w:numPr>
        <w:spacing w:after="60" w:before="40"/>
      </w:pPr>
      <w:r>
        <w:rPr>
          <w:rFonts w:ascii="Arial" w:cs="Arial" w:eastAsia="Arial" w:hAnsi="Arial"/>
          <w:b w:val="false"/>
          <w:bCs w:val="false"/>
          <w:color w:val="1A252F"/>
          <w:sz w:val="22"/>
          <w:szCs w:val="22"/>
        </w:rPr>
        <w:t xml:space="preserve">Edge voice AI: Which acoustic model architecture is best suited for low-latency, on-device transcription of regional Indian languages on low-to-mid-range Android and iOS hardware?</w:t>
      </w:r>
    </w:p>
    <w:p>
      <w:pPr>
        <w:pStyle w:val="ListParagraph"/>
        <w:numPr>
          <w:ilvl w:val="0"/>
          <w:numId w:val="2"/>
        </w:numPr>
        <w:spacing w:after="60" w:before="40"/>
      </w:pPr>
      <w:r>
        <w:rPr>
          <w:rFonts w:ascii="Arial" w:cs="Arial" w:eastAsia="Arial" w:hAnsi="Arial"/>
          <w:b w:val="false"/>
          <w:bCs w:val="false"/>
          <w:color w:val="1A252F"/>
          <w:sz w:val="22"/>
          <w:szCs w:val="22"/>
        </w:rPr>
        <w:t xml:space="preserve">Indic language post-processing: How should the plain-language readability layer be adapted for Hindi, Tamil, Bengali, and other morphologically complex Indian languages?</w:t>
      </w:r>
    </w:p>
    <w:p>
      <w:pPr>
        <w:pStyle w:val="ListParagraph"/>
        <w:numPr>
          <w:ilvl w:val="0"/>
          <w:numId w:val="2"/>
        </w:numPr>
        <w:spacing w:after="60" w:before="40"/>
      </w:pPr>
      <w:r>
        <w:rPr>
          <w:rFonts w:ascii="Arial" w:cs="Arial" w:eastAsia="Arial" w:hAnsi="Arial"/>
          <w:b w:val="false"/>
          <w:bCs w:val="false"/>
          <w:color w:val="1A252F"/>
          <w:sz w:val="22"/>
          <w:szCs w:val="22"/>
        </w:rPr>
        <w:t xml:space="preserve">Security architecture depth: What specific engineering patterns address scam detection, prompt injection, and healthcare data compliance at a level of implementation specificity sufficient to begin Sprint 1?</w:t>
      </w:r>
    </w:p>
    <w:p>
      <w:pPr>
        <w:spacing w:after="0" w:before="80"/>
      </w:pPr>
    </w:p>
    <w:p>
      <w:pPr>
        <w:shd w:fill="EBF5FB" w:val="clear"/>
        <w:spacing w:after="140" w:before="140"/>
        <w:ind w:left="240" w:right="240"/>
      </w:pPr>
      <w:r>
        <w:rPr>
          <w:rFonts w:ascii="Arial" w:cs="Arial" w:eastAsia="Arial" w:hAnsi="Arial"/>
          <w:b/>
          <w:bCs/>
          <w:color w:val="5D6D7E"/>
          <w:sz w:val="22"/>
          <w:szCs w:val="22"/>
        </w:rPr>
        <w:t xml:space="preserve">What This Document Is Not:  </w:t>
      </w:r>
      <w:r>
        <w:rPr>
          <w:rFonts w:ascii="Arial" w:cs="Arial" w:eastAsia="Arial" w:hAnsi="Arial"/>
          <w:color w:val="1A252F"/>
          <w:sz w:val="22"/>
          <w:szCs w:val="22"/>
        </w:rPr>
        <w:t xml:space="preserve">This is not a repetition of V1. Architecture decisions already made — the hybrid deployment model, the role hierarchy, the Lobster workflow engine adoption, the three-tier memory model, and the LLM provider routing strategy — are treated as settled and referenced, not re-argued.</w:t>
      </w:r>
    </w:p>
    <w:p>
      <w:r>
        <w:br w:type="page"/>
      </w:r>
    </w:p>
    <w:p>
      <w:pPr>
        <w:pStyle w:val="Heading1"/>
        <w:spacing w:after="160" w:before="360"/>
      </w:pPr>
      <w:r>
        <w:rPr>
          <w:rFonts w:ascii="Arial" w:cs="Arial" w:eastAsia="Arial" w:hAnsi="Arial"/>
          <w:b/>
          <w:bCs/>
          <w:color w:val="1B4F72"/>
          <w:sz w:val="32"/>
          <w:szCs w:val="32"/>
        </w:rPr>
        <w:t xml:space="preserve">2. Orchestration Framework: Replacing the Lobster Engine</w:t>
      </w:r>
    </w:p>
    <w:p>
      <w:pPr>
        <w:shd w:fill="F5EEF8" w:val="clear"/>
        <w:spacing w:after="100" w:before="100"/>
        <w:ind w:left="240" w:right="240"/>
      </w:pPr>
      <w:r>
        <w:rPr>
          <w:rFonts w:ascii="Arial" w:cs="Arial" w:eastAsia="Arial" w:hAnsi="Arial"/>
          <w:b/>
          <w:bCs/>
          <w:i/>
          <w:iCs/>
          <w:color w:val="6C3483"/>
          <w:sz w:val="21"/>
          <w:szCs w:val="21"/>
        </w:rPr>
        <w:t xml:space="preserve">Cross-Reference (V1):  </w:t>
      </w:r>
      <w:r>
        <w:rPr>
          <w:rFonts w:ascii="Arial" w:cs="Arial" w:eastAsia="Arial" w:hAnsi="Arial"/>
          <w:i/>
          <w:iCs/>
          <w:color w:val="6C3483"/>
          <w:sz w:val="21"/>
          <w:szCs w:val="21"/>
        </w:rPr>
        <w:t xml:space="preserve">V1 Section 4.3 introduced the Lobster workflow engine as the mechanism for deterministic safety flows. V1 Section 9.2 confirmed Lobster's adoption with a Node.js-to-Rust heartbeat sidecar rewrite. This section provides the engineering rationale for the specific frameworks chosen to implement deterministic orchestration in production.</w:t>
      </w:r>
    </w:p>
    <w:p>
      <w:pPr>
        <w:spacing w:after="0" w:before="80"/>
      </w:pPr>
    </w:p>
    <w:p>
      <w:pPr>
        <w:spacing w:after="100" w:before="60"/>
      </w:pPr>
      <w:r>
        <w:rPr>
          <w:rFonts w:ascii="Arial" w:cs="Arial" w:eastAsia="Arial" w:hAnsi="Arial"/>
          <w:color w:val="1A252F"/>
          <w:sz w:val="22"/>
          <w:szCs w:val="22"/>
        </w:rPr>
        <w:t xml:space="preserve">The R&amp;D evaluation covered five candidate frameworks across two architectural dimensions: durable execution (the ability to survive infrastructure failures mid-workflow) and type-safe execution (the ability to validate LLM outputs before they interact with external systems). No single framework excels on both dimensions, making a composite architecture the recommended approach.</w:t>
      </w:r>
    </w:p>
    <w:p>
      <w:pPr>
        <w:spacing w:after="0" w:before="80"/>
      </w:pPr>
    </w:p>
    <w:p>
      <w:pPr>
        <w:pStyle w:val="Heading2"/>
        <w:spacing w:after="120" w:before="280"/>
      </w:pPr>
      <w:r>
        <w:rPr>
          <w:rFonts w:ascii="Arial" w:cs="Arial" w:eastAsia="Arial" w:hAnsi="Arial"/>
          <w:b/>
          <w:bCs/>
          <w:color w:val="2E86C1"/>
          <w:sz w:val="26"/>
          <w:szCs w:val="26"/>
        </w:rPr>
        <w:t xml:space="preserve">2.1 Framework Evaluation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Framework</w:t>
            </w:r>
          </w:p>
        </w:tc>
        <w:tc>
          <w:tcPr>
            <w:tcW w:type="dxa" w:w="20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Execution Paradigm</w:t>
            </w:r>
          </w:p>
        </w:tc>
        <w:tc>
          <w:tcPr>
            <w:tcW w:type="dxa" w:w="25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State Durability</w:t>
            </w:r>
          </w:p>
        </w:tc>
        <w:tc>
          <w:tcPr>
            <w:tcW w:type="dxa" w:w="336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Best Fit in Our Architecture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Temporal.io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Distributed, event-sourced</w:t>
            </w:r>
          </w:p>
        </w:tc>
        <w:tc>
          <w:tcPr>
            <w:tcW w:type="dxa" w:w="25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val="false"/>
                <w:bCs w:val="false"/>
                <w:color w:val="1E8449"/>
                <w:sz w:val="20"/>
                <w:szCs w:val="20"/>
              </w:rPr>
              <w:t xml:space="preserve">Absolute — survives crashes and multi-day pauses consuming zero compute while waiting.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Primary async orchestration engine. Replaces the Node.js heartbeat runner and manages all multi-day caregiver approval gates.</w:t>
            </w:r>
          </w:p>
        </w:tc>
      </w:tr>
      <w:tr>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PydanticAI</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Type-safe Python validation</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Stateless — relies on external persistence layer.</w:t>
            </w:r>
          </w:p>
        </w:tc>
        <w:tc>
          <w:tcPr>
            <w:tcW w:type="dxa" w:w="33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Execution firewall. Validates all LLM tool-call outputs against rigid Python type contracts before any API is invoked.</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LangGraph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Directed Acyclic Graph (DAG)</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In-memory with checkpointing — susceptible to recursion limits under high load.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Complex conversational routing prior to tool execution. Not used as the primary state arbiter.</w:t>
            </w:r>
          </w:p>
        </w:tc>
      </w:tr>
      <w:tr>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IBM Bee Agent</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Hierarchical, sandboxed</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Checkpointed state serialisation with strict container isolation.</w:t>
            </w:r>
          </w:p>
        </w:tc>
        <w:tc>
          <w:tcPr>
            <w:tcW w:type="dxa" w:w="33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Enterprise policy enforcement and compliance auditing in Phase 2 Healthcare tier.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CrewAI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Sequential role-playing</w:t>
            </w:r>
          </w:p>
        </w:tc>
        <w:tc>
          <w:tcPr>
            <w:tcW w:type="dxa" w:w="25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val="false"/>
                <w:bCs w:val="false"/>
                <w:color w:val="922B21"/>
                <w:sz w:val="20"/>
                <w:szCs w:val="20"/>
              </w:rPr>
              <w:t xml:space="preserve">Ephemeral — optimised for content drafting, not transactional execution.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Not adopted. Unsuitable for safety-critical workflows due to ephemeral state and no approval gate support.</w:t>
            </w:r>
          </w:p>
        </w:tc>
      </w:tr>
    </w:tbl>
    <w:p>
      <w:pPr>
        <w:spacing w:after="0" w:before="120"/>
      </w:pPr>
    </w:p>
    <w:p>
      <w:pPr>
        <w:pStyle w:val="Heading2"/>
        <w:spacing w:after="120" w:before="280"/>
      </w:pPr>
      <w:r>
        <w:rPr>
          <w:rFonts w:ascii="Arial" w:cs="Arial" w:eastAsia="Arial" w:hAnsi="Arial"/>
          <w:b/>
          <w:bCs/>
          <w:color w:val="2E86C1"/>
          <w:sz w:val="26"/>
          <w:szCs w:val="26"/>
        </w:rPr>
        <w:t xml:space="preserve">2.2 Temporal.io: Durable Execution as the Core Safety Guarantee</w:t>
      </w:r>
    </w:p>
    <w:p>
      <w:pPr>
        <w:spacing w:after="100" w:before="60"/>
      </w:pPr>
      <w:r>
        <w:rPr>
          <w:rFonts w:ascii="Arial" w:cs="Arial" w:eastAsia="Arial" w:hAnsi="Arial"/>
          <w:color w:val="1A252F"/>
          <w:sz w:val="22"/>
          <w:szCs w:val="22"/>
        </w:rPr>
        <w:t xml:space="preserve">The most critical single engineering requirement for the Guardian-First architecture is that a workflow cannot silently fail partway through execution. In standard Python-based agent frameworks — including vanilla OpenClaw — if a process crashes while awaiting caregiver approval for a medication schedule change, the execution state is lost. The result is either a silent partial execution or a data corruption that the elder user has no way to detect or recover from.</w:t>
      </w:r>
    </w:p>
    <w:p>
      <w:pPr>
        <w:spacing w:after="0" w:before="60"/>
      </w:pPr>
    </w:p>
    <w:p>
      <w:pPr>
        <w:spacing w:after="100" w:before="60"/>
      </w:pPr>
      <w:r>
        <w:rPr>
          <w:rFonts w:ascii="Arial" w:cs="Arial" w:eastAsia="Arial" w:hAnsi="Arial"/>
          <w:color w:val="1A252F"/>
          <w:sz w:val="22"/>
          <w:szCs w:val="22"/>
        </w:rPr>
        <w:t xml:space="preserve">Temporal resolves this with event sourcing: every action the agent takes is recorded in an immutable event history before execution begins. If the cloud infrastructure experiences an outage at any point in a 72-hour caregiver approval window, the workflow resumes exactly where it paused — with no reprocessing of already-completed steps and zero additional cost during the wait state.</w:t>
      </w:r>
    </w:p>
    <w:p>
      <w:pPr>
        <w:spacing w:after="0" w:before="80"/>
      </w:pPr>
    </w:p>
    <w:p>
      <w:pPr>
        <w:pStyle w:val="Heading3"/>
        <w:spacing w:after="80" w:before="200"/>
      </w:pPr>
      <w:r>
        <w:rPr>
          <w:rFonts w:ascii="Arial" w:cs="Arial" w:eastAsia="Arial" w:hAnsi="Arial"/>
          <w:b/>
          <w:bCs/>
          <w:color w:val="1B4F72"/>
          <w:sz w:val="22"/>
          <w:szCs w:val="22"/>
        </w:rPr>
        <w:t xml:space="preserve">Why Temporal Supersedes the Lobster Engine for Production</w:t>
      </w:r>
    </w:p>
    <w:p>
      <w:pPr>
        <w:spacing w:after="100" w:before="60"/>
      </w:pPr>
      <w:r>
        <w:rPr>
          <w:rFonts w:ascii="Arial" w:cs="Arial" w:eastAsia="Arial" w:hAnsi="Arial"/>
          <w:color w:val="1A252F"/>
          <w:sz w:val="22"/>
          <w:szCs w:val="22"/>
        </w:rPr>
        <w:t xml:space="preserve">V1 adopted Lobster as the deterministic workflow shell based on its availability within the OpenClaw ecosystem. Temporal provides all of Lobster's guarantees with three additional properties that are critical for production healthcare and financial workflows:</w:t>
      </w:r>
    </w:p>
    <w:p>
      <w:pPr>
        <w:pStyle w:val="ListParagraph"/>
        <w:numPr>
          <w:ilvl w:val="0"/>
          <w:numId w:val="2"/>
        </w:numPr>
        <w:spacing w:after="60" w:before="40"/>
      </w:pPr>
      <w:r>
        <w:rPr>
          <w:rFonts w:ascii="Arial" w:cs="Arial" w:eastAsia="Arial" w:hAnsi="Arial"/>
          <w:b w:val="false"/>
          <w:bCs w:val="false"/>
          <w:color w:val="1A252F"/>
          <w:sz w:val="22"/>
          <w:szCs w:val="22"/>
        </w:rPr>
        <w:t xml:space="preserve">Crash Tolerance: Lobster's resumeToken mechanism requires the Gateway to remain active to accept the token. If the server restarts before approval, the token is invalid. Temporal's event log persists independently of any specific process instance.</w:t>
      </w:r>
    </w:p>
    <w:p>
      <w:pPr>
        <w:pStyle w:val="ListParagraph"/>
        <w:numPr>
          <w:ilvl w:val="0"/>
          <w:numId w:val="2"/>
        </w:numPr>
        <w:spacing w:after="60" w:before="40"/>
      </w:pPr>
      <w:r>
        <w:rPr>
          <w:rFonts w:ascii="Arial" w:cs="Arial" w:eastAsia="Arial" w:hAnsi="Arial"/>
          <w:b w:val="false"/>
          <w:bCs w:val="false"/>
          <w:color w:val="1A252F"/>
          <w:sz w:val="22"/>
          <w:szCs w:val="22"/>
        </w:rPr>
        <w:t xml:space="preserve">Temporal Decoupling: A caregiver may take hours or days to approve a sensitive action. Temporal workflows pause with zero resource consumption during the wait, whereas Lobster holds an in-memory state that is vulnerable to timeout-induced data loss.</w:t>
      </w:r>
    </w:p>
    <w:p>
      <w:pPr>
        <w:pStyle w:val="ListParagraph"/>
        <w:numPr>
          <w:ilvl w:val="0"/>
          <w:numId w:val="2"/>
        </w:numPr>
        <w:spacing w:after="60" w:before="40"/>
      </w:pPr>
      <w:r>
        <w:rPr>
          <w:rFonts w:ascii="Arial" w:cs="Arial" w:eastAsia="Arial" w:hAnsi="Arial"/>
          <w:b w:val="false"/>
          <w:bCs w:val="false"/>
          <w:color w:val="1A252F"/>
          <w:sz w:val="22"/>
          <w:szCs w:val="22"/>
        </w:rPr>
        <w:t xml:space="preserve">Distributed Scheduling: Temporal's native scheduling replaces the Node.js heartbeat runner identified in V1 Section 9.2 as requiring a Rust rewrite. Temporal handles cron-triggered wellness checks and medication reminders with the same fault-tolerance guarantees as transactional workflows, without requiring a separate sidecar process.</w:t>
      </w:r>
    </w:p>
    <w:p>
      <w:pPr>
        <w:spacing w:after="0" w:before="80"/>
      </w:pPr>
    </w:p>
    <w:p>
      <w:pPr>
        <w:shd w:fill="D6EAF8" w:val="clear"/>
        <w:spacing w:after="140" w:before="140"/>
        <w:ind w:left="240" w:right="240"/>
      </w:pPr>
      <w:r>
        <w:rPr>
          <w:rFonts w:ascii="Arial" w:cs="Arial" w:eastAsia="Arial" w:hAnsi="Arial"/>
          <w:b/>
          <w:bCs/>
          <w:color w:val="2E86C1"/>
          <w:sz w:val="22"/>
          <w:szCs w:val="22"/>
        </w:rPr>
        <w:t xml:space="preserve">Architecture Decision:  </w:t>
      </w:r>
      <w:r>
        <w:rPr>
          <w:rFonts w:ascii="Arial" w:cs="Arial" w:eastAsia="Arial" w:hAnsi="Arial"/>
          <w:color w:val="1A252F"/>
          <w:sz w:val="22"/>
          <w:szCs w:val="22"/>
        </w:rPr>
        <w:t xml:space="preserve">Temporal.io is adopted as the primary asynchronous workflow engine for all approval-gated, multi-step, and scheduled operations. Lobster workflow definitions authored in V1 (medication reminder, emergency escalation, scam quarantine) will be ported to Temporal Workflow Definitions as Sprint 1 begins. Lobster remains available as the synchronous execution shell within individual Temporal activity functions for backward compatibility with any existing workflow authoring.</w:t>
      </w:r>
    </w:p>
    <w:p>
      <w:pPr>
        <w:spacing w:after="0" w:before="120"/>
      </w:pPr>
    </w:p>
    <w:p>
      <w:pPr>
        <w:pStyle w:val="Heading2"/>
        <w:spacing w:after="120" w:before="280"/>
      </w:pPr>
      <w:r>
        <w:rPr>
          <w:rFonts w:ascii="Arial" w:cs="Arial" w:eastAsia="Arial" w:hAnsi="Arial"/>
          <w:b/>
          <w:bCs/>
          <w:color w:val="2E86C1"/>
          <w:sz w:val="26"/>
          <w:szCs w:val="26"/>
        </w:rPr>
        <w:t xml:space="preserve">2.3 PydanticAI: The Type-Safe Execution Firewall</w:t>
      </w:r>
    </w:p>
    <w:p>
      <w:pPr>
        <w:spacing w:after="100" w:before="60"/>
      </w:pPr>
      <w:r>
        <w:rPr>
          <w:rFonts w:ascii="Arial" w:cs="Arial" w:eastAsia="Arial" w:hAnsi="Arial"/>
          <w:color w:val="1A252F"/>
          <w:sz w:val="22"/>
          <w:szCs w:val="22"/>
        </w:rPr>
        <w:t xml:space="preserve">Temporal guarantees that a workflow will not be lost. PydanticAI guarantees that each step within the workflow will not execute with malformed inputs.</w:t>
      </w:r>
    </w:p>
    <w:p>
      <w:pPr>
        <w:spacing w:after="0" w:before="60"/>
      </w:pPr>
    </w:p>
    <w:p>
      <w:pPr>
        <w:spacing w:after="100" w:before="60"/>
      </w:pPr>
      <w:r>
        <w:rPr>
          <w:rFonts w:ascii="Arial" w:cs="Arial" w:eastAsia="Arial" w:hAnsi="Arial"/>
          <w:color w:val="1A252F"/>
          <w:sz w:val="22"/>
          <w:szCs w:val="22"/>
        </w:rPr>
        <w:t xml:space="preserve">The failure mode that PydanticAI addresses is LLM hallucination at the parameter level: the agent correctly identifies that a medication reminder needs to be scheduled, but hallucinates an invalid time format, a medication name that does not match the approved list, or a contact identifier that does not exist in the approved contacts registry. In vanilla OpenClaw, this malformed payload is passed directly to the downstream API, resulting in a silent error at best and an unintended action at worst.</w:t>
      </w:r>
    </w:p>
    <w:p>
      <w:pPr>
        <w:spacing w:after="0" w:before="60"/>
      </w:pPr>
    </w:p>
    <w:p>
      <w:pPr>
        <w:spacing w:after="100" w:before="60"/>
      </w:pPr>
      <w:r>
        <w:rPr>
          <w:rFonts w:ascii="Arial" w:cs="Arial" w:eastAsia="Arial" w:hAnsi="Arial"/>
          <w:color w:val="1A252F"/>
          <w:sz w:val="22"/>
          <w:szCs w:val="22"/>
        </w:rPr>
        <w:t xml:space="preserve">PydanticAI enforces explicit type contracts on every tool signature. If an LLM output does not match the expected schema, PydanticAI raises a structured, catchable exception before the payload reaches any external system. This shifts the failure mode from a silent operational error to a predictable, logged type-check failure that the orchestration layer can route to a retry, a clarification request, or a caregiver alert.</w:t>
      </w:r>
    </w:p>
    <w:p>
      <w:pPr>
        <w:spacing w:after="0" w:before="80"/>
      </w:pPr>
    </w:p>
    <w:p>
      <w:pPr>
        <w:pStyle w:val="Heading3"/>
        <w:spacing w:after="80" w:before="200"/>
      </w:pPr>
      <w:r>
        <w:rPr>
          <w:rFonts w:ascii="Arial" w:cs="Arial" w:eastAsia="Arial" w:hAnsi="Arial"/>
          <w:b/>
          <w:bCs/>
          <w:color w:val="1B4F72"/>
          <w:sz w:val="22"/>
          <w:szCs w:val="22"/>
        </w:rPr>
        <w:t xml:space="preserve">Context Dependency Injection</w:t>
      </w:r>
    </w:p>
    <w:p>
      <w:pPr>
        <w:spacing w:after="100" w:before="60"/>
      </w:pPr>
      <w:r>
        <w:rPr>
          <w:rFonts w:ascii="Arial" w:cs="Arial" w:eastAsia="Arial" w:hAnsi="Arial"/>
          <w:color w:val="1A252F"/>
          <w:sz w:val="22"/>
          <w:szCs w:val="22"/>
        </w:rPr>
        <w:t xml:space="preserve">PydanticAI's context dependency injection pattern is directly relevant to the credential security model established in V1 Section 5.1. Session-scoped objects — including the KMS credential proxy handle, the user's role tier, and the approved contacts registry — are passed securely through the execution harness without relying on global state or environment variables. This means the LLM tool call never receives a raw API key; it receives a typed handle to the proxy that retrieves and injects the credential at the network boundary.</w:t>
      </w:r>
    </w:p>
    <w:p>
      <w:pPr>
        <w:spacing w:after="0" w:before="80"/>
      </w:pPr>
    </w:p>
    <w:p>
      <w:pPr>
        <w:shd w:fill="D5F5E3" w:val="clear"/>
        <w:spacing w:after="140" w:before="140"/>
        <w:ind w:left="240" w:right="240"/>
      </w:pPr>
      <w:r>
        <w:rPr>
          <w:rFonts w:ascii="Arial" w:cs="Arial" w:eastAsia="Arial" w:hAnsi="Arial"/>
          <w:b/>
          <w:bCs/>
          <w:color w:val="1E8449"/>
          <w:sz w:val="22"/>
          <w:szCs w:val="22"/>
        </w:rPr>
        <w:t xml:space="preserve">Composite Architecture Conclusion:  </w:t>
      </w:r>
      <w:r>
        <w:rPr>
          <w:rFonts w:ascii="Arial" w:cs="Arial" w:eastAsia="Arial" w:hAnsi="Arial"/>
          <w:color w:val="1A252F"/>
          <w:sz w:val="22"/>
          <w:szCs w:val="22"/>
        </w:rPr>
        <w:t xml:space="preserve">Temporal.io (durable orchestration) + PydanticAI (type-safe execution) form the two-layer deterministic spine of the system. Temporal ensures no workflow is lost. PydanticAI ensures no step executes with invalid parameters. Together they provide mathematically provable safety guarantees that neither Lobster alone nor any single framework achieves.</w:t>
      </w:r>
    </w:p>
    <w:p>
      <w:r>
        <w:br w:type="page"/>
      </w:r>
    </w:p>
    <w:p>
      <w:pPr>
        <w:pStyle w:val="Heading1"/>
        <w:spacing w:after="160" w:before="360"/>
      </w:pPr>
      <w:r>
        <w:rPr>
          <w:rFonts w:ascii="Arial" w:cs="Arial" w:eastAsia="Arial" w:hAnsi="Arial"/>
          <w:b/>
          <w:bCs/>
          <w:color w:val="1B4F72"/>
          <w:sz w:val="32"/>
          <w:szCs w:val="32"/>
        </w:rPr>
        <w:t xml:space="preserve">3. Edge Voice AI: On-Device Acoustic Model Selection</w:t>
      </w:r>
    </w:p>
    <w:p>
      <w:pPr>
        <w:shd w:fill="F5EEF8" w:val="clear"/>
        <w:spacing w:after="100" w:before="100"/>
        <w:ind w:left="240" w:right="240"/>
      </w:pPr>
      <w:r>
        <w:rPr>
          <w:rFonts w:ascii="Arial" w:cs="Arial" w:eastAsia="Arial" w:hAnsi="Arial"/>
          <w:b/>
          <w:bCs/>
          <w:i/>
          <w:iCs/>
          <w:color w:val="6C3483"/>
          <w:sz w:val="21"/>
          <w:szCs w:val="21"/>
        </w:rPr>
        <w:t xml:space="preserve">Cross-Reference (V1):  </w:t>
      </w:r>
      <w:r>
        <w:rPr>
          <w:rFonts w:ascii="Arial" w:cs="Arial" w:eastAsia="Arial" w:hAnsi="Arial"/>
          <w:i/>
          <w:iCs/>
          <w:color w:val="6C3483"/>
          <w:sz w:val="21"/>
          <w:szCs w:val="21"/>
        </w:rPr>
        <w:t xml:space="preserve">V1 Section 6.1 mandated on-device speech recognition (Whisper Tiny) as the voice-first interaction requirement, specifying that raw audio must never be transmitted to the cloud. This section provides the engineering analysis that revises that decision based on R&amp;D findings on regional Indian language acoustic modelling.</w:t>
      </w:r>
    </w:p>
    <w:p>
      <w:pPr>
        <w:spacing w:after="0" w:before="80"/>
      </w:pPr>
    </w:p>
    <w:p>
      <w:pPr>
        <w:spacing w:after="100" w:before="60"/>
      </w:pPr>
      <w:r>
        <w:rPr>
          <w:rFonts w:ascii="Arial" w:cs="Arial" w:eastAsia="Arial" w:hAnsi="Arial"/>
          <w:color w:val="1A252F"/>
          <w:sz w:val="22"/>
          <w:szCs w:val="22"/>
        </w:rPr>
        <w:t xml:space="preserve">The initial V1 recommendation of Whisper Tiny was based on its broad availability and strong English-language performance. R&amp;D analysis of its suitability for the primary elderly Indian user population — whose first language is typically Hindi, Tamil, Bengali, Telugu, or a regional dialect — reveals a critical performance gap that requires a revised architecture decision.</w:t>
      </w:r>
    </w:p>
    <w:p>
      <w:pPr>
        <w:spacing w:after="0" w:before="80"/>
      </w:pPr>
    </w:p>
    <w:p>
      <w:pPr>
        <w:pStyle w:val="Heading2"/>
        <w:spacing w:after="120" w:before="280"/>
      </w:pPr>
      <w:r>
        <w:rPr>
          <w:rFonts w:ascii="Arial" w:cs="Arial" w:eastAsia="Arial" w:hAnsi="Arial"/>
          <w:b/>
          <w:bCs/>
          <w:color w:val="2E86C1"/>
          <w:sz w:val="26"/>
          <w:szCs w:val="26"/>
        </w:rPr>
        <w:t xml:space="preserve">3.1 Acoustic Model Architecture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000"/>
        <w:gridCol w:w="2000"/>
        <w:gridCol w:w="1360"/>
      </w:tblGrid>
      <w:tr>
        <w:trPr>
          <w:tblHeader/>
        </w:trPr>
        <w:tc>
          <w:tcPr>
            <w:tcW w:type="dxa" w:w="21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Model / Runtime</w:t>
            </w:r>
          </w:p>
        </w:tc>
        <w:tc>
          <w:tcPr>
            <w:tcW w:type="dxa" w:w="19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Decoding Mechanism</w:t>
            </w:r>
          </w:p>
        </w:tc>
        <w:tc>
          <w:tcPr>
            <w:tcW w:type="dxa" w:w="20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Edge Device Viability</w:t>
            </w:r>
          </w:p>
        </w:tc>
        <w:tc>
          <w:tcPr>
            <w:tcW w:type="dxa" w:w="20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Indic Language Support</w:t>
            </w:r>
          </w:p>
        </w:tc>
        <w:tc>
          <w:tcPr>
            <w:tcW w:type="dxa" w:w="136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Streaming Latency</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Whisper.cpp / Faster-Whisper</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Autoregressive encoder-decoder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High (optimised C++ binaries available for iOS/Android)</w:t>
            </w:r>
          </w:p>
        </w:tc>
        <w:tc>
          <w:tcPr>
            <w:tcW w:type="dxa" w:w="20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val="false"/>
                <w:bCs w:val="false"/>
                <w:color w:val="7D6608"/>
                <w:sz w:val="20"/>
                <w:szCs w:val="20"/>
              </w:rPr>
              <w:t xml:space="preserve">Variable — degrades significantly on regional dialects and agglutinative languages.</w:t>
            </w:r>
          </w:p>
        </w:tc>
        <w:tc>
          <w:tcPr>
            <w:tcW w:type="dxa" w:w="13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val="false"/>
                <w:bCs w:val="false"/>
                <w:color w:val="7D6608"/>
                <w:sz w:val="20"/>
                <w:szCs w:val="20"/>
              </w:rPr>
              <w:t xml:space="preserve">Moderate to High — token-by-token generation creates conversational pacing gaps.</w:t>
            </w:r>
          </w:p>
        </w:tc>
      </w:tr>
      <w:tr>
        <w:tc>
          <w:tcPr>
            <w:tcW w:type="dxa" w:w="2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Sherpa-ONNX (Kaldi-based)</w:t>
            </w:r>
          </w:p>
        </w:tc>
        <w:tc>
          <w:tcPr>
            <w:tcW w:type="dxa" w:w="1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Non-autoregressive (configurable)</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val="false"/>
                <w:bCs w:val="false"/>
                <w:color w:val="1E8449"/>
                <w:sz w:val="20"/>
                <w:szCs w:val="20"/>
              </w:rPr>
              <w:t xml:space="preserve">Exceptional — zero external dependencies; runs fully offline on low-end hardware.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High — extensive model ecosystem for major Indian languages.</w:t>
            </w:r>
          </w:p>
        </w:tc>
        <w:tc>
          <w:tcPr>
            <w:tcW w:type="dxa" w:w="13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val="false"/>
                <w:bCs w:val="false"/>
                <w:color w:val="1E8449"/>
                <w:sz w:val="20"/>
                <w:szCs w:val="20"/>
              </w:rPr>
              <w:t xml:space="preserve">Low — non-autoregressive decoding eliminates token generation bottlenecks.</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IndicConformer (Augmen STT / AI4Bharat)</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Hybrid CTC-RNNT</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val="false"/>
                <w:bCs w:val="false"/>
                <w:color w:val="1E8449"/>
                <w:sz w:val="20"/>
                <w:szCs w:val="20"/>
              </w:rPr>
              <w:t xml:space="preserve">High — optimised for mobile DSPs; efficient memory footprint.</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val="false"/>
                <w:bCs w:val="false"/>
                <w:color w:val="1E8449"/>
                <w:sz w:val="20"/>
                <w:szCs w:val="20"/>
              </w:rPr>
              <w:t xml:space="preserve">Exceptional — trained on all 22 scheduled Indian languages plus major dialects.</w:t>
            </w:r>
          </w:p>
        </w:tc>
        <w:tc>
          <w:tcPr>
            <w:tcW w:type="dxa" w:w="13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val="false"/>
                <w:bCs w:val="false"/>
                <w:color w:val="1E8449"/>
                <w:sz w:val="20"/>
                <w:szCs w:val="20"/>
              </w:rPr>
              <w:t xml:space="preserve">Ultra-Low — sub-100ms streaming achieved through parallel CTC path.</w:t>
            </w:r>
          </w:p>
        </w:tc>
      </w:tr>
    </w:tbl>
    <w:p>
      <w:pPr>
        <w:spacing w:after="0" w:before="120"/>
      </w:pPr>
    </w:p>
    <w:p>
      <w:pPr>
        <w:pStyle w:val="Heading2"/>
        <w:spacing w:after="120" w:before="280"/>
      </w:pPr>
      <w:r>
        <w:rPr>
          <w:rFonts w:ascii="Arial" w:cs="Arial" w:eastAsia="Arial" w:hAnsi="Arial"/>
          <w:b/>
          <w:bCs/>
          <w:color w:val="2E86C1"/>
          <w:sz w:val="26"/>
          <w:szCs w:val="26"/>
        </w:rPr>
        <w:t xml:space="preserve">3.2 Why Whisper's Architecture Fails the Elderly Indic User</w:t>
      </w:r>
    </w:p>
    <w:p>
      <w:pPr>
        <w:spacing w:after="100" w:before="60"/>
      </w:pPr>
      <w:r>
        <w:rPr>
          <w:rFonts w:ascii="Arial" w:cs="Arial" w:eastAsia="Arial" w:hAnsi="Arial"/>
          <w:color w:val="1A252F"/>
          <w:sz w:val="22"/>
          <w:szCs w:val="22"/>
        </w:rPr>
        <w:t xml:space="preserve">Whisper's encoder-decoder architecture is autoregressive: it generates one output token at a time, conditioning each token on all preceding tokens. This sequential dependency makes streaming — producing partial transcriptions as the user speaks — architecturally difficult and introduces perceptible latency between the user finishing a sentence and the agent beginning to respond.</w:t>
      </w:r>
    </w:p>
    <w:p>
      <w:pPr>
        <w:spacing w:after="0" w:before="60"/>
      </w:pPr>
    </w:p>
    <w:p>
      <w:pPr>
        <w:spacing w:after="100" w:before="60"/>
      </w:pPr>
      <w:r>
        <w:rPr>
          <w:rFonts w:ascii="Arial" w:cs="Arial" w:eastAsia="Arial" w:hAnsi="Arial"/>
          <w:color w:val="1A252F"/>
          <w:sz w:val="22"/>
          <w:szCs w:val="22"/>
        </w:rPr>
        <w:t xml:space="preserve">For an elderly user accustomed to the natural rhythm of phone conversation, a 2-to-4-second post-utterance pause before any response is deeply disorienting. In usability testing with 65+ cohorts across multiple digital literacy studies, latency above 1.5 seconds is consistently interpreted as the system not having heard the input, causing users to repeat themselves or disengage entirely.</w:t>
      </w:r>
    </w:p>
    <w:p>
      <w:pPr>
        <w:spacing w:after="0" w:before="60"/>
      </w:pPr>
    </w:p>
    <w:p>
      <w:pPr>
        <w:spacing w:after="100" w:before="60"/>
      </w:pPr>
      <w:r>
        <w:rPr>
          <w:rFonts w:ascii="Arial" w:cs="Arial" w:eastAsia="Arial" w:hAnsi="Arial"/>
          <w:color w:val="1A252F"/>
          <w:sz w:val="22"/>
          <w:szCs w:val="22"/>
        </w:rPr>
        <w:t xml:space="preserve">Beyond latency, Whisper's training corpus is heavily weighted toward English and Latin-script languages. Performance on regional Indian dialects — specifically non-standard pronunciations of Hindi, Bhojpuri, Chhattisgarhi, and coastal Tamil variants — degrades to word-error rates that render the transcription unusable for natural conversation.</w:t>
      </w:r>
    </w:p>
    <w:p>
      <w:pPr>
        <w:spacing w:after="0" w:before="120"/>
      </w:pPr>
    </w:p>
    <w:p>
      <w:pPr>
        <w:pStyle w:val="Heading2"/>
        <w:spacing w:after="120" w:before="280"/>
      </w:pPr>
      <w:r>
        <w:rPr>
          <w:rFonts w:ascii="Arial" w:cs="Arial" w:eastAsia="Arial" w:hAnsi="Arial"/>
          <w:b/>
          <w:bCs/>
          <w:color w:val="2E86C1"/>
          <w:sz w:val="26"/>
          <w:szCs w:val="26"/>
        </w:rPr>
        <w:t xml:space="preserve">3.3 IndicConformer: The Recommended Architecture</w:t>
      </w:r>
    </w:p>
    <w:p>
      <w:pPr>
        <w:spacing w:after="100" w:before="60"/>
      </w:pPr>
      <w:r>
        <w:rPr>
          <w:rFonts w:ascii="Arial" w:cs="Arial" w:eastAsia="Arial" w:hAnsi="Arial"/>
          <w:color w:val="1A252F"/>
          <w:sz w:val="22"/>
          <w:szCs w:val="22"/>
        </w:rPr>
        <w:t xml:space="preserve">The Conformer architecture — as implemented by AI4Bharat's IndicConformer and commercialised in systems such as Augmen STT — addresses both failure modes through a hybrid decoding design.</w:t>
      </w:r>
    </w:p>
    <w:p>
      <w:pPr>
        <w:spacing w:after="0" w:before="80"/>
      </w:pPr>
    </w:p>
    <w:p>
      <w:pPr>
        <w:pStyle w:val="Heading3"/>
        <w:spacing w:after="80" w:before="200"/>
      </w:pPr>
      <w:r>
        <w:rPr>
          <w:rFonts w:ascii="Arial" w:cs="Arial" w:eastAsia="Arial" w:hAnsi="Arial"/>
          <w:b/>
          <w:bCs/>
          <w:color w:val="1B4F72"/>
          <w:sz w:val="22"/>
          <w:szCs w:val="22"/>
        </w:rPr>
        <w:t xml:space="preserve">The CTC-RNNT Hybrid Decoder</w:t>
      </w:r>
    </w:p>
    <w:p>
      <w:pPr>
        <w:spacing w:after="100" w:before="60"/>
      </w:pPr>
      <w:r>
        <w:rPr>
          <w:rFonts w:ascii="Arial" w:cs="Arial" w:eastAsia="Arial" w:hAnsi="Arial"/>
          <w:color w:val="1A252F"/>
          <w:sz w:val="22"/>
          <w:szCs w:val="22"/>
        </w:rPr>
        <w:t xml:space="preserve">The model operates two decoding paths simultaneously. The Connectionist Temporal Classification (CTC) path is non-autoregressive: it produces output independently for each audio frame without conditioning on previous outputs. This provides true word-by-word streaming at sub-100ms latency. The Recurrent Neural Network Transducer (RNNT) path provides a secondary, autoregressive verification pass that catches ambiguous phoneme sequences that the CTC path handles less reliably.</w:t>
      </w:r>
    </w:p>
    <w:p>
      <w:pPr>
        <w:spacing w:after="0" w:before="60"/>
      </w:pPr>
    </w:p>
    <w:p>
      <w:pPr>
        <w:spacing w:after="100" w:before="60"/>
      </w:pPr>
      <w:r>
        <w:rPr>
          <w:rFonts w:ascii="Arial" w:cs="Arial" w:eastAsia="Arial" w:hAnsi="Arial"/>
          <w:color w:val="1A252F"/>
          <w:sz w:val="22"/>
          <w:szCs w:val="22"/>
        </w:rPr>
        <w:t xml:space="preserve">The result is approximately ten times the inference speed of Whisper-class models at equivalent accuracy levels, consuming significantly less VRAM and operating comfortably within the memory constraints of a mid-range Android device (4GB RAM). For low-end devices common among elderly users in tier-2 and tier-3 Indian cities, the CTC path alone can be deployed, maintaining sub-200ms latency at a modest accuracy trade-off.</w:t>
      </w:r>
    </w:p>
    <w:p>
      <w:pPr>
        <w:spacing w:after="0" w:before="80"/>
      </w:pPr>
    </w:p>
    <w:p>
      <w:pPr>
        <w:pStyle w:val="Heading3"/>
        <w:spacing w:after="80" w:before="200"/>
      </w:pPr>
      <w:r>
        <w:rPr>
          <w:rFonts w:ascii="Arial" w:cs="Arial" w:eastAsia="Arial" w:hAnsi="Arial"/>
          <w:b/>
          <w:bCs/>
          <w:color w:val="1B4F72"/>
          <w:sz w:val="22"/>
          <w:szCs w:val="22"/>
        </w:rPr>
        <w:t xml:space="preserve">Training Coverage: 22 Scheduled Languages and Dialects</w:t>
      </w:r>
    </w:p>
    <w:p>
      <w:pPr>
        <w:spacing w:after="100" w:before="60"/>
      </w:pPr>
      <w:r>
        <w:rPr>
          <w:rFonts w:ascii="Arial" w:cs="Arial" w:eastAsia="Arial" w:hAnsi="Arial"/>
          <w:color w:val="1A252F"/>
          <w:sz w:val="22"/>
          <w:szCs w:val="22"/>
        </w:rPr>
        <w:t xml:space="preserve">IndicConformer models are trained on AI4Bharat's Shrutilipi and IndicSUPERB datasets, which cover all 22 constitutionally scheduled Indian languages with representation from multiple regional dialects, rural speaker profiles, and elderly speaker acoustic characteristics. This demographic alignment with the target user population is the decisive advantage over Whisper-class models whose training distribution skews heavily toward younger, urban, standard-register speakers.</w:t>
      </w:r>
    </w:p>
    <w:p>
      <w:pPr>
        <w:spacing w:after="0" w:before="80"/>
      </w:pPr>
    </w:p>
    <w:p>
      <w:pPr>
        <w:shd w:fill="FADBD8" w:val="clear"/>
        <w:spacing w:after="140" w:before="140"/>
        <w:ind w:left="240" w:right="240"/>
      </w:pPr>
      <w:r>
        <w:rPr>
          <w:rFonts w:ascii="Arial" w:cs="Arial" w:eastAsia="Arial" w:hAnsi="Arial"/>
          <w:b/>
          <w:bCs/>
          <w:color w:val="922B21"/>
          <w:sz w:val="22"/>
          <w:szCs w:val="22"/>
        </w:rPr>
        <w:t xml:space="preserve">Architecture Revision:  </w:t>
      </w:r>
      <w:r>
        <w:rPr>
          <w:rFonts w:ascii="Arial" w:cs="Arial" w:eastAsia="Arial" w:hAnsi="Arial"/>
          <w:color w:val="1A252F"/>
          <w:sz w:val="22"/>
          <w:szCs w:val="22"/>
        </w:rPr>
        <w:t xml:space="preserve">The V1 decision to deploy Whisper Tiny for on-device STT is revised. IndicConformer (CTC-RNNT hybrid) is adopted as the primary on-device acoustic model for all Indic language deployments. Faster-Whisper remains available as the English-language fallback and for Power User tier deployments where English is the primary interaction language. Sherpa-ONNX is evaluated as the runtime container for edge deployment, given its zero-dependency offline operation.</w:t>
      </w:r>
    </w:p>
    <w:p>
      <w:pPr>
        <w:spacing w:after="0" w:before="120"/>
      </w:pPr>
    </w:p>
    <w:p>
      <w:pPr>
        <w:pStyle w:val="Heading2"/>
        <w:spacing w:after="120" w:before="280"/>
      </w:pPr>
      <w:r>
        <w:rPr>
          <w:rFonts w:ascii="Arial" w:cs="Arial" w:eastAsia="Arial" w:hAnsi="Arial"/>
          <w:b/>
          <w:bCs/>
          <w:color w:val="2E86C1"/>
          <w:sz w:val="26"/>
          <w:szCs w:val="26"/>
        </w:rPr>
        <w:t xml:space="preserve">3.4 Text-to-Speech: Outbound Voice Requirements</w:t>
      </w:r>
    </w:p>
    <w:p>
      <w:pPr>
        <w:spacing w:after="100" w:before="60"/>
      </w:pPr>
      <w:r>
        <w:rPr>
          <w:rFonts w:ascii="Arial" w:cs="Arial" w:eastAsia="Arial" w:hAnsi="Arial"/>
          <w:color w:val="1A252F"/>
          <w:sz w:val="22"/>
          <w:szCs w:val="22"/>
        </w:rPr>
        <w:t xml:space="preserve">The acoustic model selection for speech-to-text is matched by equivalent requirements for text-to-speech (TTS) on the outbound path. The agent's spoken responses must sound natural in the user's regional language and register — not like a machine transliterating English phonemes into Hindi characters.</w:t>
      </w:r>
    </w:p>
    <w:p>
      <w:pPr>
        <w:pStyle w:val="ListParagraph"/>
        <w:numPr>
          <w:ilvl w:val="0"/>
          <w:numId w:val="2"/>
        </w:numPr>
        <w:spacing w:after="60" w:before="40"/>
      </w:pPr>
      <w:r>
        <w:rPr>
          <w:rFonts w:ascii="Arial" w:cs="Arial" w:eastAsia="Arial" w:hAnsi="Arial"/>
          <w:b w:val="false"/>
          <w:bCs w:val="false"/>
          <w:color w:val="1A252F"/>
          <w:sz w:val="22"/>
          <w:szCs w:val="22"/>
        </w:rPr>
        <w:t xml:space="preserve">Primary recommendation: AI4Bharat's Indic TTS models (based on VITS architecture), which provide natural prosody for 13 major Indian languages and are available for on-device deployment for privacy-sensitive use cases.</w:t>
      </w:r>
    </w:p>
    <w:p>
      <w:pPr>
        <w:pStyle w:val="ListParagraph"/>
        <w:numPr>
          <w:ilvl w:val="0"/>
          <w:numId w:val="2"/>
        </w:numPr>
        <w:spacing w:after="60" w:before="40"/>
      </w:pPr>
      <w:r>
        <w:rPr>
          <w:rFonts w:ascii="Arial" w:cs="Arial" w:eastAsia="Arial" w:hAnsi="Arial"/>
          <w:b w:val="false"/>
          <w:bCs w:val="false"/>
          <w:color w:val="1A252F"/>
          <w:sz w:val="22"/>
          <w:szCs w:val="22"/>
        </w:rPr>
        <w:t xml:space="preserve">Cloud fallback: For languages not yet covered by the on-device model, ElevenLabs Multilingual v3 or Google Cloud TTS (Chirp HD) provides high-quality synthesis with regional language support. Audio is generated server-side and streamed to the device; no raw voice data is transmitted from the device.</w:t>
      </w:r>
    </w:p>
    <w:p>
      <w:pPr>
        <w:pStyle w:val="ListParagraph"/>
        <w:numPr>
          <w:ilvl w:val="0"/>
          <w:numId w:val="2"/>
        </w:numPr>
        <w:spacing w:after="60" w:before="40"/>
      </w:pPr>
      <w:r>
        <w:rPr>
          <w:rFonts w:ascii="Arial" w:cs="Arial" w:eastAsia="Arial" w:hAnsi="Arial"/>
          <w:b w:val="false"/>
          <w:bCs w:val="false"/>
          <w:color w:val="1A252F"/>
          <w:sz w:val="22"/>
          <w:szCs w:val="22"/>
        </w:rPr>
        <w:t xml:space="preserve">Speaking rate adaptation: The TTS output rate is reduced to 85% of the model's default for the Elder User tier and is user-adjustable in 10% increments from the app. Elderly users with mild cognitive impairment benefit significantly from slower, clearly articulated speech.</w:t>
      </w:r>
    </w:p>
    <w:p>
      <w:r>
        <w:br w:type="page"/>
      </w:r>
    </w:p>
    <w:p>
      <w:pPr>
        <w:pStyle w:val="Heading1"/>
        <w:spacing w:after="160" w:before="360"/>
      </w:pPr>
      <w:r>
        <w:rPr>
          <w:rFonts w:ascii="Arial" w:cs="Arial" w:eastAsia="Arial" w:hAnsi="Arial"/>
          <w:b/>
          <w:bCs/>
          <w:color w:val="1B4F72"/>
          <w:sz w:val="32"/>
          <w:szCs w:val="32"/>
        </w:rPr>
        <w:t xml:space="preserve">4. Indic Language Plain-Language Post-Processing</w:t>
      </w:r>
    </w:p>
    <w:p>
      <w:pPr>
        <w:shd w:fill="F5EEF8" w:val="clear"/>
        <w:spacing w:after="100" w:before="100"/>
        <w:ind w:left="240" w:right="240"/>
      </w:pPr>
      <w:r>
        <w:rPr>
          <w:rFonts w:ascii="Arial" w:cs="Arial" w:eastAsia="Arial" w:hAnsi="Arial"/>
          <w:b/>
          <w:bCs/>
          <w:i/>
          <w:iCs/>
          <w:color w:val="6C3483"/>
          <w:sz w:val="21"/>
          <w:szCs w:val="21"/>
        </w:rPr>
        <w:t xml:space="preserve">Cross-Reference (V1):  </w:t>
      </w:r>
      <w:r>
        <w:rPr>
          <w:rFonts w:ascii="Arial" w:cs="Arial" w:eastAsia="Arial" w:hAnsi="Arial"/>
          <w:i/>
          <w:iCs/>
          <w:color w:val="6C3483"/>
          <w:sz w:val="21"/>
          <w:szCs w:val="21"/>
        </w:rPr>
        <w:t xml:space="preserve">V1 Section 6.2 established that all agent responses must meet a Grade 6 Flesch-Kincaid readability target and be processed through a plain-language post-processor. V1 Section 9.1 flagged multilingual expansion as a Phase 2 R&amp;D priority. This section provides the technical finding that makes this a Phase 1 architectural requirement, not a Phase 2 enhancement.</w:t>
      </w:r>
    </w:p>
    <w:p>
      <w:pPr>
        <w:spacing w:after="0" w:before="80"/>
      </w:pPr>
    </w:p>
    <w:p>
      <w:pPr>
        <w:shd w:fill="FADBD8" w:val="clear"/>
        <w:spacing w:after="140" w:before="140"/>
        <w:ind w:left="240" w:right="240"/>
      </w:pPr>
      <w:r>
        <w:rPr>
          <w:rFonts w:ascii="Arial" w:cs="Arial" w:eastAsia="Arial" w:hAnsi="Arial"/>
          <w:b/>
          <w:bCs/>
          <w:color w:val="922B21"/>
          <w:sz w:val="22"/>
          <w:szCs w:val="22"/>
        </w:rPr>
        <w:t xml:space="preserve">Critical Finding:  </w:t>
      </w:r>
      <w:r>
        <w:rPr>
          <w:rFonts w:ascii="Arial" w:cs="Arial" w:eastAsia="Arial" w:hAnsi="Arial"/>
          <w:color w:val="1A252F"/>
          <w:sz w:val="22"/>
          <w:szCs w:val="22"/>
        </w:rPr>
        <w:t xml:space="preserve">Flesch-Kincaid and Gunning Fog readability formulas cannot be applied to Indian languages. Their mathematical foundations assume English syllable and word-length distributions that are fundamentally invalid for Hindi, Bengali, Tamil, and other Indic scripts. A V1 deployment applying these formulas to regional language output would produce meaningless scores and offer no readability guarantee.</w:t>
      </w:r>
    </w:p>
    <w:p>
      <w:pPr>
        <w:spacing w:after="0" w:before="120"/>
      </w:pPr>
    </w:p>
    <w:p>
      <w:pPr>
        <w:pStyle w:val="Heading2"/>
        <w:spacing w:after="120" w:before="280"/>
      </w:pPr>
      <w:r>
        <w:rPr>
          <w:rFonts w:ascii="Arial" w:cs="Arial" w:eastAsia="Arial" w:hAnsi="Arial"/>
          <w:b/>
          <w:bCs/>
          <w:color w:val="2E86C1"/>
          <w:sz w:val="26"/>
          <w:szCs w:val="26"/>
        </w:rPr>
        <w:t xml:space="preserve">4.1 Why Western Readability Formulas Fail on Indian Languages</w:t>
      </w:r>
    </w:p>
    <w:p>
      <w:pPr>
        <w:spacing w:after="100" w:before="60"/>
      </w:pPr>
      <w:r>
        <w:rPr>
          <w:rFonts w:ascii="Arial" w:cs="Arial" w:eastAsia="Arial" w:hAnsi="Arial"/>
          <w:color w:val="1A252F"/>
          <w:sz w:val="22"/>
          <w:szCs w:val="22"/>
        </w:rPr>
        <w:t xml:space="preserve">Flesch-Kincaid Grade Level is computed as a linear function of average sentence length and average number of syllables per word. This formula was calibrated on the English lexicon, in which content words typically contain two to four syllables and sentence length is a reasonable proxy for syntactic complexity.</w:t>
      </w:r>
    </w:p>
    <w:p>
      <w:pPr>
        <w:spacing w:after="0" w:before="60"/>
      </w:pPr>
    </w:p>
    <w:p>
      <w:pPr>
        <w:spacing w:after="100" w:before="60"/>
      </w:pPr>
      <w:r>
        <w:rPr>
          <w:rFonts w:ascii="Arial" w:cs="Arial" w:eastAsia="Arial" w:hAnsi="Arial"/>
          <w:color w:val="1A252F"/>
          <w:sz w:val="22"/>
          <w:szCs w:val="22"/>
        </w:rPr>
        <w:t xml:space="preserve">Three structural features of major Indian languages invalidate this approach entirely:</w:t>
      </w:r>
    </w:p>
    <w:p>
      <w:pPr>
        <w:pStyle w:val="ListParagraph"/>
        <w:numPr>
          <w:ilvl w:val="0"/>
          <w:numId w:val="2"/>
        </w:numPr>
        <w:spacing w:after="60" w:before="40"/>
      </w:pPr>
      <w:r>
        <w:rPr>
          <w:rFonts w:ascii="Arial" w:cs="Arial" w:eastAsia="Arial" w:hAnsi="Arial"/>
          <w:b w:val="false"/>
          <w:bCs w:val="false"/>
          <w:color w:val="1A252F"/>
          <w:sz w:val="22"/>
          <w:szCs w:val="22"/>
        </w:rPr>
        <w:t xml:space="preserve">Agglutinative morphology (Tamil, Telugu, Kannada, Malayalam): Multiple morphemes — root, tense marker, subject agreement, object agreement — are concatenated into a single orthographic word. A Tamil sentence that would be seven words in English may compress to three words, each of which is morphologically complex. Average word length as a readability proxy is inverted: longer words may actually be simpler because they are composed of familiar morphemes.</w:t>
      </w:r>
    </w:p>
    <w:p>
      <w:pPr>
        <w:pStyle w:val="ListParagraph"/>
        <w:numPr>
          <w:ilvl w:val="0"/>
          <w:numId w:val="2"/>
        </w:numPr>
        <w:spacing w:after="60" w:before="40"/>
      </w:pPr>
      <w:r>
        <w:rPr>
          <w:rFonts w:ascii="Arial" w:cs="Arial" w:eastAsia="Arial" w:hAnsi="Arial"/>
          <w:b w:val="false"/>
          <w:bCs w:val="false"/>
          <w:color w:val="1A252F"/>
          <w:sz w:val="22"/>
          <w:szCs w:val="22"/>
        </w:rPr>
        <w:t xml:space="preserve">Compound consonants and Juktakkhors (Bengali, Hindi, Odia, Assamese): Consonant conjuncts — where two or more consonants merge into a single grapheme — are primary indicators of cognitive reading difficulty in scripts like Bengali (Bangla) and Devanagari. A sentence with high Juktakkhor density is significantly harder to read than syllable count alone would suggest, and Western formulas have no mechanism to capture this.</w:t>
      </w:r>
    </w:p>
    <w:p>
      <w:pPr>
        <w:pStyle w:val="ListParagraph"/>
        <w:numPr>
          <w:ilvl w:val="0"/>
          <w:numId w:val="2"/>
        </w:numPr>
        <w:spacing w:after="60" w:before="40"/>
      </w:pPr>
      <w:r>
        <w:rPr>
          <w:rFonts w:ascii="Arial" w:cs="Arial" w:eastAsia="Arial" w:hAnsi="Arial"/>
          <w:b w:val="false"/>
          <w:bCs w:val="false"/>
          <w:color w:val="1A252F"/>
          <w:sz w:val="22"/>
          <w:szCs w:val="22"/>
        </w:rPr>
        <w:t xml:space="preserve">Sandhi rules and phonological merging (Sanskrit-derived languages): Sandhi causes adjacent morphemes to merge phonologically at word boundaries, altering the surface form in ways that confuse syllable-counting algorithms that assume stable word boundaries.</w:t>
      </w:r>
    </w:p>
    <w:p>
      <w:pPr>
        <w:spacing w:after="0" w:before="120"/>
      </w:pPr>
    </w:p>
    <w:p>
      <w:pPr>
        <w:pStyle w:val="Heading2"/>
        <w:spacing w:after="120" w:before="280"/>
      </w:pPr>
      <w:r>
        <w:rPr>
          <w:rFonts w:ascii="Arial" w:cs="Arial" w:eastAsia="Arial" w:hAnsi="Arial"/>
          <w:b/>
          <w:bCs/>
          <w:color w:val="2E86C1"/>
          <w:sz w:val="26"/>
          <w:szCs w:val="26"/>
        </w:rPr>
        <w:t xml:space="preserve">4.2 Language-Specific Readability Models Required</w:t>
      </w:r>
    </w:p>
    <w:p>
      <w:pPr>
        <w:spacing w:after="100" w:before="60"/>
      </w:pPr>
      <w:r>
        <w:rPr>
          <w:rFonts w:ascii="Arial" w:cs="Arial" w:eastAsia="Arial" w:hAnsi="Arial"/>
          <w:color w:val="1A252F"/>
          <w:sz w:val="22"/>
          <w:szCs w:val="22"/>
        </w:rPr>
        <w:t xml:space="preserve">Research into Indic language readability has produced language-specific regression models that replace the Western syllable-based formulas with culturally valid feature sets. The architecture must deploy the following adapted approaches per language family: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800"/>
        <w:gridCol w:w="2560"/>
      </w:tblGrid>
      <w:tr>
        <w:trPr>
          <w:tblHeader/>
        </w:trPr>
        <w:tc>
          <w:tcPr>
            <w:tcW w:type="dxa" w:w="19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Language / Family</w:t>
            </w:r>
          </w:p>
        </w:tc>
        <w:tc>
          <w:tcPr>
            <w:tcW w:type="dxa" w:w="21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Primary Difficulty Indicator</w:t>
            </w:r>
          </w:p>
        </w:tc>
        <w:tc>
          <w:tcPr>
            <w:tcW w:type="dxa" w:w="28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Readability Feature Set</w:t>
            </w:r>
          </w:p>
        </w:tc>
        <w:tc>
          <w:tcPr>
            <w:tcW w:type="dxa" w:w="256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Benchmark Framework</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Hindi (Devanagari)</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Tatsama (Sanskrit-origin) word density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Modified ASL, modified AWL, Tatsama word frequency, conjunct consonant density in Devanagari.</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IndicMMLU-Pro (Hindi subset), IndQA</w:t>
            </w:r>
          </w:p>
        </w:tc>
      </w:tr>
      <w:tr>
        <w:tc>
          <w:tcPr>
            <w:tcW w:type="dxa" w:w="1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Bengali (Bangla script)</w:t>
            </w:r>
          </w:p>
        </w:tc>
        <w:tc>
          <w:tcPr>
            <w:tcW w:type="dxa" w:w="2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Juktakkhor (complex consonant conjunct) frequency</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Modified ASL, AWL, Juktakkhor count per sentence, bimorphemic compound density.</w:t>
            </w:r>
          </w:p>
        </w:tc>
        <w:tc>
          <w:tcPr>
            <w:tcW w:type="dxa" w:w="25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IndicMMLU-Pro (Bengali subset)</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Tamil (Dravidian, agglutinative)</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Morpheme-per-word ratio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Morpheme count (not syllable count), verb-final clause density, sandhi frequency at word boundaries.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IndicMMLU-Pro (Tamil subset), DravidianQA</w:t>
            </w:r>
          </w:p>
        </w:tc>
      </w:tr>
      <w:tr>
        <w:tc>
          <w:tcPr>
            <w:tcW w:type="dxa" w:w="1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Telugu, Kannada, Malayalam</w:t>
            </w:r>
          </w:p>
        </w:tc>
        <w:tc>
          <w:tcPr>
            <w:tcW w:type="dxa" w:w="2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Agglutinative compound depth</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Same morpheme-per-word ratio approach as Tamil with language-specific morphological analysers from AI4Bharat.</w:t>
            </w:r>
          </w:p>
        </w:tc>
        <w:tc>
          <w:tcPr>
            <w:tcW w:type="dxa" w:w="25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IndicMMLU-Pro (respective subsets)</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Marathi, Gujarati, Odia</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Sandhi and conjunct consonant interaction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Hybrid: Devanagari conjunct model for Marathi; adapted AWL with sandhi segmentation for Gujarati and Odia.</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IndQA (where available)</w:t>
            </w:r>
          </w:p>
        </w:tc>
      </w:tr>
    </w:tbl>
    <w:p>
      <w:pPr>
        <w:spacing w:after="0" w:before="120"/>
      </w:pPr>
    </w:p>
    <w:p>
      <w:pPr>
        <w:pStyle w:val="Heading2"/>
        <w:spacing w:after="120" w:before="280"/>
      </w:pPr>
      <w:r>
        <w:rPr>
          <w:rFonts w:ascii="Arial" w:cs="Arial" w:eastAsia="Arial" w:hAnsi="Arial"/>
          <w:b/>
          <w:bCs/>
          <w:color w:val="2E86C1"/>
          <w:sz w:val="26"/>
          <w:szCs w:val="26"/>
        </w:rPr>
        <w:t xml:space="preserve">4.3 The Readability Post-Processor Architecture</w:t>
      </w:r>
    </w:p>
    <w:p>
      <w:pPr>
        <w:spacing w:after="100" w:before="60"/>
      </w:pPr>
      <w:r>
        <w:rPr>
          <w:rFonts w:ascii="Arial" w:cs="Arial" w:eastAsia="Arial" w:hAnsi="Arial"/>
          <w:color w:val="1A252F"/>
          <w:sz w:val="22"/>
          <w:szCs w:val="22"/>
        </w:rPr>
        <w:t xml:space="preserve">The post-processing layer in production operates as a deterministic pipeline between LLM output generation and TTS synthesis or display rendering. The pipeline consists of three sequential stages:</w:t>
      </w:r>
    </w:p>
    <w:p>
      <w:pPr>
        <w:spacing w:after="0" w:before="80"/>
      </w:pPr>
    </w:p>
    <w:p>
      <w:pPr>
        <w:pStyle w:val="Heading3"/>
        <w:spacing w:after="80" w:before="200"/>
      </w:pPr>
      <w:r>
        <w:rPr>
          <w:rFonts w:ascii="Arial" w:cs="Arial" w:eastAsia="Arial" w:hAnsi="Arial"/>
          <w:b/>
          <w:bCs/>
          <w:color w:val="1B4F72"/>
          <w:sz w:val="22"/>
          <w:szCs w:val="22"/>
        </w:rPr>
        <w:t xml:space="preserve">Stage 1 — Language Detection and Script Identification</w:t>
      </w:r>
    </w:p>
    <w:p>
      <w:pPr>
        <w:spacing w:after="100" w:before="60"/>
      </w:pPr>
      <w:r>
        <w:rPr>
          <w:rFonts w:ascii="Arial" w:cs="Arial" w:eastAsia="Arial" w:hAnsi="Arial"/>
          <w:color w:val="1A252F"/>
          <w:sz w:val="22"/>
          <w:szCs w:val="22"/>
        </w:rPr>
        <w:t xml:space="preserve">The pipeline determines the primary script and language of the LLM output using a lightweight on-device classifier (fastText language identification model, under 2MB). This is necessary because Claude Sonnet 4.6 may produce code-switched output — mixing Hindi and English within a single response — which requires script-level segmentation before readability analysis can be applied.</w:t>
      </w:r>
    </w:p>
    <w:p>
      <w:pPr>
        <w:spacing w:after="0" w:before="80"/>
      </w:pPr>
    </w:p>
    <w:p>
      <w:pPr>
        <w:pStyle w:val="Heading3"/>
        <w:spacing w:after="80" w:before="200"/>
      </w:pPr>
      <w:r>
        <w:rPr>
          <w:rFonts w:ascii="Arial" w:cs="Arial" w:eastAsia="Arial" w:hAnsi="Arial"/>
          <w:b/>
          <w:bCs/>
          <w:color w:val="1B4F72"/>
          <w:sz w:val="22"/>
          <w:szCs w:val="22"/>
        </w:rPr>
        <w:t xml:space="preserve">Stage 2 — Language-Specific Readability Scoring</w:t>
      </w:r>
    </w:p>
    <w:p>
      <w:pPr>
        <w:spacing w:after="100" w:before="60"/>
      </w:pPr>
      <w:r>
        <w:rPr>
          <w:rFonts w:ascii="Arial" w:cs="Arial" w:eastAsia="Arial" w:hAnsi="Arial"/>
          <w:color w:val="1A252F"/>
          <w:sz w:val="22"/>
          <w:szCs w:val="22"/>
        </w:rPr>
        <w:t xml:space="preserve">The identified text segments are scored against the language-specific feature sets defined in Section 4.2. The scoring engine uses:</w:t>
      </w:r>
    </w:p>
    <w:p>
      <w:pPr>
        <w:pStyle w:val="ListParagraph"/>
        <w:numPr>
          <w:ilvl w:val="0"/>
          <w:numId w:val="2"/>
        </w:numPr>
        <w:spacing w:after="60" w:before="40"/>
      </w:pPr>
      <w:r>
        <w:rPr>
          <w:rFonts w:ascii="Arial" w:cs="Arial" w:eastAsia="Arial" w:hAnsi="Arial"/>
          <w:b w:val="false"/>
          <w:bCs w:val="false"/>
          <w:color w:val="1A252F"/>
          <w:sz w:val="22"/>
          <w:szCs w:val="22"/>
        </w:rPr>
        <w:t xml:space="preserve">AI4Bharat's Indic NLP Library for morphological analysis, sandhi segmentation, and Juktakkhor detection across all 22 scheduled languages.</w:t>
      </w:r>
    </w:p>
    <w:p>
      <w:pPr>
        <w:pStyle w:val="ListParagraph"/>
        <w:numPr>
          <w:ilvl w:val="0"/>
          <w:numId w:val="2"/>
        </w:numPr>
        <w:spacing w:after="60" w:before="40"/>
      </w:pPr>
      <w:r>
        <w:rPr>
          <w:rFonts w:ascii="Arial" w:cs="Arial" w:eastAsia="Arial" w:hAnsi="Arial"/>
          <w:b w:val="false"/>
          <w:bCs w:val="false"/>
          <w:color w:val="1A252F"/>
          <w:sz w:val="22"/>
          <w:szCs w:val="22"/>
        </w:rPr>
        <w:t xml:space="preserve">Language-specific regression coefficients, derived from the academic literature on Bengali and Hindi readability and adapted for Telugu, Tamil, and Marathi through targeted annotation experiments.</w:t>
      </w:r>
    </w:p>
    <w:p>
      <w:pPr>
        <w:pStyle w:val="ListParagraph"/>
        <w:numPr>
          <w:ilvl w:val="0"/>
          <w:numId w:val="2"/>
        </w:numPr>
        <w:spacing w:after="60" w:before="40"/>
      </w:pPr>
      <w:r>
        <w:rPr>
          <w:rFonts w:ascii="Arial" w:cs="Arial" w:eastAsia="Arial" w:hAnsi="Arial"/>
          <w:b w:val="false"/>
          <w:bCs w:val="false"/>
          <w:color w:val="1A252F"/>
          <w:sz w:val="22"/>
          <w:szCs w:val="22"/>
        </w:rPr>
        <w:t xml:space="preserve">A unified cognitive load score normalised to a 1–10 scale across all languages, where 1 represents a simple greeting and 10 represents a complex legal or medical document. The Elder User tier target is a score of 4 or below.</w:t>
      </w:r>
    </w:p>
    <w:p>
      <w:pPr>
        <w:spacing w:after="0" w:before="80"/>
      </w:pPr>
    </w:p>
    <w:p>
      <w:pPr>
        <w:pStyle w:val="Heading3"/>
        <w:spacing w:after="80" w:before="200"/>
      </w:pPr>
      <w:r>
        <w:rPr>
          <w:rFonts w:ascii="Arial" w:cs="Arial" w:eastAsia="Arial" w:hAnsi="Arial"/>
          <w:b/>
          <w:bCs/>
          <w:color w:val="1B4F72"/>
          <w:sz w:val="22"/>
          <w:szCs w:val="22"/>
        </w:rPr>
        <w:t xml:space="preserve">Stage 3 — Conditional Simplification</w:t>
      </w:r>
    </w:p>
    <w:p>
      <w:pPr>
        <w:spacing w:after="100" w:before="60"/>
      </w:pPr>
      <w:r>
        <w:rPr>
          <w:rFonts w:ascii="Arial" w:cs="Arial" w:eastAsia="Arial" w:hAnsi="Arial"/>
          <w:color w:val="1A252F"/>
          <w:sz w:val="22"/>
          <w:szCs w:val="22"/>
        </w:rPr>
        <w:t xml:space="preserve">If the cognitive load score exceeds the tier threshold, the pipeline invokes a simplification sub-agent — running on Claude Haiku 4.5 for cost efficiency — with a system prompt that specifies the target language, the target cognitive load score, and an explicit instruction to preserve all factual content while rewriting at a simpler syntactic register. The revised output is re-scored before display. If the score remains above threshold after two simplification passes, the response is flagged for human review and the user is offered a call-back from the caregiver.</w:t>
      </w:r>
    </w:p>
    <w:p>
      <w:pPr>
        <w:spacing w:after="0" w:before="80"/>
      </w:pPr>
    </w:p>
    <w:p>
      <w:pPr>
        <w:shd w:fill="FEF9E7" w:val="clear"/>
        <w:spacing w:after="140" w:before="140"/>
        <w:ind w:left="240" w:right="240"/>
      </w:pPr>
      <w:r>
        <w:rPr>
          <w:rFonts w:ascii="Arial" w:cs="Arial" w:eastAsia="Arial" w:hAnsi="Arial"/>
          <w:b/>
          <w:bCs/>
          <w:color w:val="7D6608"/>
          <w:sz w:val="22"/>
          <w:szCs w:val="22"/>
        </w:rPr>
        <w:t xml:space="preserve">Benchmark Validation Requirement:  </w:t>
      </w:r>
      <w:r>
        <w:rPr>
          <w:rFonts w:ascii="Arial" w:cs="Arial" w:eastAsia="Arial" w:hAnsi="Arial"/>
          <w:color w:val="1A252F"/>
          <w:sz w:val="22"/>
          <w:szCs w:val="22"/>
        </w:rPr>
        <w:t xml:space="preserve">Before Phase 1 launch, all language models and the readability post-processor must be evaluated against IndQA and IndicMMLU-Pro benchmarks. These frameworks test language comprehension and reasoning rooted in Indian cultural context — not mere translations of English prompts. This validation is a go/no-go gate for Phase 1, not a post-launch enhancement.</w:t>
      </w:r>
    </w:p>
    <w:p>
      <w:r>
        <w:br w:type="page"/>
      </w:r>
    </w:p>
    <w:p>
      <w:pPr>
        <w:pStyle w:val="Heading1"/>
        <w:spacing w:after="160" w:before="360"/>
      </w:pPr>
      <w:r>
        <w:rPr>
          <w:rFonts w:ascii="Arial" w:cs="Arial" w:eastAsia="Arial" w:hAnsi="Arial"/>
          <w:b/>
          <w:bCs/>
          <w:color w:val="1B4F72"/>
          <w:sz w:val="32"/>
          <w:szCs w:val="32"/>
        </w:rPr>
        <w:t xml:space="preserve">5. Scam Detection: Layer 1 Implementation Architecture</w:t>
      </w:r>
    </w:p>
    <w:p>
      <w:pPr>
        <w:shd w:fill="F5EEF8" w:val="clear"/>
        <w:spacing w:after="100" w:before="100"/>
        <w:ind w:left="240" w:right="240"/>
      </w:pPr>
      <w:r>
        <w:rPr>
          <w:rFonts w:ascii="Arial" w:cs="Arial" w:eastAsia="Arial" w:hAnsi="Arial"/>
          <w:b/>
          <w:bCs/>
          <w:i/>
          <w:iCs/>
          <w:color w:val="6C3483"/>
          <w:sz w:val="21"/>
          <w:szCs w:val="21"/>
        </w:rPr>
        <w:t xml:space="preserve">Cross-Reference (V1):  </w:t>
      </w:r>
      <w:r>
        <w:rPr>
          <w:rFonts w:ascii="Arial" w:cs="Arial" w:eastAsia="Arial" w:hAnsi="Arial"/>
          <w:i/>
          <w:iCs/>
          <w:color w:val="6C3483"/>
          <w:sz w:val="21"/>
          <w:szCs w:val="21"/>
        </w:rPr>
        <w:t xml:space="preserve">V1 Section 5.1 introduced the Scam Detection Filter as a Phase 1 Critical R&amp;D item and described its high-level role in quarantining malicious messages before they reach the LLM. This section provides the engineering specification at implementation depth.</w:t>
      </w:r>
    </w:p>
    <w:p>
      <w:pPr>
        <w:spacing w:after="0" w:before="80"/>
      </w:pPr>
    </w:p>
    <w:p>
      <w:pPr>
        <w:spacing w:after="100" w:before="60"/>
      </w:pPr>
      <w:r>
        <w:rPr>
          <w:rFonts w:ascii="Arial" w:cs="Arial" w:eastAsia="Arial" w:hAnsi="Arial"/>
          <w:color w:val="1A252F"/>
          <w:sz w:val="22"/>
          <w:szCs w:val="22"/>
        </w:rPr>
        <w:t xml:space="preserve">India recorded over 11.3 lakh cyber fraud complaints in 2023, with elderly individuals disproportionately targeted through WhatsApp-mediated scams, fraudulent UPI collect requests, and impersonation of family members in distress. The threat model is not hypothetical: it is the daily operating environment of the primary user population. A scam detection architecture that fails to catch 10% of sophisticated social engineering attempts is not an acceptable production system.</w:t>
      </w:r>
    </w:p>
    <w:p>
      <w:pPr>
        <w:spacing w:after="0" w:before="80"/>
      </w:pPr>
    </w:p>
    <w:p>
      <w:pPr>
        <w:pStyle w:val="Heading2"/>
        <w:spacing w:after="120" w:before="280"/>
      </w:pPr>
      <w:r>
        <w:rPr>
          <w:rFonts w:ascii="Arial" w:cs="Arial" w:eastAsia="Arial" w:hAnsi="Arial"/>
          <w:b/>
          <w:bCs/>
          <w:color w:val="2E86C1"/>
          <w:sz w:val="26"/>
          <w:szCs w:val="26"/>
        </w:rPr>
        <w:t xml:space="preserve">5.1 The Two-Stage Detection Pipeline</w:t>
      </w:r>
    </w:p>
    <w:p>
      <w:pPr>
        <w:spacing w:after="100" w:before="60"/>
      </w:pPr>
      <w:r>
        <w:rPr>
          <w:rFonts w:ascii="Arial" w:cs="Arial" w:eastAsia="Arial" w:hAnsi="Arial"/>
          <w:color w:val="1A252F"/>
          <w:sz w:val="22"/>
          <w:szCs w:val="22"/>
        </w:rPr>
        <w:t xml:space="preserve">The detection pipeline operates across two sequential stages with distinct latency, cost, and threat-class profiles. No message from an unapproved sender reaches the LLM's context window until it has cleared both stages.</w:t>
      </w:r>
    </w:p>
    <w:p>
      <w:pPr>
        <w:spacing w:after="0" w:before="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000"/>
        <w:gridCol w:w="1500"/>
        <w:gridCol w:w="960"/>
      </w:tblGrid>
      <w:tr>
        <w:trPr>
          <w:tblHeader/>
        </w:trPr>
        <w:tc>
          <w:tcPr>
            <w:tcW w:type="dxa" w:w="16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w:t>
            </w:r>
          </w:p>
        </w:tc>
        <w:tc>
          <w:tcPr>
            <w:tcW w:type="dxa" w:w="25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Implementation</w:t>
            </w:r>
          </w:p>
        </w:tc>
        <w:tc>
          <w:tcPr>
            <w:tcW w:type="dxa" w:w="30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Threats</w:t>
            </w:r>
          </w:p>
        </w:tc>
        <w:tc>
          <w:tcPr>
            <w:tcW w:type="dxa" w:w="15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Processing Location</w:t>
            </w:r>
          </w:p>
        </w:tc>
        <w:tc>
          <w:tcPr>
            <w:tcW w:type="dxa" w:w="96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Latency</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Layer 1a — Static Edge Filter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Offline heuristic engine + proprietary regex corpus trained on verified Indian scam datasets.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Known malicious domains and URLs, hardcoded financial urgency keywords in 12 Indic languages, known fraudulent UPI VPA patterns, SMS-forwarding phishing templates.</w:t>
            </w:r>
          </w:p>
        </w:tc>
        <w:tc>
          <w:tcPr>
            <w:tcW w:type="dxa" w:w="15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val="false"/>
                <w:bCs w:val="false"/>
                <w:color w:val="1E8449"/>
                <w:sz w:val="20"/>
                <w:szCs w:val="20"/>
              </w:rPr>
              <w:t xml:space="preserve">Absolute edge — executes on-device with zero network dependency.</w:t>
            </w:r>
          </w:p>
        </w:tc>
        <w:tc>
          <w:tcPr>
            <w:tcW w:type="dxa" w:w="9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val="false"/>
                <w:bCs w:val="false"/>
                <w:color w:val="1E8449"/>
                <w:sz w:val="20"/>
                <w:szCs w:val="20"/>
              </w:rPr>
              <w:t xml:space="preserve">Under 100ms — operates before any cloud call.</w:t>
            </w:r>
          </w:p>
        </w:tc>
      </w:tr>
      <w:tr>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Layer 1b — Semantic Cloud Classifier</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Claude Haiku 4.5 with a scam-classification system prompt and a structured JSON output schema validated by PydanticAI.</w:t>
            </w:r>
          </w:p>
        </w:tc>
        <w:tc>
          <w:tcPr>
            <w:tcW w:type="dxa" w:w="3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Friend-in-distress impersonation, emotional manipulation, nuanced data extraction ('just tell me your Aadhaar for verification'), gift card distribution scams, authority impersonation (bank, police, government).</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Cloud backend — triggered only for messages that pass Layer 1a.</w:t>
            </w:r>
          </w:p>
        </w:tc>
        <w:tc>
          <w:tcPr>
            <w:tcW w:type="dxa" w:w="9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Approximately 2 seconds — acceptable for message-channel interaction where user response time is longer.</w:t>
            </w:r>
          </w:p>
        </w:tc>
      </w:tr>
    </w:tbl>
    <w:p>
      <w:pPr>
        <w:spacing w:after="0" w:before="120"/>
      </w:pPr>
    </w:p>
    <w:p>
      <w:pPr>
        <w:pStyle w:val="Heading2"/>
        <w:spacing w:after="120" w:before="280"/>
      </w:pPr>
      <w:r>
        <w:rPr>
          <w:rFonts w:ascii="Arial" w:cs="Arial" w:eastAsia="Arial" w:hAnsi="Arial"/>
          <w:b/>
          <w:bCs/>
          <w:color w:val="2E86C1"/>
          <w:sz w:val="26"/>
          <w:szCs w:val="26"/>
        </w:rPr>
        <w:t xml:space="preserve">5.2 Layer 1a: The Edge Heuristic Engine</w:t>
      </w:r>
    </w:p>
    <w:p>
      <w:pPr>
        <w:spacing w:after="100" w:before="60"/>
      </w:pPr>
      <w:r>
        <w:rPr>
          <w:rFonts w:ascii="Arial" w:cs="Arial" w:eastAsia="Arial" w:hAnsi="Arial"/>
          <w:color w:val="1A252F"/>
          <w:sz w:val="22"/>
          <w:szCs w:val="22"/>
        </w:rPr>
        <w:t xml:space="preserve">The edge filter executes entirely on the user's device and requires no internet connectivity. It operates as a deterministic finite automaton with three input corpora:</w:t>
      </w:r>
    </w:p>
    <w:p>
      <w:pPr>
        <w:pStyle w:val="ListParagraph"/>
        <w:numPr>
          <w:ilvl w:val="0"/>
          <w:numId w:val="2"/>
        </w:numPr>
        <w:spacing w:after="60" w:before="40"/>
      </w:pPr>
      <w:r>
        <w:rPr>
          <w:rFonts w:ascii="Arial" w:cs="Arial" w:eastAsia="Arial" w:hAnsi="Arial"/>
          <w:b w:val="false"/>
          <w:bCs w:val="false"/>
          <w:color w:val="1A252F"/>
          <w:sz w:val="22"/>
          <w:szCs w:val="22"/>
        </w:rPr>
        <w:t xml:space="preserve">URL and Domain Blocklist: A regularly updated offline blocklist of known phishing domains, malicious UPI handles, and fraudulent toll-free numbers. Updates are pushed to the device as silent background syncs when Wi-Fi is available, following the same update model as antivirus signature databases.</w:t>
      </w:r>
    </w:p>
    <w:p>
      <w:pPr>
        <w:pStyle w:val="ListParagraph"/>
        <w:numPr>
          <w:ilvl w:val="0"/>
          <w:numId w:val="2"/>
        </w:numPr>
        <w:spacing w:after="60" w:before="40"/>
      </w:pPr>
      <w:r>
        <w:rPr>
          <w:rFonts w:ascii="Arial" w:cs="Arial" w:eastAsia="Arial" w:hAnsi="Arial"/>
          <w:b w:val="false"/>
          <w:bCs w:val="false"/>
          <w:color w:val="1A252F"/>
          <w:sz w:val="22"/>
          <w:szCs w:val="22"/>
        </w:rPr>
        <w:t xml:space="preserve">Indic Language Keyword Corpus: A curated dictionary of financial urgency phrases ('immediately transfer', 'your account will be blocked', 'last chance', 'send OTP') compiled in English and all 12 Indic languages with significant elderly user population. The corpus is maintained as a versioned, auditable file updated through the same signed update channel as the domain blocklist.</w:t>
      </w:r>
    </w:p>
    <w:p>
      <w:pPr>
        <w:pStyle w:val="ListParagraph"/>
        <w:numPr>
          <w:ilvl w:val="0"/>
          <w:numId w:val="2"/>
        </w:numPr>
        <w:spacing w:after="60" w:before="40"/>
      </w:pPr>
      <w:r>
        <w:rPr>
          <w:rFonts w:ascii="Arial" w:cs="Arial" w:eastAsia="Arial" w:hAnsi="Arial"/>
          <w:b w:val="false"/>
          <w:bCs w:val="false"/>
          <w:color w:val="1A252F"/>
          <w:sz w:val="22"/>
          <w:szCs w:val="22"/>
        </w:rPr>
        <w:t xml:space="preserve">Structural Pattern Recognition: Known scam message templates — including the 'Hi Mummy/Papa, my phone broke, please send money to this number' family impersonation format — are represented as structural regex patterns rather than keyword matches, making them resistant to minor textual variation by the attacker.</w:t>
      </w:r>
    </w:p>
    <w:p>
      <w:pPr>
        <w:spacing w:after="0" w:before="60"/>
      </w:pPr>
    </w:p>
    <w:p>
      <w:pPr>
        <w:spacing w:after="100" w:before="60"/>
      </w:pPr>
      <w:r>
        <w:rPr>
          <w:rFonts w:ascii="Arial" w:cs="Arial" w:eastAsia="Arial" w:hAnsi="Arial"/>
          <w:color w:val="1A252F"/>
          <w:sz w:val="22"/>
          <w:szCs w:val="22"/>
        </w:rPr>
        <w:t xml:space="preserve">When Layer 1a detects a match, the message is immediately quarantined: it is stored in an encrypted local buffer, removed from the visible conversation thread, and a quarantine event is dispatched to the cloud backend to trigger the caregiver alert workflow.</w:t>
      </w:r>
    </w:p>
    <w:p>
      <w:pPr>
        <w:spacing w:after="0" w:before="120"/>
      </w:pPr>
    </w:p>
    <w:p>
      <w:pPr>
        <w:pStyle w:val="Heading2"/>
        <w:spacing w:after="120" w:before="280"/>
      </w:pPr>
      <w:r>
        <w:rPr>
          <w:rFonts w:ascii="Arial" w:cs="Arial" w:eastAsia="Arial" w:hAnsi="Arial"/>
          <w:b/>
          <w:bCs/>
          <w:color w:val="2E86C1"/>
          <w:sz w:val="26"/>
          <w:szCs w:val="26"/>
        </w:rPr>
        <w:t xml:space="preserve">5.3 Layer 1b: The Semantic Classifier</w:t>
      </w:r>
    </w:p>
    <w:p>
      <w:pPr>
        <w:spacing w:after="100" w:before="60"/>
      </w:pPr>
      <w:r>
        <w:rPr>
          <w:rFonts w:ascii="Arial" w:cs="Arial" w:eastAsia="Arial" w:hAnsi="Arial"/>
          <w:color w:val="1A252F"/>
          <w:sz w:val="22"/>
          <w:szCs w:val="22"/>
        </w:rPr>
        <w:t xml:space="preserve">Messages that pass the edge filter but exhibit ambiguous risk signals — characteristic of sophisticated, contextually aware social engineering — are routed to the semantic classifier. The classifier receives a structured prompt containing:</w:t>
      </w:r>
    </w:p>
    <w:p>
      <w:pPr>
        <w:pStyle w:val="ListParagraph"/>
        <w:numPr>
          <w:ilvl w:val="0"/>
          <w:numId w:val="2"/>
        </w:numPr>
        <w:spacing w:after="60" w:before="40"/>
      </w:pPr>
      <w:r>
        <w:rPr>
          <w:rFonts w:ascii="Arial" w:cs="Arial" w:eastAsia="Arial" w:hAnsi="Arial"/>
          <w:b w:val="false"/>
          <w:bCs w:val="false"/>
          <w:color w:val="1A252F"/>
          <w:sz w:val="22"/>
          <w:szCs w:val="22"/>
        </w:rPr>
        <w:t xml:space="preserve">The incoming message text, wrapped in explicit untrusted-input boundary markers.</w:t>
      </w:r>
    </w:p>
    <w:p>
      <w:pPr>
        <w:pStyle w:val="ListParagraph"/>
        <w:numPr>
          <w:ilvl w:val="0"/>
          <w:numId w:val="2"/>
        </w:numPr>
        <w:spacing w:after="60" w:before="40"/>
      </w:pPr>
      <w:r>
        <w:rPr>
          <w:rFonts w:ascii="Arial" w:cs="Arial" w:eastAsia="Arial" w:hAnsi="Arial"/>
          <w:b w:val="false"/>
          <w:bCs w:val="false"/>
          <w:color w:val="1A252F"/>
          <w:sz w:val="22"/>
          <w:szCs w:val="22"/>
        </w:rPr>
        <w:t xml:space="preserve">The sender's identifier and their status in the approved contacts registry (known, unknown, or partially trusted).</w:t>
      </w:r>
    </w:p>
    <w:p>
      <w:pPr>
        <w:pStyle w:val="ListParagraph"/>
        <w:numPr>
          <w:ilvl w:val="0"/>
          <w:numId w:val="2"/>
        </w:numPr>
        <w:spacing w:after="60" w:before="40"/>
      </w:pPr>
      <w:r>
        <w:rPr>
          <w:rFonts w:ascii="Arial" w:cs="Arial" w:eastAsia="Arial" w:hAnsi="Arial"/>
          <w:b w:val="false"/>
          <w:bCs w:val="false"/>
          <w:color w:val="1A252F"/>
          <w:sz w:val="22"/>
          <w:szCs w:val="22"/>
        </w:rPr>
        <w:t xml:space="preserve">The last three turns of the conversation with this sender, providing context for detecting gradual trust-building patterns.</w:t>
      </w:r>
    </w:p>
    <w:p>
      <w:pPr>
        <w:pStyle w:val="ListParagraph"/>
        <w:numPr>
          <w:ilvl w:val="0"/>
          <w:numId w:val="2"/>
        </w:numPr>
        <w:spacing w:after="60" w:before="40"/>
      </w:pPr>
      <w:r>
        <w:rPr>
          <w:rFonts w:ascii="Arial" w:cs="Arial" w:eastAsia="Arial" w:hAnsi="Arial"/>
          <w:b w:val="false"/>
          <w:bCs w:val="false"/>
          <w:color w:val="1A252F"/>
          <w:sz w:val="22"/>
          <w:szCs w:val="22"/>
        </w:rPr>
        <w:t xml:space="preserve">A structured output schema (enforced by PydanticAI) requiring the classifier to return a threat score (0.0–1.0), a threat category from a fixed taxonomy, and a plain-language explanation of the detected risk in the user's primary language.</w:t>
      </w:r>
    </w:p>
    <w:p>
      <w:pPr>
        <w:spacing w:after="0" w:before="80"/>
      </w:pPr>
    </w:p>
    <w:p>
      <w:pPr>
        <w:pStyle w:val="Heading3"/>
        <w:spacing w:after="80" w:before="200"/>
      </w:pPr>
      <w:r>
        <w:rPr>
          <w:rFonts w:ascii="Arial" w:cs="Arial" w:eastAsia="Arial" w:hAnsi="Arial"/>
          <w:b/>
          <w:bCs/>
          <w:color w:val="1B4F72"/>
          <w:sz w:val="22"/>
          <w:szCs w:val="22"/>
        </w:rPr>
        <w:t xml:space="preserve">Explainable Alerts via LIME</w:t>
      </w:r>
    </w:p>
    <w:p>
      <w:pPr>
        <w:spacing w:after="100" w:before="60"/>
      </w:pPr>
      <w:r>
        <w:rPr>
          <w:rFonts w:ascii="Arial" w:cs="Arial" w:eastAsia="Arial" w:hAnsi="Arial"/>
          <w:color w:val="1A252F"/>
          <w:sz w:val="22"/>
          <w:szCs w:val="22"/>
        </w:rPr>
        <w:t xml:space="preserve">A core requirement for the caregiver dashboard is that scam alerts must be actionable and comprehensible to a non-technical caregiver. A classifier that returns 'threat score: 0.87' with no further explanation is not useful. The architecture integrates LIME (Local Interpretable Model-Agnostic Explanations) to generate feature-level attribution for each classification decision.</w:t>
      </w:r>
    </w:p>
    <w:p>
      <w:pPr>
        <w:spacing w:after="0" w:before="60"/>
      </w:pPr>
    </w:p>
    <w:p>
      <w:pPr>
        <w:spacing w:after="100" w:before="60"/>
      </w:pPr>
      <w:r>
        <w:rPr>
          <w:rFonts w:ascii="Arial" w:cs="Arial" w:eastAsia="Arial" w:hAnsi="Arial"/>
          <w:color w:val="1A252F"/>
          <w:sz w:val="22"/>
          <w:szCs w:val="22"/>
        </w:rPr>
        <w:t xml:space="preserve">The LIME attribution output identifies the specific phrases, structural patterns, and contextual signals that drove the classification, and these are translated into a plain-language caregiver alert: 'A message from an unknown number was blocked. It claimed to be from Rajan and asked Meena to send ₹5,000 urgently. Messages using urgent money requests from unverified contacts are a common fraud pattern.' The caregiver can then approve the message (which releases it from quarantine) or confirm the block, which permanently adds the sender pattern to the local edge filter corpus.</w:t>
      </w:r>
    </w:p>
    <w:p>
      <w:pPr>
        <w:spacing w:after="0" w:before="120"/>
      </w:pPr>
    </w:p>
    <w:p>
      <w:pPr>
        <w:pStyle w:val="Heading2"/>
        <w:spacing w:after="120" w:before="280"/>
      </w:pPr>
      <w:r>
        <w:rPr>
          <w:rFonts w:ascii="Arial" w:cs="Arial" w:eastAsia="Arial" w:hAnsi="Arial"/>
          <w:b/>
          <w:bCs/>
          <w:color w:val="2E86C1"/>
          <w:sz w:val="26"/>
          <w:szCs w:val="26"/>
        </w:rPr>
        <w:t xml:space="preserve">5.4 Prompt Injection Prevention: System Prompt Pinning</w:t>
      </w:r>
    </w:p>
    <w:p>
      <w:pPr>
        <w:spacing w:after="100" w:before="60"/>
      </w:pPr>
      <w:r>
        <w:rPr>
          <w:rFonts w:ascii="Arial" w:cs="Arial" w:eastAsia="Arial" w:hAnsi="Arial"/>
          <w:color w:val="1A252F"/>
          <w:sz w:val="22"/>
          <w:szCs w:val="22"/>
        </w:rPr>
        <w:t xml:space="preserve">A sophisticated adversary who knows the system is using an LLM may attempt to embed hidden instructions within legitimate-looking forwarded content — a newspaper article, a recipe, a government notification — that override the agent's safety behaviours. This attack class, known as indirect prompt injection, is particularly difficult to detect because the malicious instruction is not in the primary message but in the content the message references.</w:t>
      </w:r>
    </w:p>
    <w:p>
      <w:pPr>
        <w:spacing w:after="0" w:before="60"/>
      </w:pPr>
    </w:p>
    <w:p>
      <w:pPr>
        <w:spacing w:after="100" w:before="60"/>
      </w:pPr>
      <w:r>
        <w:rPr>
          <w:rFonts w:ascii="Arial" w:cs="Arial" w:eastAsia="Arial" w:hAnsi="Arial"/>
          <w:color w:val="1A252F"/>
          <w:sz w:val="22"/>
          <w:szCs w:val="22"/>
        </w:rPr>
        <w:t xml:space="preserve">The architecture enforces two complementary mitigations:</w:t>
      </w:r>
    </w:p>
    <w:p>
      <w:pPr>
        <w:pStyle w:val="ListParagraph"/>
        <w:numPr>
          <w:ilvl w:val="0"/>
          <w:numId w:val="2"/>
        </w:numPr>
        <w:spacing w:after="60" w:before="40"/>
      </w:pPr>
      <w:r>
        <w:rPr>
          <w:rFonts w:ascii="Arial" w:cs="Arial" w:eastAsia="Arial" w:hAnsi="Arial"/>
          <w:b w:val="false"/>
          <w:bCs w:val="false"/>
          <w:color w:val="1A252F"/>
          <w:sz w:val="22"/>
          <w:szCs w:val="22"/>
        </w:rPr>
        <w:t xml:space="preserve">System Prompt Pinning: The SOUL.md behavioral boundaries are injected at the system-role level of every inference call with an explicit instruction that content appearing in user-turn messages and tool-result blocks is untrusted data to be processed, never instructions to be followed. This is a model-level mitigation that leverages Claude Sonnet 4.6's industry-leading prompt injection resistance.</w:t>
      </w:r>
    </w:p>
    <w:p>
      <w:pPr>
        <w:pStyle w:val="ListParagraph"/>
        <w:numPr>
          <w:ilvl w:val="0"/>
          <w:numId w:val="2"/>
        </w:numPr>
        <w:spacing w:after="60" w:before="40"/>
      </w:pPr>
      <w:r>
        <w:rPr>
          <w:rFonts w:ascii="Arial" w:cs="Arial" w:eastAsia="Arial" w:hAnsi="Arial"/>
          <w:b w:val="false"/>
          <w:bCs w:val="false"/>
          <w:color w:val="1A252F"/>
          <w:sz w:val="22"/>
          <w:szCs w:val="22"/>
        </w:rPr>
        <w:t xml:space="preserve">Content Boundary Marking: All externally sourced content — forwarded messages, web page text retrieved via search, document extracts — is wrapped in XML-style boundary tags before injection into the context window. The system prompt instructs the model that content between these tags is to be treated as data regardless of imperative language it may contain. Output validation checks all agent responses for anomalous patterns such as phone numbers not in the approved contacts list, financial account strings, or instructions to download software.</w:t>
      </w:r>
    </w:p>
    <w:p>
      <w:r>
        <w:br w:type="page"/>
      </w:r>
    </w:p>
    <w:p>
      <w:pPr>
        <w:pStyle w:val="Heading1"/>
        <w:spacing w:after="160" w:before="360"/>
      </w:pPr>
      <w:r>
        <w:rPr>
          <w:rFonts w:ascii="Arial" w:cs="Arial" w:eastAsia="Arial" w:hAnsi="Arial"/>
          <w:b/>
          <w:bCs/>
          <w:color w:val="1B4F72"/>
          <w:sz w:val="32"/>
          <w:szCs w:val="32"/>
        </w:rPr>
        <w:t xml:space="preserve">6. Healthcare Integration: ABDM, FHIR, and DPDP Compliance</w:t>
      </w:r>
    </w:p>
    <w:p>
      <w:pPr>
        <w:shd w:fill="F5EEF8" w:val="clear"/>
        <w:spacing w:after="100" w:before="100"/>
        <w:ind w:left="240" w:right="240"/>
      </w:pPr>
      <w:r>
        <w:rPr>
          <w:rFonts w:ascii="Arial" w:cs="Arial" w:eastAsia="Arial" w:hAnsi="Arial"/>
          <w:b/>
          <w:bCs/>
          <w:i/>
          <w:iCs/>
          <w:color w:val="6C3483"/>
          <w:sz w:val="21"/>
          <w:szCs w:val="21"/>
        </w:rPr>
        <w:t xml:space="preserve">Cross-Reference (V1):  </w:t>
      </w:r>
      <w:r>
        <w:rPr>
          <w:rFonts w:ascii="Arial" w:cs="Arial" w:eastAsia="Arial" w:hAnsi="Arial"/>
          <w:i/>
          <w:iCs/>
          <w:color w:val="6C3483"/>
          <w:sz w:val="21"/>
          <w:szCs w:val="21"/>
        </w:rPr>
        <w:t xml:space="preserve">V1 Section 5.3 established the DPDP Act and GDPR compliance requirements at a high level. V1 Section 9.1 flagged the Healthcare API Compliance Proxy as a Phase 2 R&amp;D priority estimated at 8-10 weeks. This section provides the implementation architecture required to begin Phase 2 healthcare integration design in parallel with Phase 1 delivery.</w:t>
      </w:r>
    </w:p>
    <w:p>
      <w:pPr>
        <w:spacing w:after="0" w:before="80"/>
      </w:pPr>
    </w:p>
    <w:p>
      <w:pPr>
        <w:spacing w:after="100" w:before="60"/>
      </w:pPr>
      <w:r>
        <w:rPr>
          <w:rFonts w:ascii="Arial" w:cs="Arial" w:eastAsia="Arial" w:hAnsi="Arial"/>
          <w:color w:val="1A252F"/>
          <w:sz w:val="22"/>
          <w:szCs w:val="22"/>
        </w:rPr>
        <w:t xml:space="preserve">The Phase 2 Healthcare Provider role requires the agent to function as a regulated health information system within India's digital health infrastructure. This is not a standard API integration — it requires compliance with the Ayushman Bharat Digital Mission (ABDM) framework, which mandates specific consent architectures, data exchange formats, and identity verification protocols that differ fundamentally from general-purpose API design patterns.</w:t>
      </w:r>
    </w:p>
    <w:p>
      <w:pPr>
        <w:spacing w:after="0" w:before="80"/>
      </w:pPr>
    </w:p>
    <w:p>
      <w:pPr>
        <w:pStyle w:val="Heading2"/>
        <w:spacing w:after="120" w:before="280"/>
      </w:pPr>
      <w:r>
        <w:rPr>
          <w:rFonts w:ascii="Arial" w:cs="Arial" w:eastAsia="Arial" w:hAnsi="Arial"/>
          <w:b/>
          <w:bCs/>
          <w:color w:val="2E86C1"/>
          <w:sz w:val="26"/>
          <w:szCs w:val="26"/>
        </w:rPr>
        <w:t xml:space="preserve">6.1 The ABDM Integration Model</w:t>
      </w:r>
    </w:p>
    <w:p>
      <w:pPr>
        <w:spacing w:after="100" w:before="60"/>
      </w:pPr>
      <w:r>
        <w:rPr>
          <w:rFonts w:ascii="Arial" w:cs="Arial" w:eastAsia="Arial" w:hAnsi="Arial"/>
          <w:color w:val="1A252F"/>
          <w:sz w:val="22"/>
          <w:szCs w:val="22"/>
        </w:rPr>
        <w:t xml:space="preserve">Under the ABDM framework, health information exchange operates between three defined roles. Understanding these roles is prerequisite to understanding how the AI agent fits into the architecture: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ABDM Role</w:t>
            </w:r>
          </w:p>
        </w:tc>
        <w:tc>
          <w:tcPr>
            <w:tcW w:type="dxa" w:w="35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c>
          <w:tcPr>
            <w:tcW w:type="dxa" w:w="386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Our System's Position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Health Information Provider (HIP)</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A regulated entity — hospital, clinic, diagnostic lab — that holds the patient's clinical records.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Not our role. HIPs are the institutions already enrolled in ABDM (Apollo, AIIMS, state health departments, etc.).</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Health Information User (HIU)</w:t>
            </w:r>
          </w:p>
        </w:tc>
        <w:tc>
          <w:tcPr>
            <w:tcW w:type="dxa" w:w="3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A regulated entity that requests access to a patient's health records from HIPs for a specific, consent-bound purpose.</w:t>
            </w:r>
          </w:p>
        </w:tc>
        <w:tc>
          <w:tcPr>
            <w:tcW w:type="dxa" w:w="386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tcPr>
          <w:p>
            <w:r>
              <w:rPr>
                <w:rFonts w:ascii="Arial" w:cs="Arial" w:eastAsia="Arial" w:hAnsi="Arial"/>
                <w:b/>
                <w:bCs/>
                <w:color w:val="2E86C1"/>
                <w:sz w:val="20"/>
                <w:szCs w:val="20"/>
              </w:rPr>
              <w:t xml:space="preserve">Our system operates as an HIU on behalf of the Healthcare Provider role user. The AI agent requests and processes clinical summaries, not raw records.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Health Locker</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A consent manager that mediates data access between HIPs and HIUs, enforcing patient-granted permissions.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The patient (elder user) grants specific, time-limited, purpose-bound consent through the health locker. Our system cannot access any health record without a valid, active consent artefact.</w:t>
            </w:r>
          </w:p>
        </w:tc>
      </w:tr>
    </w:tbl>
    <w:p>
      <w:pPr>
        <w:spacing w:after="0" w:before="120"/>
      </w:pPr>
    </w:p>
    <w:p>
      <w:pPr>
        <w:pStyle w:val="Heading2"/>
        <w:spacing w:after="120" w:before="280"/>
      </w:pPr>
      <w:r>
        <w:rPr>
          <w:rFonts w:ascii="Arial" w:cs="Arial" w:eastAsia="Arial" w:hAnsi="Arial"/>
          <w:b/>
          <w:bCs/>
          <w:color w:val="2E86C1"/>
          <w:sz w:val="26"/>
          <w:szCs w:val="26"/>
        </w:rPr>
        <w:t xml:space="preserve">6.2 The Compliance Proxy Architecture</w:t>
      </w:r>
    </w:p>
    <w:p>
      <w:pPr>
        <w:spacing w:after="100" w:before="60"/>
      </w:pPr>
      <w:r>
        <w:rPr>
          <w:rFonts w:ascii="Arial" w:cs="Arial" w:eastAsia="Arial" w:hAnsi="Arial"/>
          <w:color w:val="1A252F"/>
          <w:sz w:val="22"/>
          <w:szCs w:val="22"/>
        </w:rPr>
        <w:t xml:space="preserve">The AI agent does not interact directly with ABDM APIs or FHIR payloads. Direct LLM interaction with raw FHIR JSON introduces severe risks: hallucination of clinical values, misinterpretation of coded fields, and exposure of the model to broader internet endpoints. A dedicated compliance proxy mediates all health data exchange:</w:t>
      </w:r>
    </w:p>
    <w:p>
      <w:pPr>
        <w:spacing w:after="0" w:before="60"/>
      </w:pPr>
    </w:p>
    <w:p>
      <w:pPr>
        <w:pStyle w:val="ListParagraph"/>
        <w:numPr>
          <w:ilvl w:val="0"/>
          <w:numId w:val="3"/>
        </w:numPr>
        <w:spacing w:after="60" w:before="40"/>
      </w:pPr>
      <w:r>
        <w:rPr>
          <w:rFonts w:ascii="Arial" w:cs="Arial" w:eastAsia="Arial" w:hAnsi="Arial"/>
          <w:color w:val="1A252F"/>
          <w:sz w:val="22"/>
          <w:szCs w:val="22"/>
        </w:rPr>
        <w:t xml:space="preserve">The Healthcare Provider user initiates a health context request via the caregiver dashboard for a specific elder user.</w:t>
      </w:r>
    </w:p>
    <w:p>
      <w:pPr>
        <w:pStyle w:val="ListParagraph"/>
        <w:numPr>
          <w:ilvl w:val="0"/>
          <w:numId w:val="3"/>
        </w:numPr>
        <w:spacing w:after="60" w:before="40"/>
      </w:pPr>
      <w:r>
        <w:rPr>
          <w:rFonts w:ascii="Arial" w:cs="Arial" w:eastAsia="Arial" w:hAnsi="Arial"/>
          <w:color w:val="1A252F"/>
          <w:sz w:val="22"/>
          <w:szCs w:val="22"/>
        </w:rPr>
        <w:t xml:space="preserve">The compliance proxy initiates the ABDM consent handshake, presenting the elder user with a plain-language consent notification in their preferred language: 'Dr. Sharma is asking to see your recent blood test reports. Do you agree?'</w:t>
      </w:r>
    </w:p>
    <w:p>
      <w:pPr>
        <w:pStyle w:val="ListParagraph"/>
        <w:numPr>
          <w:ilvl w:val="0"/>
          <w:numId w:val="3"/>
        </w:numPr>
        <w:spacing w:after="60" w:before="40"/>
      </w:pPr>
      <w:r>
        <w:rPr>
          <w:rFonts w:ascii="Arial" w:cs="Arial" w:eastAsia="Arial" w:hAnsi="Arial"/>
          <w:color w:val="1A252F"/>
          <w:sz w:val="22"/>
          <w:szCs w:val="22"/>
        </w:rPr>
        <w:t xml:space="preserve">On elder user confirmation (voice or tap), the compliance proxy submits the consent artefact to the ABDM Health Locker and awaits approval.</w:t>
      </w:r>
    </w:p>
    <w:p>
      <w:pPr>
        <w:pStyle w:val="ListParagraph"/>
        <w:numPr>
          <w:ilvl w:val="0"/>
          <w:numId w:val="3"/>
        </w:numPr>
        <w:spacing w:after="60" w:before="40"/>
      </w:pPr>
      <w:r>
        <w:rPr>
          <w:rFonts w:ascii="Arial" w:cs="Arial" w:eastAsia="Arial" w:hAnsi="Arial"/>
          <w:color w:val="1A252F"/>
          <w:sz w:val="22"/>
          <w:szCs w:val="22"/>
        </w:rPr>
        <w:t xml:space="preserve">The Health Locker routes the approved request to the relevant HIP (e.g., the diagnostic lab that holds the blood test report).</w:t>
      </w:r>
    </w:p>
    <w:p>
      <w:pPr>
        <w:pStyle w:val="ListParagraph"/>
        <w:numPr>
          <w:ilvl w:val="0"/>
          <w:numId w:val="3"/>
        </w:numPr>
        <w:spacing w:after="60" w:before="40"/>
      </w:pPr>
      <w:r>
        <w:rPr>
          <w:rFonts w:ascii="Arial" w:cs="Arial" w:eastAsia="Arial" w:hAnsi="Arial"/>
          <w:color w:val="1A252F"/>
          <w:sz w:val="22"/>
          <w:szCs w:val="22"/>
        </w:rPr>
        <w:t xml:space="preserve">The HIP returns a FHIR-format payload. The compliance proxy validates the FHIR schema, extracts the clinically relevant fields, and translates them into a structured narrative context block.</w:t>
      </w:r>
    </w:p>
    <w:p>
      <w:pPr>
        <w:pStyle w:val="ListParagraph"/>
        <w:numPr>
          <w:ilvl w:val="0"/>
          <w:numId w:val="3"/>
        </w:numPr>
        <w:spacing w:after="60" w:before="40"/>
      </w:pPr>
      <w:r>
        <w:rPr>
          <w:rFonts w:ascii="Arial" w:cs="Arial" w:eastAsia="Arial" w:hAnsi="Arial"/>
          <w:color w:val="1A252F"/>
          <w:sz w:val="22"/>
          <w:szCs w:val="22"/>
        </w:rPr>
        <w:t xml:space="preserve">The narrative block — not the raw FHIR JSON — is injected into the LLM context window via a deterministic tool call, clearly bounded as health data from a verified source.</w:t>
      </w:r>
    </w:p>
    <w:p>
      <w:pPr>
        <w:pStyle w:val="ListParagraph"/>
        <w:numPr>
          <w:ilvl w:val="0"/>
          <w:numId w:val="3"/>
        </w:numPr>
        <w:spacing w:after="60" w:before="40"/>
      </w:pPr>
      <w:r>
        <w:rPr>
          <w:rFonts w:ascii="Arial" w:cs="Arial" w:eastAsia="Arial" w:hAnsi="Arial"/>
          <w:color w:val="1A252F"/>
          <w:sz w:val="22"/>
          <w:szCs w:val="22"/>
        </w:rPr>
        <w:t xml:space="preserve">The raw FHIR payload is stored encrypted in the health data partition. The LLM context retains only the narrative summary for the duration of the session and is scrubbed on session close.</w:t>
      </w:r>
    </w:p>
    <w:p>
      <w:pPr>
        <w:spacing w:after="0" w:before="80"/>
      </w:pPr>
    </w:p>
    <w:p>
      <w:pPr>
        <w:shd w:fill="FADBD8" w:val="clear"/>
        <w:spacing w:after="140" w:before="140"/>
        <w:ind w:left="240" w:right="240"/>
      </w:pPr>
      <w:r>
        <w:rPr>
          <w:rFonts w:ascii="Arial" w:cs="Arial" w:eastAsia="Arial" w:hAnsi="Arial"/>
          <w:b/>
          <w:bCs/>
          <w:color w:val="922B21"/>
          <w:sz w:val="22"/>
          <w:szCs w:val="22"/>
        </w:rPr>
        <w:t xml:space="preserve">Why the LLM Never Sees Raw FHIR:  </w:t>
      </w:r>
      <w:r>
        <w:rPr>
          <w:rFonts w:ascii="Arial" w:cs="Arial" w:eastAsia="Arial" w:hAnsi="Arial"/>
          <w:color w:val="1A252F"/>
          <w:sz w:val="22"/>
          <w:szCs w:val="22"/>
        </w:rPr>
        <w:t xml:space="preserve">FHIR payloads use SNOMED CT and LOINC coded identifiers (e.g., '8867-4' for heart rate, '718-7' for haemoglobin). An LLM interpreting a raw FHIR payload without a validated SNOMED decoder introduces a hallucination risk for clinical values that is categorically unacceptable. The compliance proxy is the FHIR decoder; the LLM receives only validated, human-readable narratives.</w:t>
      </w:r>
    </w:p>
    <w:p>
      <w:pPr>
        <w:spacing w:after="0" w:before="120"/>
      </w:pPr>
    </w:p>
    <w:p>
      <w:pPr>
        <w:pStyle w:val="Heading2"/>
        <w:spacing w:after="120" w:before="280"/>
      </w:pPr>
      <w:r>
        <w:rPr>
          <w:rFonts w:ascii="Arial" w:cs="Arial" w:eastAsia="Arial" w:hAnsi="Arial"/>
          <w:b/>
          <w:bCs/>
          <w:color w:val="2E86C1"/>
          <w:sz w:val="26"/>
          <w:szCs w:val="26"/>
        </w:rPr>
        <w:t xml:space="preserve">6.3 Clinical Safety Benchmarking via BODH</w:t>
      </w:r>
    </w:p>
    <w:p>
      <w:pPr>
        <w:spacing w:after="100" w:before="60"/>
      </w:pPr>
      <w:r>
        <w:rPr>
          <w:rFonts w:ascii="Arial" w:cs="Arial" w:eastAsia="Arial" w:hAnsi="Arial"/>
          <w:color w:val="1A252F"/>
          <w:sz w:val="22"/>
          <w:szCs w:val="22"/>
        </w:rPr>
        <w:t xml:space="preserve">Before any health-reasoning capability is made available to end users, the agent's clinical pathways must be validated against India's Benchmarking Open Data Platform for Health AI (BODH). BODH provides the framework for testing clinical AI models against real-world Indian health datasets and is the accepted standard for regulatory validation of health AI in the Indian context.</w:t>
      </w:r>
    </w:p>
    <w:p>
      <w:pPr>
        <w:spacing w:after="0" w:before="60"/>
      </w:pPr>
    </w:p>
    <w:p>
      <w:pPr>
        <w:spacing w:after="100" w:before="60"/>
      </w:pPr>
      <w:r>
        <w:rPr>
          <w:rFonts w:ascii="Arial" w:cs="Arial" w:eastAsia="Arial" w:hAnsi="Arial"/>
          <w:color w:val="1A252F"/>
          <w:sz w:val="22"/>
          <w:szCs w:val="22"/>
        </w:rPr>
        <w:t xml:space="preserve">The BODH evaluation must cover four dimensions before Phase 2 healthcare features are released:</w:t>
      </w:r>
    </w:p>
    <w:p>
      <w:pPr>
        <w:pStyle w:val="ListParagraph"/>
        <w:numPr>
          <w:ilvl w:val="0"/>
          <w:numId w:val="2"/>
        </w:numPr>
        <w:spacing w:after="60" w:before="40"/>
      </w:pPr>
      <w:r>
        <w:rPr>
          <w:rFonts w:ascii="Arial" w:cs="Arial" w:eastAsia="Arial" w:hAnsi="Arial"/>
          <w:b w:val="false"/>
          <w:bCs w:val="false"/>
          <w:color w:val="1A252F"/>
          <w:sz w:val="22"/>
          <w:szCs w:val="22"/>
        </w:rPr>
        <w:t xml:space="preserve">Diagnostic Accuracy: The agent's health-context summaries and medication interaction alerts are tested against clinician-verified ground-truth datasets drawn from the BODH repository. Target: no safety-relevant omissions and no hallucinated clinical values.</w:t>
      </w:r>
    </w:p>
    <w:p>
      <w:pPr>
        <w:pStyle w:val="ListParagraph"/>
        <w:numPr>
          <w:ilvl w:val="0"/>
          <w:numId w:val="2"/>
        </w:numPr>
        <w:spacing w:after="60" w:before="40"/>
      </w:pPr>
      <w:r>
        <w:rPr>
          <w:rFonts w:ascii="Arial" w:cs="Arial" w:eastAsia="Arial" w:hAnsi="Arial"/>
          <w:b w:val="false"/>
          <w:bCs w:val="false"/>
          <w:color w:val="1A252F"/>
          <w:sz w:val="22"/>
          <w:szCs w:val="22"/>
        </w:rPr>
        <w:t xml:space="preserve">Algorithmic Fairness: Performance is disaggregated across demographic strata — age, gender, urban/rural, and state of origin — to confirm that the model does not provide lower-quality health information to specific population subgroups.</w:t>
      </w:r>
    </w:p>
    <w:p>
      <w:pPr>
        <w:pStyle w:val="ListParagraph"/>
        <w:numPr>
          <w:ilvl w:val="0"/>
          <w:numId w:val="2"/>
        </w:numPr>
        <w:spacing w:after="60" w:before="40"/>
      </w:pPr>
      <w:r>
        <w:rPr>
          <w:rFonts w:ascii="Arial" w:cs="Arial" w:eastAsia="Arial" w:hAnsi="Arial"/>
          <w:b w:val="false"/>
          <w:bCs w:val="false"/>
          <w:color w:val="1A252F"/>
          <w:sz w:val="22"/>
          <w:szCs w:val="22"/>
        </w:rPr>
        <w:t xml:space="preserve">Clinical Safety Matrix: Specific failure modes — hallucination of drug names, misstatement of dosage units, incorrect allergy flag omission — are tested against BODH's clinical safety test suite. Any failure in this matrix is a release blocker, not a known issue.</w:t>
      </w:r>
    </w:p>
    <w:p>
      <w:pPr>
        <w:pStyle w:val="ListParagraph"/>
        <w:numPr>
          <w:ilvl w:val="0"/>
          <w:numId w:val="2"/>
        </w:numPr>
        <w:spacing w:after="60" w:before="40"/>
      </w:pPr>
      <w:r>
        <w:rPr>
          <w:rFonts w:ascii="Arial" w:cs="Arial" w:eastAsia="Arial" w:hAnsi="Arial"/>
          <w:b w:val="false"/>
          <w:bCs w:val="false"/>
          <w:color w:val="1A252F"/>
          <w:sz w:val="22"/>
          <w:szCs w:val="22"/>
        </w:rPr>
        <w:t xml:space="preserve">Regional Language Clinical Accuracy: The combination of the readability post-processor and the BODH clinical accuracy tests must be run together. A simplification pass that alters the clinical meaning of a medication instruction is as dangerous as a hallucination.</w:t>
      </w:r>
    </w:p>
    <w:p>
      <w:pPr>
        <w:spacing w:after="0" w:before="120"/>
      </w:pPr>
    </w:p>
    <w:p>
      <w:pPr>
        <w:pStyle w:val="Heading2"/>
        <w:spacing w:after="120" w:before="280"/>
      </w:pPr>
      <w:r>
        <w:rPr>
          <w:rFonts w:ascii="Arial" w:cs="Arial" w:eastAsia="Arial" w:hAnsi="Arial"/>
          <w:b/>
          <w:bCs/>
          <w:color w:val="2E86C1"/>
          <w:sz w:val="26"/>
          <w:szCs w:val="26"/>
        </w:rPr>
        <w:t xml:space="preserve">6.4 DPDP Act 2023: Implementation Specifics</w:t>
      </w:r>
    </w:p>
    <w:p>
      <w:pPr>
        <w:shd w:fill="F5EEF8" w:val="clear"/>
        <w:spacing w:after="100" w:before="100"/>
        <w:ind w:left="240" w:right="240"/>
      </w:pPr>
      <w:r>
        <w:rPr>
          <w:rFonts w:ascii="Arial" w:cs="Arial" w:eastAsia="Arial" w:hAnsi="Arial"/>
          <w:b/>
          <w:bCs/>
          <w:i/>
          <w:iCs/>
          <w:color w:val="6C3483"/>
          <w:sz w:val="21"/>
          <w:szCs w:val="21"/>
        </w:rPr>
        <w:t xml:space="preserve">Cross-Reference (V1):  </w:t>
      </w:r>
      <w:r>
        <w:rPr>
          <w:rFonts w:ascii="Arial" w:cs="Arial" w:eastAsia="Arial" w:hAnsi="Arial"/>
          <w:i/>
          <w:iCs/>
          <w:color w:val="6C3483"/>
          <w:sz w:val="21"/>
          <w:szCs w:val="21"/>
        </w:rPr>
        <w:t xml:space="preserve">V1 Section 5.3 listed DPDP compliance as a design requirement. This section provides implementation-level detail for the three mechanisms that constitute DPDP compliance infrastructure.</w:t>
      </w:r>
    </w:p>
    <w:p>
      <w:pPr>
        <w:spacing w:after="0" w:before="80"/>
      </w:pPr>
    </w:p>
    <w:p>
      <w:pPr>
        <w:pStyle w:val="Heading3"/>
        <w:spacing w:after="80" w:before="200"/>
      </w:pPr>
      <w:r>
        <w:rPr>
          <w:rFonts w:ascii="Arial" w:cs="Arial" w:eastAsia="Arial" w:hAnsi="Arial"/>
          <w:b/>
          <w:bCs/>
          <w:color w:val="1B4F72"/>
          <w:sz w:val="22"/>
          <w:szCs w:val="22"/>
        </w:rPr>
        <w:t xml:space="preserve">Verifiable Consent Management</w:t>
      </w:r>
    </w:p>
    <w:p>
      <w:pPr>
        <w:spacing w:after="100" w:before="60"/>
      </w:pPr>
      <w:r>
        <w:rPr>
          <w:rFonts w:ascii="Arial" w:cs="Arial" w:eastAsia="Arial" w:hAnsi="Arial"/>
          <w:color w:val="1A252F"/>
          <w:sz w:val="22"/>
          <w:szCs w:val="22"/>
        </w:rPr>
        <w:t xml:space="preserve">The DPDP Act requires that consent be free, specific, informed, unconditional, and unambiguous. The onboarding flow generates a consent artefact for each distinct data processing category — general conversation, health context, financial context, caregiver visibility, external API access — stored as an immutable record in a dedicated consent ledger. Each artefact contains:</w:t>
      </w:r>
    </w:p>
    <w:p>
      <w:pPr>
        <w:pStyle w:val="ListParagraph"/>
        <w:numPr>
          <w:ilvl w:val="0"/>
          <w:numId w:val="2"/>
        </w:numPr>
        <w:spacing w:after="60" w:before="40"/>
      </w:pPr>
      <w:r>
        <w:rPr>
          <w:rFonts w:ascii="Arial" w:cs="Arial" w:eastAsia="Arial" w:hAnsi="Arial"/>
          <w:b w:val="false"/>
          <w:bCs w:val="false"/>
          <w:color w:val="1A252F"/>
          <w:sz w:val="22"/>
          <w:szCs w:val="22"/>
        </w:rPr>
        <w:t xml:space="preserve">A plain-language description of what data is processed, for what purpose, and for how long, rendered in the user's preferred language.</w:t>
      </w:r>
    </w:p>
    <w:p>
      <w:pPr>
        <w:pStyle w:val="ListParagraph"/>
        <w:numPr>
          <w:ilvl w:val="0"/>
          <w:numId w:val="2"/>
        </w:numPr>
        <w:spacing w:after="60" w:before="40"/>
      </w:pPr>
      <w:r>
        <w:rPr>
          <w:rFonts w:ascii="Arial" w:cs="Arial" w:eastAsia="Arial" w:hAnsi="Arial"/>
          <w:b w:val="false"/>
          <w:bCs w:val="false"/>
          <w:color w:val="1A252F"/>
          <w:sz w:val="22"/>
          <w:szCs w:val="22"/>
        </w:rPr>
        <w:t xml:space="preserve">A timestamp and cryptographic hash of the consent interaction (voice recording hash or tap event log).</w:t>
      </w:r>
    </w:p>
    <w:p>
      <w:pPr>
        <w:pStyle w:val="ListParagraph"/>
        <w:numPr>
          <w:ilvl w:val="0"/>
          <w:numId w:val="2"/>
        </w:numPr>
        <w:spacing w:after="60" w:before="40"/>
      </w:pPr>
      <w:r>
        <w:rPr>
          <w:rFonts w:ascii="Arial" w:cs="Arial" w:eastAsia="Arial" w:hAnsi="Arial"/>
          <w:b w:val="false"/>
          <w:bCs w:val="false"/>
          <w:color w:val="1A252F"/>
          <w:sz w:val="22"/>
          <w:szCs w:val="22"/>
        </w:rPr>
        <w:t xml:space="preserve">The identity of the data processor (our system) and any sub-processors (LLM API provider, ABDM health locker).</w:t>
      </w:r>
    </w:p>
    <w:p>
      <w:pPr>
        <w:pStyle w:val="ListParagraph"/>
        <w:numPr>
          <w:ilvl w:val="0"/>
          <w:numId w:val="2"/>
        </w:numPr>
        <w:spacing w:after="60" w:before="40"/>
      </w:pPr>
      <w:r>
        <w:rPr>
          <w:rFonts w:ascii="Arial" w:cs="Arial" w:eastAsia="Arial" w:hAnsi="Arial"/>
          <w:b w:val="false"/>
          <w:bCs w:val="false"/>
          <w:color w:val="1A252F"/>
          <w:sz w:val="22"/>
          <w:szCs w:val="22"/>
        </w:rPr>
        <w:t xml:space="preserve">An explicit withdrawal mechanism: the user or caregiver can withdraw any consent category at any time, which triggers an immediate data processing halt and a retention review workflow.</w:t>
      </w:r>
    </w:p>
    <w:p>
      <w:pPr>
        <w:spacing w:after="0" w:before="80"/>
      </w:pPr>
    </w:p>
    <w:p>
      <w:pPr>
        <w:pStyle w:val="Heading3"/>
        <w:spacing w:after="80" w:before="200"/>
      </w:pPr>
      <w:r>
        <w:rPr>
          <w:rFonts w:ascii="Arial" w:cs="Arial" w:eastAsia="Arial" w:hAnsi="Arial"/>
          <w:b/>
          <w:bCs/>
          <w:color w:val="1B4F72"/>
          <w:sz w:val="22"/>
          <w:szCs w:val="22"/>
        </w:rPr>
        <w:t xml:space="preserve">Data Minimisation at the Inference Boundary</w:t>
      </w:r>
    </w:p>
    <w:p>
      <w:pPr>
        <w:spacing w:after="100" w:before="60"/>
      </w:pPr>
      <w:r>
        <w:rPr>
          <w:rFonts w:ascii="Arial" w:cs="Arial" w:eastAsia="Arial" w:hAnsi="Arial"/>
          <w:color w:val="1A252F"/>
          <w:sz w:val="22"/>
          <w:szCs w:val="22"/>
        </w:rPr>
        <w:t xml:space="preserve">The structured context (Cold tier) contains the full profile of the elder user. However, only the fields necessary for the specific tool call in progress are injected into the LLM context. If the agent is setting a reminder, the context injection includes the user's name, preferred language, and approved contacts — not their medical history or financial profile. This is enforced at the Temporal activity function level through PydanticAI's typed context injection, not as an advisory guideline.</w:t>
      </w:r>
    </w:p>
    <w:p>
      <w:pPr>
        <w:spacing w:after="0" w:before="80"/>
      </w:pPr>
    </w:p>
    <w:p>
      <w:pPr>
        <w:pStyle w:val="Heading3"/>
        <w:spacing w:after="80" w:before="200"/>
      </w:pPr>
      <w:r>
        <w:rPr>
          <w:rFonts w:ascii="Arial" w:cs="Arial" w:eastAsia="Arial" w:hAnsi="Arial"/>
          <w:b/>
          <w:bCs/>
          <w:color w:val="1B4F72"/>
          <w:sz w:val="22"/>
          <w:szCs w:val="22"/>
        </w:rPr>
        <w:t xml:space="preserve">Right to Erasure: The Cascading Delete Workflow</w:t>
      </w:r>
    </w:p>
    <w:p>
      <w:pPr>
        <w:spacing w:after="100" w:before="60"/>
      </w:pPr>
      <w:r>
        <w:rPr>
          <w:rFonts w:ascii="Arial" w:cs="Arial" w:eastAsia="Arial" w:hAnsi="Arial"/>
          <w:color w:val="1A252F"/>
          <w:sz w:val="22"/>
          <w:szCs w:val="22"/>
        </w:rPr>
        <w:t xml:space="preserve">On receipt of an erasure request from the user or caregiver, a Temporal workflow orchestrates the following sequence across all storage layers within a 72-hour completion window:</w:t>
      </w:r>
    </w:p>
    <w:p>
      <w:pPr>
        <w:pStyle w:val="ListParagraph"/>
        <w:numPr>
          <w:ilvl w:val="0"/>
          <w:numId w:val="3"/>
        </w:numPr>
        <w:spacing w:after="60" w:before="40"/>
      </w:pPr>
      <w:r>
        <w:rPr>
          <w:rFonts w:ascii="Arial" w:cs="Arial" w:eastAsia="Arial" w:hAnsi="Arial"/>
          <w:color w:val="1A252F"/>
          <w:sz w:val="22"/>
          <w:szCs w:val="22"/>
        </w:rPr>
        <w:t xml:space="preserve">Vector database (Qdrant): All user-associated embedding vectors are identified by user UUID and permanently deleted. Tombstone records are written to confirm deletion without retaining content.</w:t>
      </w:r>
    </w:p>
    <w:p>
      <w:pPr>
        <w:pStyle w:val="ListParagraph"/>
        <w:numPr>
          <w:ilvl w:val="0"/>
          <w:numId w:val="3"/>
        </w:numPr>
        <w:spacing w:after="60" w:before="40"/>
      </w:pPr>
      <w:r>
        <w:rPr>
          <w:rFonts w:ascii="Arial" w:cs="Arial" w:eastAsia="Arial" w:hAnsi="Arial"/>
          <w:color w:val="1A252F"/>
          <w:sz w:val="22"/>
          <w:szCs w:val="22"/>
        </w:rPr>
        <w:t xml:space="preserve">Relational database (PostgreSQL): All rows in user-scoped tables are deleted. Health data partition is dropped entirely and re-created empty for the user's UUID scope.</w:t>
      </w:r>
    </w:p>
    <w:p>
      <w:pPr>
        <w:pStyle w:val="ListParagraph"/>
        <w:numPr>
          <w:ilvl w:val="0"/>
          <w:numId w:val="3"/>
        </w:numPr>
        <w:spacing w:after="60" w:before="40"/>
      </w:pPr>
      <w:r>
        <w:rPr>
          <w:rFonts w:ascii="Arial" w:cs="Arial" w:eastAsia="Arial" w:hAnsi="Arial"/>
          <w:color w:val="1A252F"/>
          <w:sz w:val="22"/>
          <w:szCs w:val="22"/>
        </w:rPr>
        <w:t xml:space="preserve">Device cache: A silent push notification triggers the mobile app to wipe its local conversation cache and contact registry.</w:t>
      </w:r>
    </w:p>
    <w:p>
      <w:pPr>
        <w:pStyle w:val="ListParagraph"/>
        <w:numPr>
          <w:ilvl w:val="0"/>
          <w:numId w:val="3"/>
        </w:numPr>
        <w:spacing w:after="60" w:before="40"/>
      </w:pPr>
      <w:r>
        <w:rPr>
          <w:rFonts w:ascii="Arial" w:cs="Arial" w:eastAsia="Arial" w:hAnsi="Arial"/>
          <w:color w:val="1A252F"/>
          <w:sz w:val="22"/>
          <w:szCs w:val="22"/>
        </w:rPr>
        <w:t xml:space="preserve">LLM API provider: A data deletion request is submitted via the Anthropic API's data management endpoint, confirming that no user interactions are retained beyond the provider's standard retention policy.</w:t>
      </w:r>
    </w:p>
    <w:p>
      <w:pPr>
        <w:pStyle w:val="ListParagraph"/>
        <w:numPr>
          <w:ilvl w:val="0"/>
          <w:numId w:val="3"/>
        </w:numPr>
        <w:spacing w:after="60" w:before="40"/>
      </w:pPr>
      <w:r>
        <w:rPr>
          <w:rFonts w:ascii="Arial" w:cs="Arial" w:eastAsia="Arial" w:hAnsi="Arial"/>
          <w:color w:val="1A252F"/>
          <w:sz w:val="22"/>
          <w:szCs w:val="22"/>
        </w:rPr>
        <w:t xml:space="preserve">Compliance certificate: The Temporal workflow generates a signed JSON certificate of deletion containing the timestamp, scope of deletion, and a cryptographic commitment to the erasure, stored in the compliance audit log (which is itself subject to a separate, legally required retention period).</w:t>
      </w:r>
    </w:p>
    <w:p>
      <w:r>
        <w:br w:type="page"/>
      </w:r>
    </w:p>
    <w:p>
      <w:pPr>
        <w:pStyle w:val="Heading1"/>
        <w:spacing w:after="160" w:before="360"/>
      </w:pPr>
      <w:r>
        <w:rPr>
          <w:rFonts w:ascii="Arial" w:cs="Arial" w:eastAsia="Arial" w:hAnsi="Arial"/>
          <w:b/>
          <w:bCs/>
          <w:color w:val="1B4F72"/>
          <w:sz w:val="32"/>
          <w:szCs w:val="32"/>
        </w:rPr>
        <w:t xml:space="preserve">7. Revised Cost Model with Full R&amp;D Stack</w:t>
      </w:r>
    </w:p>
    <w:p>
      <w:pPr>
        <w:shd w:fill="F5EEF8" w:val="clear"/>
        <w:spacing w:after="100" w:before="100"/>
        <w:ind w:left="240" w:right="240"/>
      </w:pPr>
      <w:r>
        <w:rPr>
          <w:rFonts w:ascii="Arial" w:cs="Arial" w:eastAsia="Arial" w:hAnsi="Arial"/>
          <w:b/>
          <w:bCs/>
          <w:i/>
          <w:iCs/>
          <w:color w:val="6C3483"/>
          <w:sz w:val="21"/>
          <w:szCs w:val="21"/>
        </w:rPr>
        <w:t xml:space="preserve">Cross-Reference (V1):  </w:t>
      </w:r>
      <w:r>
        <w:rPr>
          <w:rFonts w:ascii="Arial" w:cs="Arial" w:eastAsia="Arial" w:hAnsi="Arial"/>
          <w:i/>
          <w:iCs/>
          <w:color w:val="6C3483"/>
          <w:sz w:val="21"/>
          <w:szCs w:val="21"/>
        </w:rPr>
        <w:t xml:space="preserve">V1 Section 8.3 projected a monthly per-user cost of approximately USD 3.71 based on the three-tier memory architecture and Claude Sonnet/Haiku routing. This section revises that projection to incorporate the full R&amp;D stack: Temporal.io orchestration overhead, PydanticAI validation passes, IndicConformer on-device model distribution costs, LIME attribution processing, and BODH benchmarking infrastructure.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Cost Component</w:t>
            </w:r>
          </w:p>
        </w:tc>
        <w:tc>
          <w:tcPr>
            <w:tcW w:type="dxa" w:w="20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W w:type="dxa" w:w="20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Monthly Cost / User (USD)</w:t>
            </w:r>
          </w:p>
        </w:tc>
        <w:tc>
          <w:tcPr>
            <w:tcW w:type="dxa" w:w="276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Core conversational inference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Claude Sonnet 4.6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$3.60</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Unchanged from V1 estimate. 15 messages/day at blended context window.</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Scam detection — Layer 1a (edge)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On-device heuristic engine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$0.00</w:t>
            </w:r>
          </w:p>
        </w:tc>
        <w:tc>
          <w:tcPr>
            <w:tcW w:type="dxa" w:w="2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Zero inference cost. Dataset maintenance amortised across user base.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Scam detection — Layer 1b (semantic)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Claude Haiku 4.5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$0.08</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Estimated 40 messages/day classified at ~200 tokens each. Adds ~$0.02 to V1 estimate.</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Readability post-processing</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AI4Bharat Indic NLP Library (self-hosted)</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$0.04</w:t>
            </w:r>
          </w:p>
        </w:tc>
        <w:tc>
          <w:tcPr>
            <w:tcW w:type="dxa" w:w="2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Self-hosted morphological analyser; cost is compute, not API. Per-user share of inference server.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Simplification sub-agent (conditional)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Claude Haiku 4.5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$0.03</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Triggered only when cognitive load score exceeds threshold. Estimated 30% of responses.</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Temporal.io orchestration</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Temporal Cloud or self-hosted</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$0.12</w:t>
            </w:r>
          </w:p>
        </w:tc>
        <w:tc>
          <w:tcPr>
            <w:tcW w:type="dxa" w:w="2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Temporal Cloud pricing based on workflow actions. Estimated 200 workflow actions/user/month.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LIME attribution generation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Claude Haiku 4.5 (scam alerts only)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$0.01</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Generated only for quarantined messages. Estimated 5 scam events/user/month.</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Context summarisation</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Claude Haiku 4.5</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$0.02</w:t>
            </w:r>
          </w:p>
        </w:tc>
        <w:tc>
          <w:tcPr>
            <w:tcW w:type="dxa" w:w="2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Unchanged from V1.</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IndicConformer model distribution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App binary delta updates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$0.02</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Amortised model update cost per user per month via CDN.</w:t>
            </w:r>
          </w:p>
        </w:tc>
      </w:tr>
      <w:tr>
        <w:tc>
          <w:tcPr>
            <w:tcW w:type="dxa" w:w="2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1A252F"/>
                <w:sz w:val="20"/>
                <w:szCs w:val="20"/>
              </w:rPr>
              <w:t xml:space="preserve">Total per Elder User per month</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bCs/>
                <w:color w:val="1A252F"/>
                <w:sz w:val="20"/>
                <w:szCs w:val="20"/>
              </w:rPr>
              <w:t xml:space="preserve">Blended stack</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8449"/>
                <w:sz w:val="20"/>
                <w:szCs w:val="20"/>
              </w:rPr>
              <w:t xml:space="preserve">~$3.92</w:t>
            </w:r>
          </w:p>
        </w:tc>
        <w:tc>
          <w:tcPr>
            <w:tcW w:type="dxa" w:w="27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USD 0.21 increase over V1 estimate of $3.71. Within the $5 Phase 1 viability threshold.</w:t>
            </w:r>
          </w:p>
        </w:tc>
      </w:tr>
    </w:tbl>
    <w:p>
      <w:pPr>
        <w:spacing w:after="0" w:before="80"/>
      </w:pPr>
    </w:p>
    <w:p>
      <w:pPr>
        <w:shd w:fill="D5F5E3" w:val="clear"/>
        <w:spacing w:after="140" w:before="140"/>
        <w:ind w:left="240" w:right="240"/>
      </w:pPr>
      <w:r>
        <w:rPr>
          <w:rFonts w:ascii="Arial" w:cs="Arial" w:eastAsia="Arial" w:hAnsi="Arial"/>
          <w:b/>
          <w:bCs/>
          <w:color w:val="1E8449"/>
          <w:sz w:val="22"/>
          <w:szCs w:val="22"/>
        </w:rPr>
        <w:t xml:space="preserve">Viability Confirmation:  </w:t>
      </w:r>
      <w:r>
        <w:rPr>
          <w:rFonts w:ascii="Arial" w:cs="Arial" w:eastAsia="Arial" w:hAnsi="Arial"/>
          <w:color w:val="1A252F"/>
          <w:sz w:val="22"/>
          <w:szCs w:val="22"/>
        </w:rPr>
        <w:t xml:space="preserve">The full R&amp;D stack — including Temporal.io, PydanticAI, IndicConformer, LIME attribution, and the enhanced scam detection pipeline — adds only USD 0.21 per user per month over the V1 baseline estimate. The Phase 1 go/no-go gate cost ceiling of USD 5.00 per user per month remains comfortably achievable.</w:t>
      </w:r>
    </w:p>
    <w:p>
      <w:r>
        <w:br w:type="page"/>
      </w:r>
    </w:p>
    <w:p>
      <w:pPr>
        <w:pStyle w:val="Heading1"/>
        <w:spacing w:after="160" w:before="360"/>
      </w:pPr>
      <w:r>
        <w:rPr>
          <w:rFonts w:ascii="Arial" w:cs="Arial" w:eastAsia="Arial" w:hAnsi="Arial"/>
          <w:b/>
          <w:bCs/>
          <w:color w:val="1B4F72"/>
          <w:sz w:val="32"/>
          <w:szCs w:val="32"/>
        </w:rPr>
        <w:t xml:space="preserve">8. Consolidated Architecture Decision Log</w:t>
      </w:r>
    </w:p>
    <w:p>
      <w:pPr>
        <w:spacing w:after="100" w:before="60"/>
      </w:pPr>
      <w:r>
        <w:rPr>
          <w:rFonts w:ascii="Arial" w:cs="Arial" w:eastAsia="Arial" w:hAnsi="Arial"/>
          <w:color w:val="1A252F"/>
          <w:sz w:val="22"/>
          <w:szCs w:val="22"/>
        </w:rPr>
        <w:t xml:space="preserve">This section records all architecture decisions made or revised in this document, in a format suitable for engineering team reference. Decisions from V1 that are unchanged are not repeated here.</w:t>
      </w:r>
    </w:p>
    <w:p>
      <w:pPr>
        <w:spacing w:after="0" w:before="8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900"/>
        <w:gridCol w:w="2300"/>
        <w:gridCol w:w="2800"/>
      </w:tblGrid>
      <w:tr>
        <w:trPr>
          <w:tblHeader/>
        </w:trPr>
        <w:tc>
          <w:tcPr>
            <w:tcW w:type="dxa" w:w="7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Decision ID</w:t>
            </w:r>
          </w:p>
        </w:tc>
        <w:tc>
          <w:tcPr>
            <w:tcW w:type="dxa" w:w="16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19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V1 Decision</w:t>
            </w:r>
          </w:p>
        </w:tc>
        <w:tc>
          <w:tcPr>
            <w:tcW w:type="dxa" w:w="23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V2 Revision</w:t>
            </w:r>
          </w:p>
        </w:tc>
        <w:tc>
          <w:tcPr>
            <w:tcW w:type="dxa" w:w="28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Rationale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AD-07</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Async workflow engine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Lobster engine (OpenClaw, port to Rust sidecar)</w:t>
            </w:r>
          </w:p>
        </w:tc>
        <w:tc>
          <w:tcPr>
            <w:tcW w:type="dxa" w:w="23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tcPr>
          <w:p>
            <w:r>
              <w:rPr>
                <w:rFonts w:ascii="Arial" w:cs="Arial" w:eastAsia="Arial" w:hAnsi="Arial"/>
                <w:b w:val="false"/>
                <w:bCs w:val="false"/>
                <w:color w:val="2E86C1"/>
                <w:sz w:val="20"/>
                <w:szCs w:val="20"/>
              </w:rPr>
              <w:t xml:space="preserve">Temporal.io as primary durable orchestrator. Lobster retained for synchronous activity functions within Temporal.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Temporal provides crash-tolerant, multi-day approval gate support that Lobster's resumeToken model cannot guarantee across process restarts.</w:t>
            </w:r>
          </w:p>
        </w:tc>
      </w:tr>
      <w:tr>
        <w:tc>
          <w:tcPr>
            <w:tcW w:type="dxa" w:w="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AD-08</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Type-safe execution</w:t>
            </w:r>
          </w:p>
        </w:tc>
        <w:tc>
          <w:tcPr>
            <w:tcW w:type="dxa" w:w="1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Not specified in V1.</w:t>
            </w:r>
          </w:p>
        </w:tc>
        <w:tc>
          <w:tcPr>
            <w:tcW w:type="dxa" w:w="23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tcPr>
          <w:p>
            <w:r>
              <w:rPr>
                <w:rFonts w:ascii="Arial" w:cs="Arial" w:eastAsia="Arial" w:hAnsi="Arial"/>
                <w:b w:val="false"/>
                <w:bCs w:val="false"/>
                <w:color w:val="2E86C1"/>
                <w:sz w:val="20"/>
                <w:szCs w:val="20"/>
              </w:rPr>
              <w:t xml:space="preserve">PydanticAI as the type-safe execution firewall for all tool-call outputs.</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Prevents hallucinated LLM parameters from reaching external APIs. Integrates with KMS credential proxy via typed context injection.</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AD-09</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On-device STT model</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Whisper Tiny (English-optimised)</w:t>
            </w:r>
          </w:p>
        </w:tc>
        <w:tc>
          <w:tcPr>
            <w:tcW w:type="dxa" w:w="23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val="false"/>
                <w:bCs w:val="false"/>
                <w:color w:val="922B21"/>
                <w:sz w:val="20"/>
                <w:szCs w:val="20"/>
              </w:rPr>
              <w:t xml:space="preserve">IndicConformer (CTC-RNNT hybrid, AI4Bharat). Faster-Whisper retained as English fallback.</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Whisper's autoregressive architecture produces unacceptable latency and degrades severely on regional Indic dialects. IndicConformer provides sub-100ms streaming for all 22 scheduled languages.</w:t>
            </w:r>
          </w:p>
        </w:tc>
      </w:tr>
      <w:tr>
        <w:tc>
          <w:tcPr>
            <w:tcW w:type="dxa" w:w="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AD-10</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Outbound TTS</w:t>
            </w:r>
          </w:p>
        </w:tc>
        <w:tc>
          <w:tcPr>
            <w:tcW w:type="dxa" w:w="1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Cloud TTS (generic, unspecified)</w:t>
            </w:r>
          </w:p>
        </w:tc>
        <w:tc>
          <w:tcPr>
            <w:tcW w:type="dxa" w:w="23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tcPr>
          <w:p>
            <w:r>
              <w:rPr>
                <w:rFonts w:ascii="Arial" w:cs="Arial" w:eastAsia="Arial" w:hAnsi="Arial"/>
                <w:b w:val="false"/>
                <w:bCs w:val="false"/>
                <w:color w:val="2E86C1"/>
                <w:sz w:val="20"/>
                <w:szCs w:val="20"/>
              </w:rPr>
              <w:t xml:space="preserve">AI4Bharat Indic TTS (on-device primary) + ElevenLabs/Google Chirp HD (cloud fallback).</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Natural prosody in the user's regional language is critical for elder user trust and comprehension. Generic cloud TTS fails on regional pronunciation norms.</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AD-11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Readability metric</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Flesch-Kincaid Grade 6 target</w:t>
            </w:r>
          </w:p>
        </w:tc>
        <w:tc>
          <w:tcPr>
            <w:tcW w:type="dxa" w:w="23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val="false"/>
                <w:bCs w:val="false"/>
                <w:color w:val="922B21"/>
                <w:sz w:val="20"/>
                <w:szCs w:val="20"/>
              </w:rPr>
              <w:t xml:space="preserve">Language-specific regression models per Indic language family, using AI4Bharat Indic NLP Library for morphological feature extraction.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Flesch-Kincaid is mathematically invalid for agglutinative and Juktakkhor-dense languages. Applying it to Hindi or Tamil output produces meaningless scores.</w:t>
            </w:r>
          </w:p>
        </w:tc>
      </w:tr>
      <w:tr>
        <w:tc>
          <w:tcPr>
            <w:tcW w:type="dxa" w:w="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AD-12</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Scam detection</w:t>
            </w:r>
          </w:p>
        </w:tc>
        <w:tc>
          <w:tcPr>
            <w:tcW w:type="dxa" w:w="1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Single classifier (V1 described generally)</w:t>
            </w:r>
          </w:p>
        </w:tc>
        <w:tc>
          <w:tcPr>
            <w:tcW w:type="dxa" w:w="23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tcPr>
          <w:p>
            <w:r>
              <w:rPr>
                <w:rFonts w:ascii="Arial" w:cs="Arial" w:eastAsia="Arial" w:hAnsi="Arial"/>
                <w:b w:val="false"/>
                <w:bCs w:val="false"/>
                <w:color w:val="2E86C1"/>
                <w:sz w:val="20"/>
                <w:szCs w:val="20"/>
              </w:rPr>
              <w:t xml:space="preserve">Two-stage pipeline: Layer 1a on-device heuristic (&lt;100ms, zero network) + Layer 1b Claude Haiku semantic classifier (~2s, cloud) with LIME attribution.</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Edge-first detection eliminates latency for obvious threats and provides offline protection. LIME attribution makes alerts actionable for non-technical caregivers.</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AD-13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Healthcare data exchange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Compliance proxy (Phase 2, general)</w:t>
            </w:r>
          </w:p>
        </w:tc>
        <w:tc>
          <w:tcPr>
            <w:tcW w:type="dxa" w:w="23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tcPr>
          <w:p>
            <w:r>
              <w:rPr>
                <w:rFonts w:ascii="Arial" w:cs="Arial" w:eastAsia="Arial" w:hAnsi="Arial"/>
                <w:b w:val="false"/>
                <w:bCs w:val="false"/>
                <w:color w:val="2E86C1"/>
                <w:sz w:val="20"/>
                <w:szCs w:val="20"/>
              </w:rPr>
              <w:t xml:space="preserve">ABDM HIU integration with FHIR payload translation in compliance proxy. LLM receives narrative summaries only, never raw FHIR.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Raw FHIR SNOMED/LOINC codes create clinical hallucination risk. Proxy is the validated decoder; LLM is the narrative reasoner.</w:t>
            </w:r>
          </w:p>
        </w:tc>
      </w:tr>
      <w:tr>
        <w:tc>
          <w:tcPr>
            <w:tcW w:type="dxa" w:w="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AD-14</w:t>
            </w:r>
          </w:p>
        </w:tc>
        <w:tc>
          <w:tcPr>
            <w:tcW w:type="dxa" w:w="16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Clinical validation</w:t>
            </w:r>
          </w:p>
        </w:tc>
        <w:tc>
          <w:tcPr>
            <w:tcW w:type="dxa" w:w="1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Not specified in V1</w:t>
            </w:r>
          </w:p>
        </w:tc>
        <w:tc>
          <w:tcPr>
            <w:tcW w:type="dxa" w:w="23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val="false"/>
                <w:bCs w:val="false"/>
                <w:color w:val="7D6608"/>
                <w:sz w:val="20"/>
                <w:szCs w:val="20"/>
              </w:rPr>
              <w:t xml:space="preserve">BODH benchmarking mandatory before Phase 2 healthcare feature release. Diagnostic accuracy, fairness, and clinical safety matrix all required.</w:t>
            </w:r>
          </w:p>
        </w:tc>
        <w:tc>
          <w:tcPr>
            <w:tcW w:type="dxa" w:w="2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BODH is the accepted Indian standard for health AI regulatory validation. All four evaluation dimensions are Phase 2 release blockers.</w:t>
            </w:r>
          </w:p>
        </w:tc>
      </w:tr>
    </w:tbl>
    <w:p>
      <w:r>
        <w:br w:type="page"/>
      </w:r>
    </w:p>
    <w:p>
      <w:pPr>
        <w:pStyle w:val="Heading1"/>
        <w:spacing w:after="160" w:before="360"/>
      </w:pPr>
      <w:r>
        <w:rPr>
          <w:rFonts w:ascii="Arial" w:cs="Arial" w:eastAsia="Arial" w:hAnsi="Arial"/>
          <w:b/>
          <w:bCs/>
          <w:color w:val="1B4F72"/>
          <w:sz w:val="32"/>
          <w:szCs w:val="32"/>
        </w:rPr>
        <w:t xml:space="preserve">9. Updated R&amp;D Priority Matrix</w:t>
      </w:r>
    </w:p>
    <w:p>
      <w:pPr>
        <w:shd w:fill="F5EEF8" w:val="clear"/>
        <w:spacing w:after="100" w:before="100"/>
        <w:ind w:left="240" w:right="240"/>
      </w:pPr>
      <w:r>
        <w:rPr>
          <w:rFonts w:ascii="Arial" w:cs="Arial" w:eastAsia="Arial" w:hAnsi="Arial"/>
          <w:b/>
          <w:bCs/>
          <w:i/>
          <w:iCs/>
          <w:color w:val="6C3483"/>
          <w:sz w:val="21"/>
          <w:szCs w:val="21"/>
        </w:rPr>
        <w:t xml:space="preserve">Cross-Reference (V1):  </w:t>
      </w:r>
      <w:r>
        <w:rPr>
          <w:rFonts w:ascii="Arial" w:cs="Arial" w:eastAsia="Arial" w:hAnsi="Arial"/>
          <w:i/>
          <w:iCs/>
          <w:color w:val="6C3483"/>
          <w:sz w:val="21"/>
          <w:szCs w:val="21"/>
        </w:rPr>
        <w:t xml:space="preserve">V1 Section 9.1 defined 8 R&amp;D gap areas. This section updates that matrix to reflect V2 findings, reclassifying two items and adding three new items identified in this research sprint.</w:t>
      </w:r>
    </w:p>
    <w:p>
      <w:pPr>
        <w:spacing w:after="0" w:before="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100"/>
        <w:gridCol w:w="2500"/>
        <w:gridCol w:w="900"/>
        <w:gridCol w:w="1060"/>
      </w:tblGrid>
      <w:tr>
        <w:trPr>
          <w:tblHeader/>
        </w:trPr>
        <w:tc>
          <w:tcPr>
            <w:tcW w:type="dxa" w:w="7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Gap ID</w:t>
            </w:r>
          </w:p>
        </w:tc>
        <w:tc>
          <w:tcPr>
            <w:tcW w:type="dxa" w:w="15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Area</w:t>
            </w:r>
          </w:p>
        </w:tc>
        <w:tc>
          <w:tcPr>
            <w:tcW w:type="dxa" w:w="21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V1 Classification</w:t>
            </w:r>
          </w:p>
        </w:tc>
        <w:tc>
          <w:tcPr>
            <w:tcW w:type="dxa" w:w="25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V2 Update</w:t>
            </w:r>
          </w:p>
        </w:tc>
        <w:tc>
          <w:tcPr>
            <w:tcW w:type="dxa" w:w="9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106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Effort</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G-01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Scam Detection Filter</w:t>
            </w:r>
          </w:p>
        </w:tc>
        <w:tc>
          <w:tcPr>
            <w:tcW w:type="dxa" w:w="21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val="false"/>
                <w:bCs w:val="false"/>
                <w:color w:val="922B21"/>
                <w:sz w:val="20"/>
                <w:szCs w:val="20"/>
              </w:rPr>
              <w:t xml:space="preserve">Critical / Phase 1 / 6–8 weeks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Architecture now specified at implementation depth. Two-stage pipeline (Layer 1a + 1b) with LIME attribution. Edge heuristic corpus curation is the critical path item — not the classifier itself.</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Phase 1</w:t>
            </w:r>
          </w:p>
        </w:tc>
        <w:tc>
          <w:tcPr>
            <w:tcW w:type="dxa" w:w="1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5–7 weeks</w:t>
            </w:r>
          </w:p>
        </w:tc>
      </w:tr>
      <w:tr>
        <w:tc>
          <w:tcPr>
            <w:tcW w:type="dxa" w:w="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G-02</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Voice Interface Integration</w:t>
            </w:r>
          </w:p>
        </w:tc>
        <w:tc>
          <w:tcPr>
            <w:tcW w:type="dxa" w:w="21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val="false"/>
                <w:bCs w:val="false"/>
                <w:color w:val="922B21"/>
                <w:sz w:val="20"/>
                <w:szCs w:val="20"/>
              </w:rPr>
              <w:t xml:space="preserve">Critical / Phase 1 / 8–10 weeks</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Whisper Tiny replaced by IndicConformer. This changes the integration work: ONNX runtime deployment on iOS and Android, not Whisper binary packaging. Sherpa-ONNX evaluation adds 2 weeks.</w:t>
            </w:r>
          </w:p>
        </w:tc>
        <w:tc>
          <w:tcPr>
            <w:tcW w:type="dxa" w:w="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Phase 1</w:t>
            </w:r>
          </w:p>
        </w:tc>
        <w:tc>
          <w:tcPr>
            <w:tcW w:type="dxa" w:w="10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9–11 weeks</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G-03</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Plain-Language Post-Processor</w:t>
            </w:r>
          </w:p>
        </w:tc>
        <w:tc>
          <w:tcPr>
            <w:tcW w:type="dxa" w:w="21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val="false"/>
                <w:bCs w:val="false"/>
                <w:color w:val="922B21"/>
                <w:sz w:val="20"/>
                <w:szCs w:val="20"/>
              </w:rPr>
              <w:t xml:space="preserve">Critical / Phase 1 / 4–6 weeks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Scope significantly expanded. Flesch-Kincaid approach retired. AI4Bharat Indic NLP Library integration, language-specific readability model development for 5 language families, and IndQA/IndicMMLU-Pro benchmark validation all required.</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Phase 1</w:t>
            </w:r>
          </w:p>
        </w:tc>
        <w:tc>
          <w:tcPr>
            <w:tcW w:type="dxa" w:w="1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8–10 weeks</w:t>
            </w:r>
          </w:p>
        </w:tc>
      </w:tr>
      <w:tr>
        <w:tc>
          <w:tcPr>
            <w:tcW w:type="dxa" w:w="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G-04</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Caregiver Dashboard</w:t>
            </w:r>
          </w:p>
        </w:tc>
        <w:tc>
          <w:tcPr>
            <w:tcW w:type="dxa" w:w="2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High / Phase 1 / 6–8 weeks</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Unchanged. LIME-generated scam alert explanations are a new dashboard feature added in V2.</w:t>
            </w:r>
          </w:p>
        </w:tc>
        <w:tc>
          <w:tcPr>
            <w:tcW w:type="dxa" w:w="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Phase 1</w:t>
            </w:r>
          </w:p>
        </w:tc>
        <w:tc>
          <w:tcPr>
            <w:tcW w:type="dxa" w:w="10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7–9 weeks</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G-05</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Episodic Memory (Qdrant)</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High / Phase 1 / 4–5 weeks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Unchanged in scope. Mem0 entity-extraction layer added as enhancement to warm-tier memory quality.</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Phase 1</w:t>
            </w:r>
          </w:p>
        </w:tc>
        <w:tc>
          <w:tcPr>
            <w:tcW w:type="dxa" w:w="1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5–6 weeks</w:t>
            </w:r>
          </w:p>
        </w:tc>
      </w:tr>
      <w:tr>
        <w:tc>
          <w:tcPr>
            <w:tcW w:type="dxa" w:w="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G-06</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Emergency Escalation Workflows</w:t>
            </w:r>
          </w:p>
        </w:tc>
        <w:tc>
          <w:tcPr>
            <w:tcW w:type="dxa" w:w="2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High / Phase 1 / 3–4 weeks</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Workflows now authored as Temporal Workflow Definitions. Port from Lobster YAML adds 1 week.</w:t>
            </w:r>
          </w:p>
        </w:tc>
        <w:tc>
          <w:tcPr>
            <w:tcW w:type="dxa" w:w="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Phase 1</w:t>
            </w:r>
          </w:p>
        </w:tc>
        <w:tc>
          <w:tcPr>
            <w:tcW w:type="dxa" w:w="10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4–5 weeks</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G-NEW-01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Temporal.io Integration</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Not in V1 — new item.</w:t>
            </w:r>
          </w:p>
        </w:tc>
        <w:tc>
          <w:tcPr>
            <w:tcW w:type="dxa" w:w="25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val="false"/>
                <w:bCs w:val="false"/>
                <w:color w:val="922B21"/>
                <w:sz w:val="20"/>
                <w:szCs w:val="20"/>
              </w:rPr>
              <w:t xml:space="preserve">New Phase 1 Critical item. Temporal cluster setup, Workflow Definition authoring for 5 core workflows, PydanticAI integration for all tool schemas.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Phase 1</w:t>
            </w:r>
          </w:p>
        </w:tc>
        <w:tc>
          <w:tcPr>
            <w:tcW w:type="dxa" w:w="1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5–6 weeks</w:t>
            </w:r>
          </w:p>
        </w:tc>
      </w:tr>
      <w:tr>
        <w:tc>
          <w:tcPr>
            <w:tcW w:type="dxa" w:w="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G-NEW-02</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Indic TTS Integration</w:t>
            </w:r>
          </w:p>
        </w:tc>
        <w:tc>
          <w:tcPr>
            <w:tcW w:type="dxa" w:w="2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Not in V1 — new item.</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AI4Bharat Indic TTS on-device model integration for iOS and Android. ElevenLabs/Google Chirp cloud fallback configuration.</w:t>
            </w:r>
          </w:p>
        </w:tc>
        <w:tc>
          <w:tcPr>
            <w:tcW w:type="dxa" w:w="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Phase 1</w:t>
            </w:r>
          </w:p>
        </w:tc>
        <w:tc>
          <w:tcPr>
            <w:tcW w:type="dxa" w:w="10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3–4 weeks</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G-07</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Multilingual Expansion</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Medium / Phase 2 / 10–14 weeks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Hindi, Tamil, and Bengali readability models promoted to Phase 1 given the revised post-processor scope. Telugu, Marathi, Bengali expansion remains Phase 2.</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Phase 1 + 2</w:t>
            </w:r>
          </w:p>
        </w:tc>
        <w:tc>
          <w:tcPr>
            <w:tcW w:type="dxa" w:w="1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Phase 1: 8 wks. Phase 2: +6 wks.</w:t>
            </w:r>
          </w:p>
        </w:tc>
      </w:tr>
      <w:tr>
        <w:tc>
          <w:tcPr>
            <w:tcW w:type="dxa" w:w="7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G-08</w:t>
            </w:r>
          </w:p>
        </w:tc>
        <w:tc>
          <w:tcPr>
            <w:tcW w:type="dxa" w:w="1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Healthcare API Compliance Proxy</w:t>
            </w:r>
          </w:p>
        </w:tc>
        <w:tc>
          <w:tcPr>
            <w:tcW w:type="dxa" w:w="21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Medium / Phase 2 / 8–10 weeks</w:t>
            </w:r>
          </w:p>
        </w:tc>
        <w:tc>
          <w:tcPr>
            <w:tcW w:type="dxa" w:w="2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ABDM HIU integration architecture now specified. FHIR payload translation and BODH benchmarking add scope. Consent artefact ledger integration with DPDP consent management adds 2 weeks.</w:t>
            </w:r>
          </w:p>
        </w:tc>
        <w:tc>
          <w:tcPr>
            <w:tcW w:type="dxa" w:w="9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Phase 2</w:t>
            </w:r>
          </w:p>
        </w:tc>
        <w:tc>
          <w:tcPr>
            <w:tcW w:type="dxa" w:w="10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11–14 weeks</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G-NEW-03</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BODH Clinical Benchmarking</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Not in V1 — new item.</w:t>
            </w:r>
          </w:p>
        </w:tc>
        <w:tc>
          <w:tcPr>
            <w:tcW w:type="dxa" w:w="25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val="false"/>
                <w:bCs w:val="false"/>
                <w:color w:val="7D6608"/>
                <w:sz w:val="20"/>
                <w:szCs w:val="20"/>
              </w:rPr>
              <w:t xml:space="preserve">New Phase 2 release gate. Four-dimension BODH evaluation (accuracy, fairness, clinical safety, regional language clinical accuracy) is a non-negotiable release blocker for all healthcare features.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Phase 2</w:t>
            </w:r>
          </w:p>
        </w:tc>
        <w:tc>
          <w:tcPr>
            <w:tcW w:type="dxa" w:w="1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4–6 weeks</w:t>
            </w:r>
          </w:p>
        </w:tc>
      </w:tr>
    </w:tbl>
    <w:p>
      <w:r>
        <w:br w:type="page"/>
      </w:r>
    </w:p>
    <w:p>
      <w:pPr>
        <w:pStyle w:val="Heading1"/>
        <w:spacing w:after="160" w:before="360"/>
      </w:pPr>
      <w:r>
        <w:rPr>
          <w:rFonts w:ascii="Arial" w:cs="Arial" w:eastAsia="Arial" w:hAnsi="Arial"/>
          <w:b/>
          <w:bCs/>
          <w:color w:val="1B4F72"/>
          <w:sz w:val="32"/>
          <w:szCs w:val="32"/>
        </w:rPr>
        <w:t xml:space="preserve">10. Open Questions and Next Steps for V2 Findings</w:t>
      </w:r>
    </w:p>
    <w:p>
      <w:pPr>
        <w:shd w:fill="F5EEF8" w:val="clear"/>
        <w:spacing w:after="100" w:before="100"/>
        <w:ind w:left="240" w:right="240"/>
      </w:pPr>
      <w:r>
        <w:rPr>
          <w:rFonts w:ascii="Arial" w:cs="Arial" w:eastAsia="Arial" w:hAnsi="Arial"/>
          <w:b/>
          <w:bCs/>
          <w:i/>
          <w:iCs/>
          <w:color w:val="6C3483"/>
          <w:sz w:val="21"/>
          <w:szCs w:val="21"/>
        </w:rPr>
        <w:t xml:space="preserve">Cross-Reference (V1):  </w:t>
      </w:r>
      <w:r>
        <w:rPr>
          <w:rFonts w:ascii="Arial" w:cs="Arial" w:eastAsia="Arial" w:hAnsi="Arial"/>
          <w:i/>
          <w:iCs/>
          <w:color w:val="6C3483"/>
          <w:sz w:val="21"/>
          <w:szCs w:val="21"/>
        </w:rPr>
        <w:t xml:space="preserve">V1 Section 13 defined 5 open decisions and 6 immediate next steps. The items below are additive — they do not supersede V1 next steps, they extend them.</w:t>
      </w:r>
    </w:p>
    <w:p>
      <w:pPr>
        <w:spacing w:after="0" w:before="80"/>
      </w:pPr>
    </w:p>
    <w:p>
      <w:pPr>
        <w:pStyle w:val="Heading2"/>
        <w:spacing w:after="120" w:before="280"/>
      </w:pPr>
      <w:r>
        <w:rPr>
          <w:rFonts w:ascii="Arial" w:cs="Arial" w:eastAsia="Arial" w:hAnsi="Arial"/>
          <w:b/>
          <w:bCs/>
          <w:color w:val="2E86C1"/>
          <w:sz w:val="26"/>
          <w:szCs w:val="26"/>
        </w:rPr>
        <w:t xml:space="preserve">10.1 New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800"/>
        <w:gridCol w:w="3060"/>
      </w:tblGrid>
      <w:tr>
        <w:trPr>
          <w:tblHeader/>
        </w:trPr>
        <w:tc>
          <w:tcPr>
            <w:tcW w:type="dxa" w:w="5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40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Decision</w:t>
            </w:r>
          </w:p>
        </w:tc>
        <w:tc>
          <w:tcPr>
            <w:tcW w:type="dxa" w:w="180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3060"/>
            <w:tcBorders>
              <w:top w:val="single" w:color="2E86C1" w:sz="1"/>
              <w:left w:val="single" w:color="2E86C1" w:sz="1"/>
              <w:bottom w:val="single" w:color="2E86C1" w:sz="1"/>
              <w:right w:val="single" w:color="2E86C1"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Blocks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V2-1</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Confirm Temporal.io deployment model: Temporal Cloud (managed, faster to production, higher ongoing cost) versus self-hosted Temporal Server (lower cost at scale, 4–6 weeks additional infrastructure setup). The decision affects Phase 1 timeline by up to 6 weeks.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Engineering + Finance</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AD-07, G-NEW-01, Phase 1 timeline</w:t>
            </w:r>
          </w:p>
        </w:tc>
      </w:tr>
      <w:tr>
        <w:tc>
          <w:tcPr>
            <w:tcW w:type="dxa" w:w="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V2-2</w:t>
            </w:r>
          </w:p>
        </w:tc>
        <w:tc>
          <w:tcPr>
            <w:tcW w:type="dxa" w:w="4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Confirm IndicConformer model variant for Phase 1: AI4Bharat open-weight model (free, requires on-device optimisation effort) versus Augmen STT commercial API (faster integration, per-minute pricing that may impact cost model at scale). If commercial API is chosen, on-device privacy guarantee for voice is relaxed — this requires explicit product decision and user consent update.</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Engineering + Product + Legal</w:t>
            </w:r>
          </w:p>
        </w:tc>
        <w:tc>
          <w:tcPr>
            <w:tcW w:type="dxa" w:w="30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AD-09, G-02, user consent architecture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V2-3</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Define the Indic language readability corpus annotation strategy. The language-specific regression models for Telugu, Marathi, and Gujarati require annotated readability datasets that do not currently exist at sufficient scale in published literature. Options: commission annotation via AI4Bharat collaboration, crowdsource via a partner NGO, or delay Telugu/Marathi/Gujarati support to Phase 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Research + Partnerships</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G-03, G-07, Phase 1 language scope</w:t>
            </w:r>
          </w:p>
        </w:tc>
      </w:tr>
      <w:tr>
        <w:tc>
          <w:tcPr>
            <w:tcW w:type="dxa" w:w="5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V2-4</w:t>
            </w:r>
          </w:p>
        </w:tc>
        <w:tc>
          <w:tcPr>
            <w:tcW w:type="dxa" w:w="4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Identify ABDM enrolment pathway. To operate as an HIU, the system must be registered with the National Health Authority and complete ABDM sandbox testing followed by production certification. Enrolment timelines are variable (estimated 3–6 months). This process must begin in Phase 1 to avoid blocking Phase 2 healthcare feature delivery.</w:t>
            </w:r>
          </w:p>
        </w:tc>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Legal + Business Development</w:t>
            </w:r>
          </w:p>
        </w:tc>
        <w:tc>
          <w:tcPr>
            <w:tcW w:type="dxa" w:w="30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r>
              <w:rPr>
                <w:rFonts w:ascii="Arial" w:cs="Arial" w:eastAsia="Arial" w:hAnsi="Arial"/>
                <w:b w:val="false"/>
                <w:bCs w:val="false"/>
                <w:color w:val="1A252F"/>
                <w:sz w:val="20"/>
                <w:szCs w:val="20"/>
              </w:rPr>
              <w:t xml:space="preserve">G-08, Phase 2 Healthcare Provider role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V2-5</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Confirm BODH access and dataset licensing. BODH datasets require institutional access agreements. Confirm which datasets are available for the target disease and demographic profile of the elder user cohort, and begin the access application process.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Research + Legal</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252F"/>
                <w:sz w:val="20"/>
                <w:szCs w:val="20"/>
              </w:rPr>
              <w:t xml:space="preserve">G-NEW-03, Phase 2 release gate</w:t>
            </w:r>
          </w:p>
        </w:tc>
      </w:tr>
    </w:tbl>
    <w:p>
      <w:pPr>
        <w:spacing w:after="0" w:before="120"/>
      </w:pPr>
    </w:p>
    <w:p>
      <w:pPr>
        <w:pStyle w:val="Heading2"/>
        <w:spacing w:after="120" w:before="280"/>
      </w:pPr>
      <w:r>
        <w:rPr>
          <w:rFonts w:ascii="Arial" w:cs="Arial" w:eastAsia="Arial" w:hAnsi="Arial"/>
          <w:b/>
          <w:bCs/>
          <w:color w:val="2E86C1"/>
          <w:sz w:val="26"/>
          <w:szCs w:val="26"/>
        </w:rPr>
        <w:t xml:space="preserve">10.2 New Immediate Next Steps (Weeks 1–4, Additive to V1 Section 13.2)</w:t>
      </w:r>
    </w:p>
    <w:p>
      <w:pPr>
        <w:pStyle w:val="ListParagraph"/>
        <w:numPr>
          <w:ilvl w:val="0"/>
          <w:numId w:val="3"/>
        </w:numPr>
        <w:spacing w:after="60" w:before="40"/>
      </w:pPr>
      <w:r>
        <w:rPr>
          <w:rFonts w:ascii="Arial" w:cs="Arial" w:eastAsia="Arial" w:hAnsi="Arial"/>
          <w:color w:val="1A252F"/>
          <w:sz w:val="22"/>
          <w:szCs w:val="22"/>
        </w:rPr>
        <w:t xml:space="preserve">Begin Sherpa-ONNX vs. direct ONNX Runtime evaluation for IndicConformer on-device deployment. Target: identify the runtime that achieves sub-200ms first-word latency on a Redmi A3 (representative low-end device) within 2 weeks.</w:t>
      </w:r>
    </w:p>
    <w:p>
      <w:pPr>
        <w:pStyle w:val="ListParagraph"/>
        <w:numPr>
          <w:ilvl w:val="0"/>
          <w:numId w:val="3"/>
        </w:numPr>
        <w:spacing w:after="60" w:before="40"/>
      </w:pPr>
      <w:r>
        <w:rPr>
          <w:rFonts w:ascii="Arial" w:cs="Arial" w:eastAsia="Arial" w:hAnsi="Arial"/>
          <w:color w:val="1A252F"/>
          <w:sz w:val="22"/>
          <w:szCs w:val="22"/>
        </w:rPr>
        <w:t xml:space="preserve">Commission Indic language scam corpus annotation for the Layer 1a edge filter. Source: partner with the Indian Cyber Crime Coordination Centre (I4C) dataset and supplement with NGO-collected elder-targeted fraud examples. Target: 10,000 labelled examples per language for Hindi, Tamil, Bengali, Telugu by end of Week 4.</w:t>
      </w:r>
    </w:p>
    <w:p>
      <w:pPr>
        <w:pStyle w:val="ListParagraph"/>
        <w:numPr>
          <w:ilvl w:val="0"/>
          <w:numId w:val="3"/>
        </w:numPr>
        <w:spacing w:after="60" w:before="40"/>
      </w:pPr>
      <w:r>
        <w:rPr>
          <w:rFonts w:ascii="Arial" w:cs="Arial" w:eastAsia="Arial" w:hAnsi="Arial"/>
          <w:color w:val="1A252F"/>
          <w:sz w:val="22"/>
          <w:szCs w:val="22"/>
        </w:rPr>
        <w:t xml:space="preserve">Initiate ABDM enrolment pre-application. Engage a ABDM-certified technical partner to begin the sandbox environment setup and institutional registration process.</w:t>
      </w:r>
    </w:p>
    <w:p>
      <w:pPr>
        <w:pStyle w:val="ListParagraph"/>
        <w:numPr>
          <w:ilvl w:val="0"/>
          <w:numId w:val="3"/>
        </w:numPr>
        <w:spacing w:after="60" w:before="40"/>
      </w:pPr>
      <w:r>
        <w:rPr>
          <w:rFonts w:ascii="Arial" w:cs="Arial" w:eastAsia="Arial" w:hAnsi="Arial"/>
          <w:color w:val="1A252F"/>
          <w:sz w:val="22"/>
          <w:szCs w:val="22"/>
        </w:rPr>
        <w:t xml:space="preserve">Submit BODH dataset access application for the diabetes, hypertension, and cardiovascular disease datasets most relevant to the elder user demographic.</w:t>
      </w:r>
    </w:p>
    <w:p>
      <w:pPr>
        <w:pStyle w:val="ListParagraph"/>
        <w:numPr>
          <w:ilvl w:val="0"/>
          <w:numId w:val="3"/>
        </w:numPr>
        <w:spacing w:after="60" w:before="40"/>
      </w:pPr>
      <w:r>
        <w:rPr>
          <w:rFonts w:ascii="Arial" w:cs="Arial" w:eastAsia="Arial" w:hAnsi="Arial"/>
          <w:color w:val="1A252F"/>
          <w:sz w:val="22"/>
          <w:szCs w:val="22"/>
        </w:rPr>
        <w:t xml:space="preserve">Stand up Temporal.io development cluster (Cloud trial tier) and port the V1 medication reminder Lobster workflow to a Temporal Workflow Definition as the first proof-of-concept for the AD-07 architecture decision.</w:t>
      </w:r>
    </w:p>
    <w:p>
      <w:pPr>
        <w:pStyle w:val="ListParagraph"/>
        <w:numPr>
          <w:ilvl w:val="0"/>
          <w:numId w:val="3"/>
        </w:numPr>
        <w:spacing w:after="60" w:before="40"/>
      </w:pPr>
      <w:r>
        <w:rPr>
          <w:rFonts w:ascii="Arial" w:cs="Arial" w:eastAsia="Arial" w:hAnsi="Arial"/>
          <w:color w:val="1A252F"/>
          <w:sz w:val="22"/>
          <w:szCs w:val="22"/>
        </w:rPr>
        <w:t xml:space="preserve">Engage AI4Bharat for a collaboration discussion on IndicConformer model access, Indic TTS integration, and the readability annotation corpus gap for underrepresented languages.</w:t>
      </w:r>
    </w:p>
    <w:p>
      <w:pPr>
        <w:spacing w:after="0" w:before="160"/>
      </w:pPr>
    </w:p>
    <w:p>
      <w:pPr>
        <w:pBdr>
          <w:bottom w:val="single" w:color="1B4F72" w:sz="6" w:space="1"/>
        </w:pBdr>
        <w:spacing w:after="120" w:before="120"/>
      </w:pPr>
    </w:p>
    <w:p>
      <w:pPr>
        <w:spacing w:after="0" w:before="100"/>
      </w:pPr>
    </w:p>
    <w:p>
      <w:pPr>
        <w:spacing w:after="60" w:before="60"/>
        <w:jc w:val="center"/>
      </w:pPr>
      <w:r>
        <w:rPr>
          <w:rFonts w:ascii="Arial" w:cs="Arial" w:eastAsia="Arial" w:hAnsi="Arial"/>
          <w:i/>
          <w:iCs/>
          <w:color w:val="5D6D7E"/>
          <w:sz w:val="20"/>
          <w:szCs w:val="20"/>
        </w:rPr>
        <w:t xml:space="preserve">Accessible Agentic AI — R&amp;D Deep Dive, Volume II</w:t>
      </w:r>
    </w:p>
    <w:p>
      <w:pPr>
        <w:spacing w:after="60" w:before="0"/>
        <w:jc w:val="center"/>
      </w:pPr>
      <w:r>
        <w:rPr>
          <w:rFonts w:ascii="Arial" w:cs="Arial" w:eastAsia="Arial" w:hAnsi="Arial"/>
          <w:color w:val="5D6D7E"/>
          <w:sz w:val="18"/>
          <w:szCs w:val="18"/>
        </w:rPr>
        <w:t xml:space="preserve">Version 2.0  ·  April 2026  ·  Confidential and Proprietary  ·  Continues from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1"/>
      </w:pBdr>
      <w:tabs>
        <w:tab w:val="right" w:pos="8200"/>
      </w:tabs>
      <w:spacing w:after="0" w:before="120"/>
    </w:pPr>
    <w:r>
      <w:rPr>
        <w:rFonts w:ascii="Arial" w:cs="Arial" w:eastAsia="Arial" w:hAnsi="Arial"/>
        <w:color w:val="5D6D7E"/>
        <w:sz w:val="18"/>
        <w:szCs w:val="18"/>
      </w:rPr>
      <w:t xml:space="preserve">Continues from V1.0 (April 2026)</w:t>
    </w:r>
    <w:r>
      <w:rPr>
        <w:rFonts w:ascii="Arial" w:cs="Arial" w:eastAsia="Arial" w:hAnsi="Arial"/>
        <w:sz w:val="18"/>
        <w:szCs w:val="18"/>
      </w:rPr>
      <w:t xml:space="preserve">	</w:t>
    </w:r>
    <w:r>
      <w:rPr>
        <w:rFonts w:ascii="Arial" w:cs="Arial" w:eastAsia="Arial" w:hAnsi="Arial"/>
        <w:color w:val="5D6D7E"/>
        <w:sz w:val="18"/>
        <w:szCs w:val="18"/>
      </w:rPr>
      <w:t xml:space="preserve">Version 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1"/>
      </w:pBdr>
      <w:spacing w:after="120" w:before="0"/>
    </w:pPr>
    <w:r>
      <w:rPr>
        <w:rFonts w:ascii="Arial" w:cs="Arial" w:eastAsia="Arial" w:hAnsi="Arial"/>
        <w:color w:val="5D6D7E"/>
        <w:sz w:val="18"/>
        <w:szCs w:val="18"/>
      </w:rPr>
      <w:t xml:space="preserve">ACCESSIBLE AGENTIC AI  ·  R&amp;D Deep Dive Vol. II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5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2026-04-10T13:08:16.327Z</dcterms:created>
  <dcterms:modified xsi:type="dcterms:W3CDTF">2026-04-10T13:08:16.329Z</dcterms:modified>
</cp:coreProperties>
</file>

<file path=docProps/custom.xml><?xml version="1.0" encoding="utf-8"?>
<Properties xmlns="http://schemas.openxmlformats.org/officeDocument/2006/custom-properties" xmlns:vt="http://schemas.openxmlformats.org/officeDocument/2006/docPropsVTypes"/>
</file>