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8274B"/>
          <w:sz w:val="104"/>
        </w:rPr>
        <w:t>BPCL</w:t>
      </w:r>
    </w:p>
    <w:p>
      <w:pPr>
        <w:jc w:val="center"/>
      </w:pPr>
      <w:r>
        <w:rPr>
          <w:rFonts w:ascii="Arial" w:hAnsi="Arial"/>
          <w:b/>
          <w:color w:val="1B1B2F"/>
          <w:sz w:val="88"/>
        </w:rPr>
        <w:t>Agentic AI Chatbot</w:t>
      </w:r>
    </w:p>
    <w:p>
      <w:pPr>
        <w:jc w:val="center"/>
      </w:pPr>
      <w:r>
        <w:rPr>
          <w:rFonts w:ascii="Arial" w:hAnsi="Arial"/>
          <w:color w:val="AAAAAA"/>
          <w:sz w:val="56"/>
        </w:rPr>
        <w:t>4-Month Implementation Plan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defines the end-to-end 4-month implementation roadmap for the BPCL Agentic AI Chatbot, built on the Databricks Data Intelligence Platform. The solution delivers an enterprise-grade, conversational AI interface over 115+ Qlik Sense dashboards with bidirectional data flow, governed by Unity Catalog and secured under a Zero-Trust architecture.</w:t>
      </w:r>
    </w:p>
    <w:p>
      <w:r>
        <w:t>As the sole developer on this engagement, the plan is structured to deliver incremental, demonstrable value at the end of each month, with weekly client check-ins to manage risk, validate scope, and course-correct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