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6C4BE02A" w14:textId="357C4000" w:rsidR="004B5529" w:rsidRDefault="004A5067" w:rsidP="004A5067">
      <w:pPr>
        <w:jc w:val="both"/>
        <w:rPr>
          <w:rFonts w:ascii="Arial" w:hAnsi="Arial" w:cs="Arial"/>
          <w:i w:val="0"/>
          <w:iCs w:val="0"/>
          <w:color w:val="000000" w:themeColor="text1"/>
        </w:rPr>
      </w:pPr>
      <w:r w:rsidRPr="004A5067">
        <w:rPr>
          <w:rFonts w:ascii="Arial" w:hAnsi="Arial" w:cs="Arial"/>
          <w:i w:val="0"/>
          <w:iCs w:val="0"/>
          <w:color w:val="000000" w:themeColor="text1"/>
        </w:rPr>
        <w:t>I recommend using Gradient Boosted Decision Trees, a complex machine learning model that iteratively builds an ensemble of trees to correct previous errors and capture non-linear relationships. This approach is particularly effective for credit delinquency because it handles Imbalanced Data better than simpler models and allows for precise Hyperparameter Tuning to optimize for Recall</w:t>
      </w:r>
    </w:p>
    <w:p w14:paraId="4A9D2D8A" w14:textId="77777777" w:rsidR="004A5067" w:rsidRPr="004A5067" w:rsidRDefault="004A5067" w:rsidP="004A5067">
      <w:pPr>
        <w:jc w:val="both"/>
        <w:rPr>
          <w:rFonts w:ascii="Arial" w:hAnsi="Arial" w:cs="Arial"/>
          <w:b/>
          <w:bCs/>
          <w:i w:val="0"/>
          <w:iCs w:val="0"/>
          <w:color w:val="000000" w:themeColor="text1"/>
          <w:lang w:val="en-IN"/>
        </w:rPr>
      </w:pPr>
      <w:r w:rsidRPr="004A5067">
        <w:rPr>
          <w:rFonts w:ascii="Arial" w:hAnsi="Arial" w:cs="Arial"/>
          <w:b/>
          <w:bCs/>
          <w:i w:val="0"/>
          <w:iCs w:val="0"/>
          <w:color w:val="000000" w:themeColor="text1"/>
          <w:lang w:val="en-IN"/>
        </w:rPr>
        <w:t>Top 5 Input Features for Delinquency Prediction</w:t>
      </w:r>
    </w:p>
    <w:p w14:paraId="0AE8EBEA" w14:textId="77777777" w:rsidR="004A5067" w:rsidRPr="004A5067" w:rsidRDefault="004A5067" w:rsidP="004A5067">
      <w:pPr>
        <w:jc w:val="both"/>
        <w:rPr>
          <w:rFonts w:ascii="Arial" w:hAnsi="Arial" w:cs="Arial"/>
          <w:i w:val="0"/>
          <w:iCs w:val="0"/>
          <w:color w:val="000000" w:themeColor="text1"/>
          <w:lang w:val="en-IN"/>
        </w:rPr>
      </w:pPr>
      <w:r w:rsidRPr="004A5067">
        <w:rPr>
          <w:rFonts w:ascii="Arial" w:hAnsi="Arial" w:cs="Arial"/>
          <w:i w:val="0"/>
          <w:iCs w:val="0"/>
          <w:color w:val="000000" w:themeColor="text1"/>
          <w:lang w:val="en-IN"/>
        </w:rPr>
        <w:t>Based on their direct impact on credit risk and financial stability, these are the most critical features to include:</w:t>
      </w:r>
    </w:p>
    <w:p w14:paraId="24AF2F40" w14:textId="77777777" w:rsidR="004A5067" w:rsidRPr="004A5067" w:rsidRDefault="004A5067" w:rsidP="004A5067">
      <w:pPr>
        <w:numPr>
          <w:ilvl w:val="0"/>
          <w:numId w:val="10"/>
        </w:numPr>
        <w:jc w:val="both"/>
        <w:rPr>
          <w:rFonts w:ascii="Arial" w:hAnsi="Arial" w:cs="Arial"/>
          <w:i w:val="0"/>
          <w:iCs w:val="0"/>
          <w:color w:val="000000" w:themeColor="text1"/>
          <w:lang w:val="en-IN"/>
        </w:rPr>
      </w:pPr>
      <w:proofErr w:type="spellStart"/>
      <w:r w:rsidRPr="004A5067">
        <w:rPr>
          <w:rFonts w:ascii="Arial" w:hAnsi="Arial" w:cs="Arial"/>
          <w:b/>
          <w:bCs/>
          <w:i w:val="0"/>
          <w:iCs w:val="0"/>
          <w:color w:val="000000" w:themeColor="text1"/>
          <w:lang w:val="en-IN"/>
        </w:rPr>
        <w:t>Missed_Payments</w:t>
      </w:r>
      <w:proofErr w:type="spellEnd"/>
      <w:r w:rsidRPr="004A5067">
        <w:rPr>
          <w:rFonts w:ascii="Arial" w:hAnsi="Arial" w:cs="Arial"/>
          <w:i w:val="0"/>
          <w:iCs w:val="0"/>
          <w:color w:val="000000" w:themeColor="text1"/>
          <w:lang w:val="en-IN"/>
        </w:rPr>
        <w:t>: The total count of late or skipped payments in the last 12 months is often the strongest predictor of future default.</w:t>
      </w:r>
    </w:p>
    <w:p w14:paraId="6FB46969" w14:textId="77777777" w:rsidR="004A5067" w:rsidRPr="004A5067" w:rsidRDefault="004A5067" w:rsidP="004A5067">
      <w:pPr>
        <w:numPr>
          <w:ilvl w:val="0"/>
          <w:numId w:val="10"/>
        </w:numPr>
        <w:jc w:val="both"/>
        <w:rPr>
          <w:rFonts w:ascii="Arial" w:hAnsi="Arial" w:cs="Arial"/>
          <w:i w:val="0"/>
          <w:iCs w:val="0"/>
          <w:color w:val="000000" w:themeColor="text1"/>
          <w:lang w:val="en-IN"/>
        </w:rPr>
      </w:pPr>
      <w:r w:rsidRPr="004A5067">
        <w:rPr>
          <w:rFonts w:ascii="Arial" w:hAnsi="Arial" w:cs="Arial"/>
          <w:b/>
          <w:bCs/>
          <w:i w:val="0"/>
          <w:iCs w:val="0"/>
          <w:color w:val="000000" w:themeColor="text1"/>
          <w:lang w:val="en-IN"/>
        </w:rPr>
        <w:t>Credit Utilization</w:t>
      </w:r>
      <w:r w:rsidRPr="004A5067">
        <w:rPr>
          <w:rFonts w:ascii="Arial" w:hAnsi="Arial" w:cs="Arial"/>
          <w:i w:val="0"/>
          <w:iCs w:val="0"/>
          <w:color w:val="000000" w:themeColor="text1"/>
          <w:lang w:val="en-IN"/>
        </w:rPr>
        <w:t>: The ratio of current balances to total credit limits; high usage typically signals increased financial stress.</w:t>
      </w:r>
    </w:p>
    <w:p w14:paraId="773CE610" w14:textId="77777777" w:rsidR="004A5067" w:rsidRPr="004A5067" w:rsidRDefault="004A5067" w:rsidP="004A5067">
      <w:pPr>
        <w:numPr>
          <w:ilvl w:val="0"/>
          <w:numId w:val="10"/>
        </w:numPr>
        <w:jc w:val="both"/>
        <w:rPr>
          <w:rFonts w:ascii="Arial" w:hAnsi="Arial" w:cs="Arial"/>
          <w:i w:val="0"/>
          <w:iCs w:val="0"/>
          <w:color w:val="000000" w:themeColor="text1"/>
          <w:lang w:val="en-IN"/>
        </w:rPr>
      </w:pPr>
      <w:r w:rsidRPr="004A5067">
        <w:rPr>
          <w:rFonts w:ascii="Arial" w:hAnsi="Arial" w:cs="Arial"/>
          <w:b/>
          <w:bCs/>
          <w:i w:val="0"/>
          <w:iCs w:val="0"/>
          <w:color w:val="000000" w:themeColor="text1"/>
          <w:lang w:val="en-IN"/>
        </w:rPr>
        <w:t>Payment History (Month_1 to Month_6)</w:t>
      </w:r>
      <w:r w:rsidRPr="004A5067">
        <w:rPr>
          <w:rFonts w:ascii="Arial" w:hAnsi="Arial" w:cs="Arial"/>
          <w:i w:val="0"/>
          <w:iCs w:val="0"/>
          <w:color w:val="000000" w:themeColor="text1"/>
          <w:lang w:val="en-IN"/>
        </w:rPr>
        <w:t>: Categorical data showing recent patterns of on-time, late, or missed status to identify worsening trends.</w:t>
      </w:r>
    </w:p>
    <w:p w14:paraId="7652FD01" w14:textId="77777777" w:rsidR="004A5067" w:rsidRPr="004A5067" w:rsidRDefault="004A5067" w:rsidP="004A5067">
      <w:pPr>
        <w:numPr>
          <w:ilvl w:val="0"/>
          <w:numId w:val="10"/>
        </w:numPr>
        <w:jc w:val="both"/>
        <w:rPr>
          <w:rFonts w:ascii="Arial" w:hAnsi="Arial" w:cs="Arial"/>
          <w:i w:val="0"/>
          <w:iCs w:val="0"/>
          <w:color w:val="000000" w:themeColor="text1"/>
          <w:lang w:val="en-IN"/>
        </w:rPr>
      </w:pPr>
      <w:proofErr w:type="spellStart"/>
      <w:r w:rsidRPr="004A5067">
        <w:rPr>
          <w:rFonts w:ascii="Arial" w:hAnsi="Arial" w:cs="Arial"/>
          <w:b/>
          <w:bCs/>
          <w:i w:val="0"/>
          <w:iCs w:val="0"/>
          <w:color w:val="000000" w:themeColor="text1"/>
          <w:lang w:val="en-IN"/>
        </w:rPr>
        <w:t>Debt_to_Income_Ratio</w:t>
      </w:r>
      <w:proofErr w:type="spellEnd"/>
      <w:r w:rsidRPr="004A5067">
        <w:rPr>
          <w:rFonts w:ascii="Arial" w:hAnsi="Arial" w:cs="Arial"/>
          <w:i w:val="0"/>
          <w:iCs w:val="0"/>
          <w:color w:val="000000" w:themeColor="text1"/>
          <w:lang w:val="en-IN"/>
        </w:rPr>
        <w:t>: A numerical percentage representing the customer's total debt burden relative to their earning capacity.</w:t>
      </w:r>
    </w:p>
    <w:p w14:paraId="68C0FFAE" w14:textId="77777777" w:rsidR="004A5067" w:rsidRPr="004A5067" w:rsidRDefault="004A5067" w:rsidP="004A5067">
      <w:pPr>
        <w:numPr>
          <w:ilvl w:val="0"/>
          <w:numId w:val="10"/>
        </w:numPr>
        <w:jc w:val="both"/>
        <w:rPr>
          <w:rFonts w:ascii="Arial" w:hAnsi="Arial" w:cs="Arial"/>
          <w:i w:val="0"/>
          <w:iCs w:val="0"/>
          <w:color w:val="000000" w:themeColor="text1"/>
          <w:lang w:val="en-IN"/>
        </w:rPr>
      </w:pPr>
      <w:r w:rsidRPr="004A5067">
        <w:rPr>
          <w:rFonts w:ascii="Arial" w:hAnsi="Arial" w:cs="Arial"/>
          <w:b/>
          <w:bCs/>
          <w:i w:val="0"/>
          <w:iCs w:val="0"/>
          <w:color w:val="000000" w:themeColor="text1"/>
          <w:lang w:val="en-IN"/>
        </w:rPr>
        <w:t>Credit Score</w:t>
      </w:r>
      <w:r w:rsidRPr="004A5067">
        <w:rPr>
          <w:rFonts w:ascii="Arial" w:hAnsi="Arial" w:cs="Arial"/>
          <w:i w:val="0"/>
          <w:iCs w:val="0"/>
          <w:color w:val="000000" w:themeColor="text1"/>
          <w:lang w:val="en-IN"/>
        </w:rPr>
        <w:t>: A standardized numerical metric (300–850) that summarizes a customer's historical creditworthiness.</w:t>
      </w:r>
    </w:p>
    <w:p w14:paraId="35E39D13" w14:textId="77777777" w:rsidR="004B5529"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55039216" w14:textId="7CAECD9D" w:rsidR="00777846" w:rsidRPr="00777846" w:rsidRDefault="00777846" w:rsidP="00777846">
      <w:pPr>
        <w:jc w:val="both"/>
        <w:rPr>
          <w:rFonts w:ascii="Arial" w:hAnsi="Arial" w:cs="Arial"/>
          <w:i w:val="0"/>
          <w:iCs w:val="0"/>
          <w:color w:val="000000" w:themeColor="text1"/>
        </w:rPr>
      </w:pPr>
      <w:r w:rsidRPr="00777846">
        <w:rPr>
          <w:rFonts w:ascii="Arial" w:hAnsi="Arial" w:cs="Arial"/>
          <w:i w:val="0"/>
          <w:iCs w:val="0"/>
          <w:color w:val="000000" w:themeColor="text1"/>
        </w:rPr>
        <w:t xml:space="preserve">The selection of Gradient Boosted Decision Trees is driven by the need for high Accuracy and the ability to handle the specific complexities of </w:t>
      </w:r>
      <w:proofErr w:type="spellStart"/>
      <w:r w:rsidRPr="00777846">
        <w:rPr>
          <w:rFonts w:ascii="Arial" w:hAnsi="Arial" w:cs="Arial"/>
          <w:i w:val="0"/>
          <w:iCs w:val="0"/>
          <w:color w:val="000000" w:themeColor="text1"/>
        </w:rPr>
        <w:t>Geldium’s</w:t>
      </w:r>
      <w:proofErr w:type="spellEnd"/>
      <w:r w:rsidRPr="00777846">
        <w:rPr>
          <w:rFonts w:ascii="Arial" w:hAnsi="Arial" w:cs="Arial"/>
          <w:i w:val="0"/>
          <w:iCs w:val="0"/>
          <w:color w:val="000000" w:themeColor="text1"/>
        </w:rPr>
        <w:t xml:space="preserve"> financial dataset. Unlike simple Logistic Regression, which assumes linear relationships, GBDT can identify complex interactions between features like Income and </w:t>
      </w:r>
      <w:proofErr w:type="spellStart"/>
      <w:r w:rsidRPr="00777846">
        <w:rPr>
          <w:rFonts w:ascii="Arial" w:hAnsi="Arial" w:cs="Arial"/>
          <w:i w:val="0"/>
          <w:iCs w:val="0"/>
          <w:color w:val="000000" w:themeColor="text1"/>
        </w:rPr>
        <w:t>Debt_to_Income_Ratio</w:t>
      </w:r>
      <w:proofErr w:type="spellEnd"/>
      <w:r w:rsidRPr="00777846">
        <w:rPr>
          <w:rFonts w:ascii="Arial" w:hAnsi="Arial" w:cs="Arial"/>
          <w:i w:val="0"/>
          <w:iCs w:val="0"/>
          <w:color w:val="000000" w:themeColor="text1"/>
        </w:rPr>
        <w:t>. While complex models are often seen as "black boxes," tools like SHAP (Shapley Additive Explanations) can be used to maintain transparency by assigning importance values to each feature. This ensures the model meets regulatory requirements for explainability in financial services while providing superior predictive power to identify high-risk customers before they default.</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0736978A" w14:textId="6EC7B004" w:rsidR="00777846" w:rsidRPr="00777846" w:rsidRDefault="00777846" w:rsidP="00777846">
      <w:pPr>
        <w:rPr>
          <w:rFonts w:ascii="Arial" w:hAnsi="Arial" w:cs="Arial"/>
          <w:i w:val="0"/>
          <w:iCs w:val="0"/>
          <w:color w:val="000000" w:themeColor="text1"/>
          <w:lang w:val="en-IN"/>
        </w:rPr>
      </w:pPr>
      <w:r w:rsidRPr="00777846">
        <w:rPr>
          <w:rFonts w:ascii="Arial" w:hAnsi="Arial" w:cs="Arial"/>
          <w:i w:val="0"/>
          <w:iCs w:val="0"/>
          <w:color w:val="000000" w:themeColor="text1"/>
          <w:lang w:val="en-IN"/>
        </w:rPr>
        <w:t>To ensure the model is both effective and ethical, the following evaluation framework will be used:</w:t>
      </w:r>
    </w:p>
    <w:p w14:paraId="54603D48" w14:textId="77777777" w:rsidR="00777846" w:rsidRPr="00777846" w:rsidRDefault="00777846" w:rsidP="00777846">
      <w:pPr>
        <w:rPr>
          <w:rFonts w:ascii="Arial" w:hAnsi="Arial" w:cs="Arial"/>
          <w:b/>
          <w:bCs/>
          <w:i w:val="0"/>
          <w:iCs w:val="0"/>
          <w:color w:val="000000" w:themeColor="text1"/>
          <w:lang w:val="en-IN"/>
        </w:rPr>
      </w:pPr>
      <w:r w:rsidRPr="00777846">
        <w:rPr>
          <w:rFonts w:ascii="Arial" w:hAnsi="Arial" w:cs="Arial"/>
          <w:b/>
          <w:bCs/>
          <w:i w:val="0"/>
          <w:iCs w:val="0"/>
          <w:color w:val="000000" w:themeColor="text1"/>
          <w:lang w:val="en-IN"/>
        </w:rPr>
        <w:lastRenderedPageBreak/>
        <w:t>Performance Metrics</w:t>
      </w:r>
    </w:p>
    <w:p w14:paraId="0B1BDD2F" w14:textId="77777777" w:rsidR="00777846" w:rsidRPr="00777846" w:rsidRDefault="00777846" w:rsidP="00777846">
      <w:pPr>
        <w:numPr>
          <w:ilvl w:val="0"/>
          <w:numId w:val="11"/>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Recall:</w:t>
      </w:r>
      <w:r w:rsidRPr="00777846">
        <w:rPr>
          <w:rFonts w:ascii="Arial" w:hAnsi="Arial" w:cs="Arial"/>
          <w:i w:val="0"/>
          <w:iCs w:val="0"/>
          <w:color w:val="000000" w:themeColor="text1"/>
          <w:lang w:val="en-IN"/>
        </w:rPr>
        <w:t xml:space="preserve"> This is our primary metric. It measures the percentage of actual delinquent cases the model correctly identifies. In credit risk, missing a delinquent customer (a False Negative) is more costly than a False Positive.</w:t>
      </w:r>
    </w:p>
    <w:p w14:paraId="47010860" w14:textId="77777777" w:rsidR="00777846" w:rsidRPr="00777846" w:rsidRDefault="00777846" w:rsidP="00777846">
      <w:pPr>
        <w:numPr>
          <w:ilvl w:val="0"/>
          <w:numId w:val="11"/>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F1 Score:</w:t>
      </w:r>
      <w:r w:rsidRPr="00777846">
        <w:rPr>
          <w:rFonts w:ascii="Arial" w:hAnsi="Arial" w:cs="Arial"/>
          <w:i w:val="0"/>
          <w:iCs w:val="0"/>
          <w:color w:val="000000" w:themeColor="text1"/>
          <w:lang w:val="en-IN"/>
        </w:rPr>
        <w:t xml:space="preserve"> We will use this to find a balance between </w:t>
      </w:r>
      <w:r w:rsidRPr="00777846">
        <w:rPr>
          <w:rFonts w:ascii="Arial" w:hAnsi="Arial" w:cs="Arial"/>
          <w:b/>
          <w:bCs/>
          <w:i w:val="0"/>
          <w:iCs w:val="0"/>
          <w:color w:val="000000" w:themeColor="text1"/>
          <w:lang w:val="en-IN"/>
        </w:rPr>
        <w:t>Precision</w:t>
      </w:r>
      <w:r w:rsidRPr="00777846">
        <w:rPr>
          <w:rFonts w:ascii="Arial" w:hAnsi="Arial" w:cs="Arial"/>
          <w:i w:val="0"/>
          <w:iCs w:val="0"/>
          <w:color w:val="000000" w:themeColor="text1"/>
          <w:lang w:val="en-IN"/>
        </w:rPr>
        <w:t xml:space="preserve"> and </w:t>
      </w:r>
      <w:r w:rsidRPr="00777846">
        <w:rPr>
          <w:rFonts w:ascii="Arial" w:hAnsi="Arial" w:cs="Arial"/>
          <w:b/>
          <w:bCs/>
          <w:i w:val="0"/>
          <w:iCs w:val="0"/>
          <w:color w:val="000000" w:themeColor="text1"/>
          <w:lang w:val="en-IN"/>
        </w:rPr>
        <w:t>Recall</w:t>
      </w:r>
      <w:r w:rsidRPr="00777846">
        <w:rPr>
          <w:rFonts w:ascii="Arial" w:hAnsi="Arial" w:cs="Arial"/>
          <w:i w:val="0"/>
          <w:iCs w:val="0"/>
          <w:color w:val="000000" w:themeColor="text1"/>
          <w:lang w:val="en-IN"/>
        </w:rPr>
        <w:t>, ensuring we don't flag too many healthy customers as high-risk.</w:t>
      </w:r>
    </w:p>
    <w:p w14:paraId="0DAB1C7A" w14:textId="77777777" w:rsidR="00777846" w:rsidRPr="00777846" w:rsidRDefault="00777846" w:rsidP="00777846">
      <w:pPr>
        <w:numPr>
          <w:ilvl w:val="0"/>
          <w:numId w:val="11"/>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AUC-ROC:</w:t>
      </w:r>
      <w:r w:rsidRPr="00777846">
        <w:rPr>
          <w:rFonts w:ascii="Arial" w:hAnsi="Arial" w:cs="Arial"/>
          <w:i w:val="0"/>
          <w:iCs w:val="0"/>
          <w:color w:val="000000" w:themeColor="text1"/>
          <w:lang w:val="en-IN"/>
        </w:rPr>
        <w:t xml:space="preserve"> This will measure the model's ability to separate delinquent customers from non-delinquent ones across various thresholds.</w:t>
      </w:r>
    </w:p>
    <w:p w14:paraId="78702060" w14:textId="77777777" w:rsidR="00777846" w:rsidRPr="00777846" w:rsidRDefault="00777846" w:rsidP="00777846">
      <w:pPr>
        <w:numPr>
          <w:ilvl w:val="0"/>
          <w:numId w:val="11"/>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Confusion Matrix:</w:t>
      </w:r>
      <w:r w:rsidRPr="00777846">
        <w:rPr>
          <w:rFonts w:ascii="Arial" w:hAnsi="Arial" w:cs="Arial"/>
          <w:i w:val="0"/>
          <w:iCs w:val="0"/>
          <w:color w:val="000000" w:themeColor="text1"/>
          <w:lang w:val="en-IN"/>
        </w:rPr>
        <w:t xml:space="preserve"> A table to visualize True Positives, True Negatives, False Positives, and False Negatives.</w:t>
      </w:r>
    </w:p>
    <w:p w14:paraId="0096FB97" w14:textId="77777777" w:rsidR="00777846" w:rsidRPr="00777846" w:rsidRDefault="00777846" w:rsidP="00777846">
      <w:pPr>
        <w:rPr>
          <w:rFonts w:ascii="Arial" w:hAnsi="Arial" w:cs="Arial"/>
          <w:b/>
          <w:bCs/>
          <w:i w:val="0"/>
          <w:iCs w:val="0"/>
          <w:color w:val="000000" w:themeColor="text1"/>
          <w:lang w:val="en-IN"/>
        </w:rPr>
      </w:pPr>
      <w:r w:rsidRPr="00777846">
        <w:rPr>
          <w:rFonts w:ascii="Arial" w:hAnsi="Arial" w:cs="Arial"/>
          <w:b/>
          <w:bCs/>
          <w:i w:val="0"/>
          <w:iCs w:val="0"/>
          <w:color w:val="000000" w:themeColor="text1"/>
          <w:lang w:val="en-IN"/>
        </w:rPr>
        <w:t>Fairness and Bias Detection</w:t>
      </w:r>
    </w:p>
    <w:p w14:paraId="3B3E74F2" w14:textId="77777777" w:rsidR="00777846" w:rsidRPr="00777846" w:rsidRDefault="00777846" w:rsidP="00777846">
      <w:pPr>
        <w:numPr>
          <w:ilvl w:val="0"/>
          <w:numId w:val="12"/>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Bias Check:</w:t>
      </w:r>
      <w:r w:rsidRPr="00777846">
        <w:rPr>
          <w:rFonts w:ascii="Arial" w:hAnsi="Arial" w:cs="Arial"/>
          <w:i w:val="0"/>
          <w:iCs w:val="0"/>
          <w:color w:val="000000" w:themeColor="text1"/>
          <w:lang w:val="en-IN"/>
        </w:rPr>
        <w:t xml:space="preserve"> We will monitor for </w:t>
      </w:r>
      <w:r w:rsidRPr="00777846">
        <w:rPr>
          <w:rFonts w:ascii="Arial" w:hAnsi="Arial" w:cs="Arial"/>
          <w:b/>
          <w:bCs/>
          <w:i w:val="0"/>
          <w:iCs w:val="0"/>
          <w:color w:val="000000" w:themeColor="text1"/>
          <w:lang w:val="en-IN"/>
        </w:rPr>
        <w:t>Systematic Errors</w:t>
      </w:r>
      <w:r w:rsidRPr="00777846">
        <w:rPr>
          <w:rFonts w:ascii="Arial" w:hAnsi="Arial" w:cs="Arial"/>
          <w:i w:val="0"/>
          <w:iCs w:val="0"/>
          <w:color w:val="000000" w:themeColor="text1"/>
          <w:lang w:val="en-IN"/>
        </w:rPr>
        <w:t xml:space="preserve"> that might lead to unfair outcomes for specific groups.</w:t>
      </w:r>
    </w:p>
    <w:p w14:paraId="66193E61" w14:textId="77777777" w:rsidR="00777846" w:rsidRPr="00777846" w:rsidRDefault="00777846" w:rsidP="00777846">
      <w:pPr>
        <w:numPr>
          <w:ilvl w:val="0"/>
          <w:numId w:val="12"/>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Demographic Parity:</w:t>
      </w:r>
      <w:r w:rsidRPr="00777846">
        <w:rPr>
          <w:rFonts w:ascii="Arial" w:hAnsi="Arial" w:cs="Arial"/>
          <w:i w:val="0"/>
          <w:iCs w:val="0"/>
          <w:color w:val="000000" w:themeColor="text1"/>
          <w:lang w:val="en-IN"/>
        </w:rPr>
        <w:t xml:space="preserve"> We will test if the model's predictions are independent of sensitive attributes like </w:t>
      </w:r>
      <w:r w:rsidRPr="00777846">
        <w:rPr>
          <w:rFonts w:ascii="Arial" w:hAnsi="Arial" w:cs="Arial"/>
          <w:b/>
          <w:bCs/>
          <w:i w:val="0"/>
          <w:iCs w:val="0"/>
          <w:color w:val="000000" w:themeColor="text1"/>
          <w:lang w:val="en-IN"/>
        </w:rPr>
        <w:t>Age</w:t>
      </w:r>
      <w:r w:rsidRPr="00777846">
        <w:rPr>
          <w:rFonts w:ascii="Arial" w:hAnsi="Arial" w:cs="Arial"/>
          <w:i w:val="0"/>
          <w:iCs w:val="0"/>
          <w:color w:val="000000" w:themeColor="text1"/>
          <w:lang w:val="en-IN"/>
        </w:rPr>
        <w:t xml:space="preserve"> or </w:t>
      </w:r>
      <w:r w:rsidRPr="00777846">
        <w:rPr>
          <w:rFonts w:ascii="Arial" w:hAnsi="Arial" w:cs="Arial"/>
          <w:b/>
          <w:bCs/>
          <w:i w:val="0"/>
          <w:iCs w:val="0"/>
          <w:color w:val="000000" w:themeColor="text1"/>
          <w:lang w:val="en-IN"/>
        </w:rPr>
        <w:t>Location</w:t>
      </w:r>
      <w:r w:rsidRPr="00777846">
        <w:rPr>
          <w:rFonts w:ascii="Arial" w:hAnsi="Arial" w:cs="Arial"/>
          <w:i w:val="0"/>
          <w:iCs w:val="0"/>
          <w:color w:val="000000" w:themeColor="text1"/>
          <w:lang w:val="en-IN"/>
        </w:rPr>
        <w:t xml:space="preserve"> to ensure equitable treatment.</w:t>
      </w:r>
    </w:p>
    <w:p w14:paraId="717B0C11" w14:textId="77777777" w:rsidR="00777846" w:rsidRPr="00777846" w:rsidRDefault="00777846" w:rsidP="00777846">
      <w:pPr>
        <w:numPr>
          <w:ilvl w:val="0"/>
          <w:numId w:val="12"/>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Disparate Impact:</w:t>
      </w:r>
      <w:r w:rsidRPr="00777846">
        <w:rPr>
          <w:rFonts w:ascii="Arial" w:hAnsi="Arial" w:cs="Arial"/>
          <w:i w:val="0"/>
          <w:iCs w:val="0"/>
          <w:color w:val="000000" w:themeColor="text1"/>
          <w:lang w:val="en-IN"/>
        </w:rPr>
        <w:t xml:space="preserve"> We will calculate if positive outcomes (like loan approvals) are distributed evenly across different demographic groups to prevent unintentional discrimination.</w:t>
      </w:r>
    </w:p>
    <w:p w14:paraId="188AD98C" w14:textId="77777777" w:rsidR="00777846" w:rsidRPr="00777846" w:rsidRDefault="00777846" w:rsidP="00777846">
      <w:pPr>
        <w:rPr>
          <w:rFonts w:ascii="Arial" w:hAnsi="Arial" w:cs="Arial"/>
          <w:i w:val="0"/>
          <w:iCs w:val="0"/>
          <w:color w:val="000000" w:themeColor="text1"/>
          <w:lang w:val="en-IN"/>
        </w:rPr>
      </w:pPr>
      <w:r w:rsidRPr="00777846">
        <w:rPr>
          <w:rFonts w:ascii="Arial" w:hAnsi="Arial" w:cs="Arial"/>
          <w:i w:val="0"/>
          <w:iCs w:val="0"/>
          <w:color w:val="000000" w:themeColor="text1"/>
          <w:lang w:val="en-IN"/>
        </w:rPr>
        <w:pict w14:anchorId="317C4382">
          <v:rect id="_x0000_i1031" style="width:0;height:1.5pt" o:hralign="center" o:hrstd="t" o:hr="t" fillcolor="#a0a0a0" stroked="f"/>
        </w:pict>
      </w:r>
    </w:p>
    <w:p w14:paraId="2D2F0295" w14:textId="4D1B759F" w:rsidR="004B5529" w:rsidRPr="00E31114" w:rsidRDefault="004B5529" w:rsidP="00777846">
      <w:pPr>
        <w:rPr>
          <w:rFonts w:ascii="Arial" w:hAnsi="Arial" w:cs="Arial"/>
          <w:i w:val="0"/>
          <w:iCs w:val="0"/>
          <w:color w:val="000000" w:themeColor="text1"/>
        </w:rPr>
      </w:pP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E82DE" w14:textId="77777777" w:rsidR="009B7BF8" w:rsidRDefault="009B7BF8" w:rsidP="00E31114">
      <w:pPr>
        <w:spacing w:after="0" w:line="240" w:lineRule="auto"/>
      </w:pPr>
      <w:r>
        <w:separator/>
      </w:r>
    </w:p>
  </w:endnote>
  <w:endnote w:type="continuationSeparator" w:id="0">
    <w:p w14:paraId="3282A631" w14:textId="77777777" w:rsidR="009B7BF8" w:rsidRDefault="009B7BF8"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2A179" w14:textId="77777777" w:rsidR="009B7BF8" w:rsidRDefault="009B7BF8" w:rsidP="00E31114">
      <w:pPr>
        <w:spacing w:after="0" w:line="240" w:lineRule="auto"/>
      </w:pPr>
      <w:r>
        <w:separator/>
      </w:r>
    </w:p>
  </w:footnote>
  <w:footnote w:type="continuationSeparator" w:id="0">
    <w:p w14:paraId="06609D69" w14:textId="77777777" w:rsidR="009B7BF8" w:rsidRDefault="009B7BF8"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4C5404"/>
    <w:multiLevelType w:val="multilevel"/>
    <w:tmpl w:val="C32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F78CE"/>
    <w:multiLevelType w:val="multilevel"/>
    <w:tmpl w:val="A6C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35C6A"/>
    <w:multiLevelType w:val="multilevel"/>
    <w:tmpl w:val="1C4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41121460">
    <w:abstractNumId w:val="9"/>
  </w:num>
  <w:num w:numId="11" w16cid:durableId="949432702">
    <w:abstractNumId w:val="10"/>
  </w:num>
  <w:num w:numId="12" w16cid:durableId="14592572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14F"/>
    <w:rsid w:val="0029639D"/>
    <w:rsid w:val="00326F90"/>
    <w:rsid w:val="004A5067"/>
    <w:rsid w:val="004B5529"/>
    <w:rsid w:val="006B504F"/>
    <w:rsid w:val="00777846"/>
    <w:rsid w:val="008237CA"/>
    <w:rsid w:val="0091437B"/>
    <w:rsid w:val="009B7BF8"/>
    <w:rsid w:val="00AA1D8D"/>
    <w:rsid w:val="00B47730"/>
    <w:rsid w:val="00BD462F"/>
    <w:rsid w:val="00CB0664"/>
    <w:rsid w:val="00D54BA0"/>
    <w:rsid w:val="00D6028F"/>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Anuja Suresh</cp:lastModifiedBy>
  <cp:revision>4</cp:revision>
  <dcterms:created xsi:type="dcterms:W3CDTF">2013-12-23T23:15:00Z</dcterms:created>
  <dcterms:modified xsi:type="dcterms:W3CDTF">2026-03-10T16:08:00Z</dcterms:modified>
  <cp:category/>
</cp:coreProperties>
</file>