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83A6" w14:textId="77777777" w:rsidR="007D72C2" w:rsidRPr="00A537D1" w:rsidRDefault="00A537D1">
      <w:pPr>
        <w:pStyle w:val="Title"/>
        <w:jc w:val="center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Business Summary Report: Predictive Insights for Collections Strategy</w:t>
      </w:r>
    </w:p>
    <w:p w14:paraId="2F4337BF" w14:textId="77777777" w:rsidR="007D72C2" w:rsidRPr="00A537D1" w:rsidRDefault="00A537D1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1. Summary of Predictive Insights</w:t>
      </w:r>
    </w:p>
    <w:p w14:paraId="4D2CB213" w14:textId="77777777" w:rsidR="00581F63" w:rsidRPr="00581F63" w:rsidRDefault="00581F63" w:rsidP="00581F63">
      <w:pPr>
        <w:rPr>
          <w:rFonts w:ascii="Arial" w:hAnsi="Arial" w:cs="Arial"/>
          <w:color w:val="000000" w:themeColor="text1"/>
          <w:lang w:val="en-IN"/>
        </w:rPr>
      </w:pPr>
      <w:r w:rsidRPr="00581F63">
        <w:rPr>
          <w:rFonts w:ascii="Arial" w:hAnsi="Arial" w:cs="Arial"/>
          <w:color w:val="000000" w:themeColor="text1"/>
          <w:lang w:val="en-IN"/>
        </w:rPr>
        <w:t xml:space="preserve">The predictive analysis identifies that high-risk delinquency is driven by a combination of high debt burdens and specific negative </w:t>
      </w:r>
      <w:proofErr w:type="spellStart"/>
      <w:r w:rsidRPr="00581F63">
        <w:rPr>
          <w:rFonts w:ascii="Arial" w:hAnsi="Arial" w:cs="Arial"/>
          <w:color w:val="000000" w:themeColor="text1"/>
          <w:lang w:val="en-IN"/>
        </w:rPr>
        <w:t>behavioral</w:t>
      </w:r>
      <w:proofErr w:type="spellEnd"/>
      <w:r w:rsidRPr="00581F63">
        <w:rPr>
          <w:rFonts w:ascii="Arial" w:hAnsi="Arial" w:cs="Arial"/>
          <w:color w:val="000000" w:themeColor="text1"/>
          <w:lang w:val="en-IN"/>
        </w:rPr>
        <w:t xml:space="preserve"> shifts. </w:t>
      </w:r>
    </w:p>
    <w:p w14:paraId="46B85240" w14:textId="77777777" w:rsidR="00581F63" w:rsidRPr="00581F63" w:rsidRDefault="00581F63" w:rsidP="00581F63">
      <w:pPr>
        <w:numPr>
          <w:ilvl w:val="0"/>
          <w:numId w:val="10"/>
        </w:numPr>
        <w:rPr>
          <w:rFonts w:ascii="Arial" w:hAnsi="Arial" w:cs="Arial"/>
          <w:color w:val="000000" w:themeColor="text1"/>
          <w:lang w:val="en-IN"/>
        </w:rPr>
      </w:pPr>
      <w:r w:rsidRPr="00581F63">
        <w:rPr>
          <w:rFonts w:ascii="Arial" w:hAnsi="Arial" w:cs="Arial"/>
          <w:b/>
          <w:bCs/>
          <w:color w:val="000000" w:themeColor="text1"/>
          <w:lang w:val="en-IN"/>
        </w:rPr>
        <w:t>High-Risk Segments</w:t>
      </w:r>
      <w:r w:rsidRPr="00581F63">
        <w:rPr>
          <w:rFonts w:ascii="Arial" w:hAnsi="Arial" w:cs="Arial"/>
          <w:color w:val="000000" w:themeColor="text1"/>
          <w:lang w:val="en-IN"/>
        </w:rPr>
        <w:t xml:space="preserve">: Customers with high </w:t>
      </w:r>
      <w:r w:rsidRPr="00581F63">
        <w:rPr>
          <w:rFonts w:ascii="Arial" w:hAnsi="Arial" w:cs="Arial"/>
          <w:b/>
          <w:bCs/>
          <w:color w:val="000000" w:themeColor="text1"/>
          <w:lang w:val="en-IN"/>
        </w:rPr>
        <w:t>Credit Utilization</w:t>
      </w:r>
      <w:r w:rsidRPr="00581F63">
        <w:rPr>
          <w:rFonts w:ascii="Arial" w:hAnsi="Arial" w:cs="Arial"/>
          <w:color w:val="000000" w:themeColor="text1"/>
          <w:lang w:val="en-IN"/>
        </w:rPr>
        <w:t xml:space="preserve"> and elevated </w:t>
      </w:r>
      <w:r w:rsidRPr="00581F63">
        <w:rPr>
          <w:rFonts w:ascii="Arial" w:hAnsi="Arial" w:cs="Arial"/>
          <w:b/>
          <w:bCs/>
          <w:color w:val="000000" w:themeColor="text1"/>
          <w:lang w:val="en-IN"/>
        </w:rPr>
        <w:t>Debt-to-Income Ratios</w:t>
      </w:r>
      <w:r w:rsidRPr="00581F63">
        <w:rPr>
          <w:rFonts w:ascii="Arial" w:hAnsi="Arial" w:cs="Arial"/>
          <w:color w:val="000000" w:themeColor="text1"/>
          <w:lang w:val="en-IN"/>
        </w:rPr>
        <w:t xml:space="preserve"> are at the greatest risk of default. </w:t>
      </w:r>
    </w:p>
    <w:p w14:paraId="283848CD" w14:textId="45AAFF6D" w:rsidR="00581F63" w:rsidRPr="00581F63" w:rsidRDefault="00581F63" w:rsidP="00581F63">
      <w:pPr>
        <w:numPr>
          <w:ilvl w:val="0"/>
          <w:numId w:val="10"/>
        </w:numPr>
        <w:rPr>
          <w:rFonts w:ascii="Arial" w:hAnsi="Arial" w:cs="Arial"/>
          <w:color w:val="000000" w:themeColor="text1"/>
          <w:lang w:val="en-IN"/>
        </w:rPr>
      </w:pPr>
      <w:r w:rsidRPr="00581F63">
        <w:rPr>
          <w:rFonts w:ascii="Arial" w:hAnsi="Arial" w:cs="Arial"/>
          <w:b/>
          <w:bCs/>
          <w:color w:val="000000" w:themeColor="text1"/>
          <w:lang w:val="en-IN"/>
        </w:rPr>
        <w:t>Key Predictors</w:t>
      </w:r>
      <w:r w:rsidRPr="00581F63">
        <w:rPr>
          <w:rFonts w:ascii="Arial" w:hAnsi="Arial" w:cs="Arial"/>
          <w:color w:val="000000" w:themeColor="text1"/>
          <w:lang w:val="en-IN"/>
        </w:rPr>
        <w:t xml:space="preserve">: The total count of </w:t>
      </w:r>
      <w:proofErr w:type="spellStart"/>
      <w:r w:rsidRPr="00581F63">
        <w:rPr>
          <w:rFonts w:ascii="Arial" w:hAnsi="Arial" w:cs="Arial"/>
          <w:b/>
          <w:bCs/>
          <w:color w:val="000000" w:themeColor="text1"/>
          <w:lang w:val="en-IN"/>
        </w:rPr>
        <w:t>Missed_Payments</w:t>
      </w:r>
      <w:proofErr w:type="spellEnd"/>
      <w:r w:rsidRPr="00581F63">
        <w:rPr>
          <w:rFonts w:ascii="Arial" w:hAnsi="Arial" w:cs="Arial"/>
          <w:color w:val="000000" w:themeColor="text1"/>
          <w:lang w:val="en-IN"/>
        </w:rPr>
        <w:t xml:space="preserve"> in the last 12 months is the strongest individual indicator of risk. Additionally, payment history trends from </w:t>
      </w:r>
      <w:r w:rsidRPr="00581F63">
        <w:rPr>
          <w:rFonts w:ascii="Arial" w:hAnsi="Arial" w:cs="Arial"/>
          <w:b/>
          <w:bCs/>
          <w:color w:val="000000" w:themeColor="text1"/>
          <w:lang w:val="en-IN"/>
        </w:rPr>
        <w:t>Month_1 to Month_6</w:t>
      </w:r>
      <w:r>
        <w:rPr>
          <w:rFonts w:ascii="Arial" w:hAnsi="Arial" w:cs="Arial"/>
          <w:color w:val="000000" w:themeColor="text1"/>
          <w:lang w:val="en-IN"/>
        </w:rPr>
        <w:t xml:space="preserve"> </w:t>
      </w:r>
      <w:r w:rsidRPr="00581F63">
        <w:rPr>
          <w:rFonts w:ascii="Arial" w:hAnsi="Arial" w:cs="Arial"/>
          <w:color w:val="000000" w:themeColor="text1"/>
          <w:lang w:val="en-IN"/>
        </w:rPr>
        <w:t>specifically moving from "On-time" to "Late" ($1$) or "Missed" ($2$)</w:t>
      </w:r>
      <w:r>
        <w:rPr>
          <w:rFonts w:ascii="Arial" w:hAnsi="Arial" w:cs="Arial"/>
          <w:color w:val="000000" w:themeColor="text1"/>
          <w:lang w:val="en-IN"/>
        </w:rPr>
        <w:t xml:space="preserve"> </w:t>
      </w:r>
      <w:r w:rsidRPr="00581F63">
        <w:rPr>
          <w:rFonts w:ascii="Arial" w:hAnsi="Arial" w:cs="Arial"/>
          <w:color w:val="000000" w:themeColor="text1"/>
          <w:lang w:val="en-IN"/>
        </w:rPr>
        <w:t xml:space="preserve">signal a high probability of imminent delinquency. </w:t>
      </w:r>
    </w:p>
    <w:tbl>
      <w:tblPr>
        <w:tblW w:w="5000" w:type="pct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113"/>
        <w:gridCol w:w="1488"/>
        <w:gridCol w:w="3882"/>
        <w:gridCol w:w="2217"/>
      </w:tblGrid>
      <w:tr w:rsidR="00A537D1" w:rsidRPr="00A537D1" w14:paraId="36311A05" w14:textId="77777777" w:rsidTr="00A537D1">
        <w:trPr>
          <w:trHeight w:val="332"/>
        </w:trPr>
        <w:tc>
          <w:tcPr>
            <w:tcW w:w="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6A7EA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Key Insight</w:t>
            </w:r>
          </w:p>
        </w:tc>
        <w:tc>
          <w:tcPr>
            <w:tcW w:w="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469F1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Customer Segment</w:t>
            </w:r>
          </w:p>
        </w:tc>
        <w:tc>
          <w:tcPr>
            <w:tcW w:w="22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1034A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Influencing Variables</w:t>
            </w:r>
          </w:p>
        </w:tc>
        <w:tc>
          <w:tcPr>
            <w:tcW w:w="12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80553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Potential Impact</w:t>
            </w:r>
          </w:p>
        </w:tc>
      </w:tr>
      <w:tr w:rsidR="00A537D1" w:rsidRPr="00A537D1" w14:paraId="4217145F" w14:textId="77777777" w:rsidTr="00A537D1">
        <w:trPr>
          <w:trHeight w:val="782"/>
        </w:trPr>
        <w:tc>
          <w:tcPr>
            <w:tcW w:w="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FF5A1" w14:textId="191FB8DA" w:rsidR="00A537D1" w:rsidRPr="00A537D1" w:rsidRDefault="00581F63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581F63">
              <w:rPr>
                <w:rFonts w:ascii="Arial" w:hAnsi="Arial" w:cs="Arial"/>
                <w:color w:val="000000" w:themeColor="text1"/>
                <w:sz w:val="20"/>
                <w:szCs w:val="20"/>
              </w:rPr>
              <w:t>Early Warning Signs</w:t>
            </w:r>
          </w:p>
        </w:tc>
        <w:tc>
          <w:tcPr>
            <w:tcW w:w="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EE3BA" w14:textId="5263FEE8" w:rsidR="00A537D1" w:rsidRPr="00A537D1" w:rsidRDefault="00581F63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581F63">
              <w:rPr>
                <w:rFonts w:ascii="Arial" w:hAnsi="Arial" w:cs="Arial"/>
                <w:color w:val="000000" w:themeColor="text1"/>
                <w:sz w:val="20"/>
                <w:szCs w:val="20"/>
              </w:rPr>
              <w:t>Customers transitioning from on-time to late status.</w:t>
            </w:r>
          </w:p>
        </w:tc>
        <w:tc>
          <w:tcPr>
            <w:tcW w:w="22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31FED" w14:textId="192CAE32" w:rsidR="00A537D1" w:rsidRPr="00A537D1" w:rsidRDefault="00581F63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581F63">
              <w:rPr>
                <w:rFonts w:ascii="Arial" w:hAnsi="Arial" w:cs="Arial"/>
                <w:color w:val="000000" w:themeColor="text1"/>
                <w:sz w:val="20"/>
                <w:szCs w:val="20"/>
              </w:rPr>
              <w:t>Month_1 to Month_6 History, Credit Score.</w:t>
            </w:r>
          </w:p>
        </w:tc>
        <w:tc>
          <w:tcPr>
            <w:tcW w:w="12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C9A44" w14:textId="2E06FEDD" w:rsidR="00A537D1" w:rsidRPr="00A537D1" w:rsidRDefault="00581F63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581F63">
              <w:rPr>
                <w:rFonts w:ascii="Arial" w:hAnsi="Arial" w:cs="Arial"/>
                <w:color w:val="000000" w:themeColor="text1"/>
                <w:sz w:val="20"/>
                <w:szCs w:val="20"/>
              </w:rPr>
              <w:t>Reduced default rates through early intervention.</w:t>
            </w:r>
          </w:p>
        </w:tc>
      </w:tr>
      <w:tr w:rsidR="00581F63" w:rsidRPr="00A537D1" w14:paraId="7B824C33" w14:textId="77777777" w:rsidTr="00A537D1">
        <w:trPr>
          <w:trHeight w:val="782"/>
        </w:trPr>
        <w:tc>
          <w:tcPr>
            <w:tcW w:w="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D7A05" w14:textId="1E6C04D0" w:rsidR="00581F63" w:rsidRPr="00581F63" w:rsidRDefault="00581F63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1F63">
              <w:rPr>
                <w:rFonts w:ascii="Arial" w:hAnsi="Arial" w:cs="Arial"/>
                <w:color w:val="000000" w:themeColor="text1"/>
                <w:sz w:val="20"/>
                <w:szCs w:val="20"/>
              </w:rPr>
              <w:t>High Debt Burden</w:t>
            </w:r>
          </w:p>
        </w:tc>
        <w:tc>
          <w:tcPr>
            <w:tcW w:w="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EF9D1" w14:textId="1988638F" w:rsidR="00581F63" w:rsidRPr="00581F63" w:rsidRDefault="00581F63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1F63">
              <w:rPr>
                <w:rFonts w:ascii="Arial" w:hAnsi="Arial" w:cs="Arial"/>
                <w:color w:val="000000" w:themeColor="text1"/>
                <w:sz w:val="20"/>
                <w:szCs w:val="20"/>
              </w:rPr>
              <w:t>Customers with high credit usage relative to limits.</w:t>
            </w:r>
          </w:p>
        </w:tc>
        <w:tc>
          <w:tcPr>
            <w:tcW w:w="22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2A543" w14:textId="49D9B65D" w:rsidR="00581F63" w:rsidRPr="00581F63" w:rsidRDefault="00581F63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1F6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Credit Utilization, </w:t>
            </w:r>
            <w:proofErr w:type="spellStart"/>
            <w:r w:rsidRPr="00581F63">
              <w:rPr>
                <w:rFonts w:ascii="Arial" w:hAnsi="Arial" w:cs="Arial"/>
                <w:color w:val="000000" w:themeColor="text1"/>
                <w:sz w:val="20"/>
                <w:szCs w:val="20"/>
              </w:rPr>
              <w:t>Debt_to_Income_Ratio</w:t>
            </w:r>
            <w:proofErr w:type="spellEnd"/>
            <w:r w:rsidRPr="00581F63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2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AC91E" w14:textId="50B38BF6" w:rsidR="00581F63" w:rsidRPr="00581F63" w:rsidRDefault="00581F63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1F63">
              <w:rPr>
                <w:rFonts w:ascii="Arial" w:hAnsi="Arial" w:cs="Arial"/>
                <w:color w:val="000000" w:themeColor="text1"/>
                <w:sz w:val="20"/>
                <w:szCs w:val="20"/>
              </w:rPr>
              <w:t>Prioritize these for debt restructuring offers.</w:t>
            </w:r>
          </w:p>
        </w:tc>
      </w:tr>
      <w:tr w:rsidR="00581F63" w:rsidRPr="00A537D1" w14:paraId="75ADB479" w14:textId="77777777" w:rsidTr="00A537D1">
        <w:trPr>
          <w:trHeight w:val="782"/>
        </w:trPr>
        <w:tc>
          <w:tcPr>
            <w:tcW w:w="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060DE" w14:textId="3BD632E2" w:rsidR="00581F63" w:rsidRPr="00581F63" w:rsidRDefault="00581F63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1F63">
              <w:rPr>
                <w:rFonts w:ascii="Arial" w:hAnsi="Arial" w:cs="Arial"/>
                <w:color w:val="000000" w:themeColor="text1"/>
                <w:sz w:val="20"/>
                <w:szCs w:val="20"/>
              </w:rPr>
              <w:t>Behavioral Risk</w:t>
            </w:r>
          </w:p>
        </w:tc>
        <w:tc>
          <w:tcPr>
            <w:tcW w:w="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11B8F" w14:textId="221FEBD9" w:rsidR="00581F63" w:rsidRPr="00581F63" w:rsidRDefault="00581F63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1F63">
              <w:rPr>
                <w:rFonts w:ascii="Arial" w:hAnsi="Arial" w:cs="Arial"/>
                <w:color w:val="000000" w:themeColor="text1"/>
                <w:sz w:val="20"/>
                <w:szCs w:val="20"/>
              </w:rPr>
              <w:t>Customers with multiple recent lapses.</w:t>
            </w:r>
          </w:p>
        </w:tc>
        <w:tc>
          <w:tcPr>
            <w:tcW w:w="22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B20FB" w14:textId="08249A6B" w:rsidR="00581F63" w:rsidRPr="00581F63" w:rsidRDefault="00581F63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581F63">
              <w:rPr>
                <w:rFonts w:ascii="Arial" w:hAnsi="Arial" w:cs="Arial"/>
                <w:color w:val="000000" w:themeColor="text1"/>
                <w:sz w:val="20"/>
                <w:szCs w:val="20"/>
              </w:rPr>
              <w:t>Missed_Payments</w:t>
            </w:r>
            <w:proofErr w:type="spellEnd"/>
            <w:r w:rsidRPr="00581F6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(12 months), Account Tenure.</w:t>
            </w:r>
          </w:p>
        </w:tc>
        <w:tc>
          <w:tcPr>
            <w:tcW w:w="12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D038A" w14:textId="48600B29" w:rsidR="00581F63" w:rsidRPr="00581F63" w:rsidRDefault="00581F63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81F63">
              <w:rPr>
                <w:rFonts w:ascii="Arial" w:hAnsi="Arial" w:cs="Arial"/>
                <w:color w:val="000000" w:themeColor="text1"/>
                <w:sz w:val="20"/>
                <w:szCs w:val="20"/>
              </w:rPr>
              <w:t>High accuracy in predicting 90-day delinquency.</w:t>
            </w:r>
          </w:p>
        </w:tc>
      </w:tr>
    </w:tbl>
    <w:p w14:paraId="50978634" w14:textId="77777777" w:rsidR="00A537D1" w:rsidRPr="00A537D1" w:rsidRDefault="00A537D1">
      <w:pPr>
        <w:rPr>
          <w:rFonts w:ascii="Arial" w:hAnsi="Arial" w:cs="Arial"/>
          <w:color w:val="000000" w:themeColor="text1"/>
        </w:rPr>
      </w:pPr>
    </w:p>
    <w:p w14:paraId="72833B3F" w14:textId="77777777" w:rsidR="007D72C2" w:rsidRPr="00A537D1" w:rsidRDefault="00A537D1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lastRenderedPageBreak/>
        <w:t>2. Recommendation Framework</w:t>
      </w:r>
    </w:p>
    <w:p w14:paraId="7B33B029" w14:textId="77777777" w:rsidR="00581F63" w:rsidRPr="00581F63" w:rsidRDefault="00581F63" w:rsidP="00581F63">
      <w:pPr>
        <w:pStyle w:val="Heading1"/>
        <w:spacing w:before="0"/>
        <w:jc w:val="both"/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n-IN"/>
        </w:rPr>
      </w:pPr>
      <w:r w:rsidRPr="00581F63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n-IN"/>
        </w:rPr>
        <w:t xml:space="preserve">Restated Insight: Payment history over the last 6 months is a critical indicator; customers who record a "Late" ($1$) status are significantly more likely to become fully delinquent. </w:t>
      </w:r>
    </w:p>
    <w:p w14:paraId="08FA1ED7" w14:textId="77777777" w:rsidR="00581F63" w:rsidRPr="00581F63" w:rsidRDefault="00581F63" w:rsidP="00581F63">
      <w:pPr>
        <w:pStyle w:val="Heading1"/>
        <w:spacing w:before="0"/>
        <w:jc w:val="both"/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n-IN"/>
        </w:rPr>
      </w:pPr>
      <w:r w:rsidRPr="00581F63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n-IN"/>
        </w:rPr>
        <w:t xml:space="preserve">Proposed Recommendation: Launch a "First-Lapse Intervention" program to engage customers at the moment of their first missed payment. </w:t>
      </w:r>
    </w:p>
    <w:p w14:paraId="7E7DE103" w14:textId="77777777" w:rsidR="00581F63" w:rsidRPr="00581F63" w:rsidRDefault="00581F63" w:rsidP="00581F63">
      <w:pPr>
        <w:pStyle w:val="Heading1"/>
        <w:numPr>
          <w:ilvl w:val="0"/>
          <w:numId w:val="11"/>
        </w:numPr>
        <w:spacing w:before="0"/>
        <w:jc w:val="both"/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n-IN"/>
        </w:rPr>
      </w:pPr>
      <w:r w:rsidRPr="00581F63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n-IN"/>
        </w:rPr>
        <w:t xml:space="preserve">Specific: Use the model to trigger an automated, supportive SMS and email outreach to any customer whose payment status changes from "On-time" to "Late" ($1$). </w:t>
      </w:r>
    </w:p>
    <w:p w14:paraId="3E2E3829" w14:textId="77777777" w:rsidR="00581F63" w:rsidRPr="00581F63" w:rsidRDefault="00581F63" w:rsidP="00581F63">
      <w:pPr>
        <w:pStyle w:val="Heading1"/>
        <w:numPr>
          <w:ilvl w:val="0"/>
          <w:numId w:val="11"/>
        </w:numPr>
        <w:spacing w:before="0"/>
        <w:jc w:val="both"/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n-IN"/>
        </w:rPr>
      </w:pPr>
      <w:r w:rsidRPr="00581F63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n-IN"/>
        </w:rPr>
        <w:t xml:space="preserve">Measurable: Target a 15% reduction in the number of accounts moving from "Late" ($1$) to "Delinquent" ($1$) status within the first quarter of implementation. </w:t>
      </w:r>
    </w:p>
    <w:p w14:paraId="0E2D5158" w14:textId="77777777" w:rsidR="00581F63" w:rsidRPr="00581F63" w:rsidRDefault="00581F63" w:rsidP="00581F63">
      <w:pPr>
        <w:pStyle w:val="Heading1"/>
        <w:numPr>
          <w:ilvl w:val="0"/>
          <w:numId w:val="11"/>
        </w:numPr>
        <w:spacing w:before="0"/>
        <w:jc w:val="both"/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n-IN"/>
        </w:rPr>
      </w:pPr>
      <w:r w:rsidRPr="00581F63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n-IN"/>
        </w:rPr>
        <w:t xml:space="preserve">Actionable: Leverage existing "Monthly Payment History" data fields to automate flags in the collections CRM. </w:t>
      </w:r>
    </w:p>
    <w:p w14:paraId="7B964547" w14:textId="77777777" w:rsidR="00581F63" w:rsidRPr="00581F63" w:rsidRDefault="00581F63" w:rsidP="00581F63">
      <w:pPr>
        <w:pStyle w:val="Heading1"/>
        <w:numPr>
          <w:ilvl w:val="0"/>
          <w:numId w:val="11"/>
        </w:numPr>
        <w:spacing w:before="0"/>
        <w:jc w:val="both"/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n-IN"/>
        </w:rPr>
      </w:pPr>
      <w:r w:rsidRPr="00581F63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n-IN"/>
        </w:rPr>
        <w:t xml:space="preserve">Relevant: Directly addresses the top </w:t>
      </w:r>
      <w:proofErr w:type="spellStart"/>
      <w:r w:rsidRPr="00581F63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n-IN"/>
        </w:rPr>
        <w:t>behavioral</w:t>
      </w:r>
      <w:proofErr w:type="spellEnd"/>
      <w:r w:rsidRPr="00581F63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n-IN"/>
        </w:rPr>
        <w:t xml:space="preserve"> predictor identified in the Gradient Boosted Decision Tree model to mitigate loss before it escalates. </w:t>
      </w:r>
    </w:p>
    <w:p w14:paraId="4EECAA5B" w14:textId="77777777" w:rsidR="00581F63" w:rsidRPr="00581F63" w:rsidRDefault="00581F63" w:rsidP="00581F63">
      <w:pPr>
        <w:pStyle w:val="Heading1"/>
        <w:numPr>
          <w:ilvl w:val="0"/>
          <w:numId w:val="11"/>
        </w:numPr>
        <w:spacing w:before="0"/>
        <w:jc w:val="both"/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n-IN"/>
        </w:rPr>
      </w:pPr>
      <w:r w:rsidRPr="00581F63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n-IN"/>
        </w:rPr>
        <w:t xml:space="preserve">Time-bound: Pilot the program for 90 days, with a full performance review at the end of the period. </w:t>
      </w:r>
    </w:p>
    <w:p w14:paraId="68503EBF" w14:textId="77777777" w:rsidR="00581F63" w:rsidRPr="00581F63" w:rsidRDefault="00581F63" w:rsidP="00581F63">
      <w:pPr>
        <w:pStyle w:val="Heading1"/>
        <w:spacing w:before="0"/>
        <w:jc w:val="both"/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n-IN"/>
        </w:rPr>
      </w:pPr>
      <w:r w:rsidRPr="00581F63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n-IN"/>
        </w:rPr>
        <w:t xml:space="preserve">Justification and Business Rationale: Proactive outreach is significantly more cost-effective than late-stage collections. By intervening at the first "Late" signal, </w:t>
      </w:r>
      <w:proofErr w:type="spellStart"/>
      <w:r w:rsidRPr="00581F63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n-IN"/>
        </w:rPr>
        <w:t>Geldium</w:t>
      </w:r>
      <w:proofErr w:type="spellEnd"/>
      <w:r w:rsidRPr="00581F63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n-IN"/>
        </w:rPr>
        <w:t xml:space="preserve"> can offer flexible payment solutions that preserve the customer relationship and reduce overall write-offs. </w:t>
      </w:r>
    </w:p>
    <w:p w14:paraId="08E6A272" w14:textId="77777777" w:rsidR="007D72C2" w:rsidRPr="00A537D1" w:rsidRDefault="00A537D1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3. Ethical and Responsible AI Considerations</w:t>
      </w:r>
    </w:p>
    <w:p w14:paraId="7C708AE4" w14:textId="77777777" w:rsidR="00581F63" w:rsidRPr="00581F63" w:rsidRDefault="00581F63" w:rsidP="00581F63">
      <w:pPr>
        <w:rPr>
          <w:rFonts w:ascii="Arial" w:hAnsi="Arial" w:cs="Arial"/>
          <w:color w:val="000000" w:themeColor="text1"/>
          <w:lang w:val="en-IN"/>
        </w:rPr>
      </w:pPr>
      <w:r w:rsidRPr="00581F63">
        <w:rPr>
          <w:rFonts w:ascii="Arial" w:hAnsi="Arial" w:cs="Arial"/>
          <w:color w:val="000000" w:themeColor="text1"/>
          <w:lang w:val="en-IN"/>
        </w:rPr>
        <w:t xml:space="preserve">To ensure the model is both effective and ethical, the following principles are applied: </w:t>
      </w:r>
    </w:p>
    <w:p w14:paraId="048D4CBC" w14:textId="77777777" w:rsidR="00581F63" w:rsidRPr="00581F63" w:rsidRDefault="00581F63" w:rsidP="00581F63">
      <w:pPr>
        <w:numPr>
          <w:ilvl w:val="0"/>
          <w:numId w:val="12"/>
        </w:numPr>
        <w:rPr>
          <w:rFonts w:ascii="Arial" w:hAnsi="Arial" w:cs="Arial"/>
          <w:color w:val="000000" w:themeColor="text1"/>
          <w:lang w:val="en-IN"/>
        </w:rPr>
      </w:pPr>
      <w:r w:rsidRPr="00581F63">
        <w:rPr>
          <w:rFonts w:ascii="Arial" w:hAnsi="Arial" w:cs="Arial"/>
          <w:b/>
          <w:bCs/>
          <w:color w:val="000000" w:themeColor="text1"/>
          <w:lang w:val="en-IN"/>
        </w:rPr>
        <w:t>Fairness and Bias</w:t>
      </w:r>
      <w:r w:rsidRPr="00581F63">
        <w:rPr>
          <w:rFonts w:ascii="Arial" w:hAnsi="Arial" w:cs="Arial"/>
          <w:color w:val="000000" w:themeColor="text1"/>
          <w:lang w:val="en-IN"/>
        </w:rPr>
        <w:t xml:space="preserve">: We must monitor for </w:t>
      </w:r>
      <w:r w:rsidRPr="00581F63">
        <w:rPr>
          <w:rFonts w:ascii="Arial" w:hAnsi="Arial" w:cs="Arial"/>
          <w:b/>
          <w:bCs/>
          <w:color w:val="000000" w:themeColor="text1"/>
          <w:lang w:val="en-IN"/>
        </w:rPr>
        <w:t>Systematic Errors</w:t>
      </w:r>
      <w:r w:rsidRPr="00581F63">
        <w:rPr>
          <w:rFonts w:ascii="Arial" w:hAnsi="Arial" w:cs="Arial"/>
          <w:color w:val="000000" w:themeColor="text1"/>
          <w:lang w:val="en-IN"/>
        </w:rPr>
        <w:t xml:space="preserve"> that could lead to unfair treatment. For example, the model could inadvertently penalize specific groups based on </w:t>
      </w:r>
      <w:r w:rsidRPr="00581F63">
        <w:rPr>
          <w:rFonts w:ascii="Arial" w:hAnsi="Arial" w:cs="Arial"/>
          <w:b/>
          <w:bCs/>
          <w:color w:val="000000" w:themeColor="text1"/>
          <w:lang w:val="en-IN"/>
        </w:rPr>
        <w:t>Location</w:t>
      </w:r>
      <w:r w:rsidRPr="00581F63">
        <w:rPr>
          <w:rFonts w:ascii="Arial" w:hAnsi="Arial" w:cs="Arial"/>
          <w:color w:val="000000" w:themeColor="text1"/>
          <w:lang w:val="en-IN"/>
        </w:rPr>
        <w:t xml:space="preserve"> or </w:t>
      </w:r>
      <w:r w:rsidRPr="00581F63">
        <w:rPr>
          <w:rFonts w:ascii="Arial" w:hAnsi="Arial" w:cs="Arial"/>
          <w:b/>
          <w:bCs/>
          <w:color w:val="000000" w:themeColor="text1"/>
          <w:lang w:val="en-IN"/>
        </w:rPr>
        <w:t>Age</w:t>
      </w:r>
      <w:r w:rsidRPr="00581F63">
        <w:rPr>
          <w:rFonts w:ascii="Arial" w:hAnsi="Arial" w:cs="Arial"/>
          <w:color w:val="000000" w:themeColor="text1"/>
          <w:lang w:val="en-IN"/>
        </w:rPr>
        <w:t xml:space="preserve">. To mitigate this, we will test for </w:t>
      </w:r>
      <w:r w:rsidRPr="00581F63">
        <w:rPr>
          <w:rFonts w:ascii="Arial" w:hAnsi="Arial" w:cs="Arial"/>
          <w:b/>
          <w:bCs/>
          <w:color w:val="000000" w:themeColor="text1"/>
          <w:lang w:val="en-IN"/>
        </w:rPr>
        <w:t>Demographic Parity</w:t>
      </w:r>
      <w:r w:rsidRPr="00581F63">
        <w:rPr>
          <w:rFonts w:ascii="Arial" w:hAnsi="Arial" w:cs="Arial"/>
          <w:color w:val="000000" w:themeColor="text1"/>
          <w:lang w:val="en-IN"/>
        </w:rPr>
        <w:t xml:space="preserve"> to ensure predictions are independent of these sensitive attributes. </w:t>
      </w:r>
    </w:p>
    <w:p w14:paraId="3BC57E2C" w14:textId="77777777" w:rsidR="00581F63" w:rsidRPr="00581F63" w:rsidRDefault="00581F63" w:rsidP="00581F63">
      <w:pPr>
        <w:numPr>
          <w:ilvl w:val="0"/>
          <w:numId w:val="12"/>
        </w:numPr>
        <w:rPr>
          <w:rFonts w:ascii="Arial" w:hAnsi="Arial" w:cs="Arial"/>
          <w:color w:val="000000" w:themeColor="text1"/>
          <w:lang w:val="en-IN"/>
        </w:rPr>
      </w:pPr>
      <w:r w:rsidRPr="00581F63">
        <w:rPr>
          <w:rFonts w:ascii="Arial" w:hAnsi="Arial" w:cs="Arial"/>
          <w:b/>
          <w:bCs/>
          <w:color w:val="000000" w:themeColor="text1"/>
          <w:lang w:val="en-IN"/>
        </w:rPr>
        <w:t>Explainability</w:t>
      </w:r>
      <w:r w:rsidRPr="00581F63">
        <w:rPr>
          <w:rFonts w:ascii="Arial" w:hAnsi="Arial" w:cs="Arial"/>
          <w:color w:val="000000" w:themeColor="text1"/>
          <w:lang w:val="en-IN"/>
        </w:rPr>
        <w:t xml:space="preserve">: While the model is complex, we use tools like </w:t>
      </w:r>
      <w:r w:rsidRPr="00581F63">
        <w:rPr>
          <w:rFonts w:ascii="Arial" w:hAnsi="Arial" w:cs="Arial"/>
          <w:b/>
          <w:bCs/>
          <w:color w:val="000000" w:themeColor="text1"/>
          <w:lang w:val="en-IN"/>
        </w:rPr>
        <w:t>SHAP</w:t>
      </w:r>
      <w:r w:rsidRPr="00581F63">
        <w:rPr>
          <w:rFonts w:ascii="Arial" w:hAnsi="Arial" w:cs="Arial"/>
          <w:color w:val="000000" w:themeColor="text1"/>
          <w:lang w:val="en-IN"/>
        </w:rPr>
        <w:t xml:space="preserve"> to assign importance values to each feature. This allows us to explain to stakeholders and customers exactly which factors (e.g., high utilization or missed payments) led to a specific risk rating. </w:t>
      </w:r>
    </w:p>
    <w:p w14:paraId="22862877" w14:textId="77777777" w:rsidR="00581F63" w:rsidRPr="00581F63" w:rsidRDefault="00581F63" w:rsidP="00581F63">
      <w:pPr>
        <w:numPr>
          <w:ilvl w:val="0"/>
          <w:numId w:val="12"/>
        </w:numPr>
        <w:rPr>
          <w:rFonts w:ascii="Arial" w:hAnsi="Arial" w:cs="Arial"/>
          <w:color w:val="000000" w:themeColor="text1"/>
          <w:lang w:val="en-IN"/>
        </w:rPr>
      </w:pPr>
      <w:r w:rsidRPr="00581F63">
        <w:rPr>
          <w:rFonts w:ascii="Arial" w:hAnsi="Arial" w:cs="Arial"/>
          <w:b/>
          <w:bCs/>
          <w:color w:val="000000" w:themeColor="text1"/>
          <w:lang w:val="en-IN"/>
        </w:rPr>
        <w:t>Responsible Financial Decision-Making</w:t>
      </w:r>
      <w:r w:rsidRPr="00581F63">
        <w:rPr>
          <w:rFonts w:ascii="Arial" w:hAnsi="Arial" w:cs="Arial"/>
          <w:color w:val="000000" w:themeColor="text1"/>
          <w:lang w:val="en-IN"/>
        </w:rPr>
        <w:t>: The recommendation focuses on support and flexible arrangements rather than punitive measures, ensuring the AI promotes equitable treatment across all customer groups.</w:t>
      </w:r>
    </w:p>
    <w:p w14:paraId="33EC1793" w14:textId="57C35A6A" w:rsidR="007D72C2" w:rsidRPr="00A537D1" w:rsidRDefault="007D72C2" w:rsidP="00581F63">
      <w:pPr>
        <w:rPr>
          <w:rFonts w:ascii="Arial" w:hAnsi="Arial" w:cs="Arial"/>
          <w:color w:val="000000" w:themeColor="text1"/>
        </w:rPr>
      </w:pPr>
    </w:p>
    <w:sectPr w:rsidR="007D72C2" w:rsidRPr="00A537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F0246"/>
    <w:multiLevelType w:val="multilevel"/>
    <w:tmpl w:val="B9F6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B15D7D"/>
    <w:multiLevelType w:val="multilevel"/>
    <w:tmpl w:val="ABBA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757142"/>
    <w:multiLevelType w:val="multilevel"/>
    <w:tmpl w:val="870C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674117">
    <w:abstractNumId w:val="8"/>
  </w:num>
  <w:num w:numId="2" w16cid:durableId="1801531605">
    <w:abstractNumId w:val="6"/>
  </w:num>
  <w:num w:numId="3" w16cid:durableId="486094038">
    <w:abstractNumId w:val="5"/>
  </w:num>
  <w:num w:numId="4" w16cid:durableId="255750852">
    <w:abstractNumId w:val="4"/>
  </w:num>
  <w:num w:numId="5" w16cid:durableId="1951626911">
    <w:abstractNumId w:val="7"/>
  </w:num>
  <w:num w:numId="6" w16cid:durableId="1111168920">
    <w:abstractNumId w:val="3"/>
  </w:num>
  <w:num w:numId="7" w16cid:durableId="124276201">
    <w:abstractNumId w:val="2"/>
  </w:num>
  <w:num w:numId="8" w16cid:durableId="1778476411">
    <w:abstractNumId w:val="1"/>
  </w:num>
  <w:num w:numId="9" w16cid:durableId="1111129504">
    <w:abstractNumId w:val="0"/>
  </w:num>
  <w:num w:numId="10" w16cid:durableId="1384793084">
    <w:abstractNumId w:val="10"/>
  </w:num>
  <w:num w:numId="11" w16cid:durableId="1143960680">
    <w:abstractNumId w:val="11"/>
  </w:num>
  <w:num w:numId="12" w16cid:durableId="8290546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997"/>
    <w:rsid w:val="00581F63"/>
    <w:rsid w:val="007D72C2"/>
    <w:rsid w:val="008237CA"/>
    <w:rsid w:val="00A537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DB5BE"/>
  <w14:defaultImageDpi w14:val="300"/>
  <w15:docId w15:val="{578686E3-F8AA-B641-B7B7-8F5C3F9A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7D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DDDDD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DDDDD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B2B2B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B2B2B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Anuja Suresh</cp:lastModifiedBy>
  <cp:revision>3</cp:revision>
  <dcterms:created xsi:type="dcterms:W3CDTF">2013-12-23T23:15:00Z</dcterms:created>
  <dcterms:modified xsi:type="dcterms:W3CDTF">2026-03-26T10:25:00Z</dcterms:modified>
  <cp:category/>
</cp:coreProperties>
</file>