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FRD - QuantumCart Loyalty Platform</w:t>
      </w:r>
    </w:p>
    <w:p>
      <w:r>
        <w:t>This FRD defines functional behavior for loyalty enrollment, points ledger, redemption, campaign rules, support overrides, and customer notifications.</w:t>
      </w:r>
    </w:p>
    <w:p>
      <w:pPr>
        <w:pStyle w:val="Heading1"/>
      </w:pPr>
      <w:r>
        <w:t>Functional workflows</w:t>
      </w:r>
    </w:p>
    <w:p>
      <w:pPr>
        <w:pStyle w:val="ListBullet"/>
      </w:pPr>
      <w:r>
        <w:t>Customer enrolls into loyalty program from account dashboard and accepts consent terms.</w:t>
      </w:r>
    </w:p>
    <w:p>
      <w:pPr>
        <w:pStyle w:val="ListBullet"/>
      </w:pPr>
      <w:r>
        <w:t>Checkout service calculates eligible rewards and reserves selected points before payment authorization.</w:t>
      </w:r>
    </w:p>
    <w:p>
      <w:pPr>
        <w:pStyle w:val="ListBullet"/>
      </w:pPr>
      <w:r>
        <w:t>Campaign service evaluates customer segment, partner, SKU category, and campaign budget.</w:t>
      </w:r>
    </w:p>
    <w:p>
      <w:pPr>
        <w:pStyle w:val="ListBullet"/>
      </w:pPr>
      <w:r>
        <w:t>Support agent creates goodwill adjustment with reason code, approval status, and customer-visible note.</w:t>
      </w:r>
    </w:p>
    <w:p>
      <w:pPr>
        <w:pStyle w:val="ListBullet"/>
      </w:pPr>
      <w:r>
        <w:t>Ledger reconciliation job compares internal points liability with partner campaign settlement records.</w:t>
      </w:r>
    </w:p>
    <w:p>
      <w:pPr>
        <w:pStyle w:val="Heading1"/>
      </w:pPr>
      <w:r>
        <w:t>Validation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Error Behavior</w:t>
            </w:r>
          </w:p>
        </w:tc>
        <w:tc>
          <w:tcPr>
            <w:tcW w:type="dxa" w:w="2160"/>
          </w:tcPr>
          <w:p>
            <w:r>
              <w:t>Test Focus</w:t>
            </w:r>
          </w:p>
        </w:tc>
      </w:tr>
      <w:tr>
        <w:tc>
          <w:tcPr>
            <w:tcW w:type="dxa" w:w="2160"/>
          </w:tcPr>
          <w:p>
            <w:r>
              <w:t>pointsToRedeem</w:t>
            </w:r>
          </w:p>
        </w:tc>
        <w:tc>
          <w:tcPr>
            <w:tcW w:type="dxa" w:w="2160"/>
          </w:tcPr>
          <w:p>
            <w:r>
              <w:t>Integer, min 100, max available balance</w:t>
            </w:r>
          </w:p>
        </w:tc>
        <w:tc>
          <w:tcPr>
            <w:tcW w:type="dxa" w:w="2160"/>
          </w:tcPr>
          <w:p>
            <w:r>
              <w:t>Show inline message and disable apply button</w:t>
            </w:r>
          </w:p>
        </w:tc>
        <w:tc>
          <w:tcPr>
            <w:tcW w:type="dxa" w:w="2160"/>
          </w:tcPr>
          <w:p>
            <w:r>
              <w:t>Boundary and negative tests</w:t>
            </w:r>
          </w:p>
        </w:tc>
      </w:tr>
      <w:tr>
        <w:tc>
          <w:tcPr>
            <w:tcW w:type="dxa" w:w="2160"/>
          </w:tcPr>
          <w:p>
            <w:r>
              <w:t>campaignCode</w:t>
            </w:r>
          </w:p>
        </w:tc>
        <w:tc>
          <w:tcPr>
            <w:tcW w:type="dxa" w:w="2160"/>
          </w:tcPr>
          <w:p>
            <w:r>
              <w:t>Active, audience eligible, budget available</w:t>
            </w:r>
          </w:p>
        </w:tc>
        <w:tc>
          <w:tcPr>
            <w:tcW w:type="dxa" w:w="2160"/>
          </w:tcPr>
          <w:p>
            <w:r>
              <w:t>Display not eligible without exposing rule internals</w:t>
            </w:r>
          </w:p>
        </w:tc>
        <w:tc>
          <w:tcPr>
            <w:tcW w:type="dxa" w:w="2160"/>
          </w:tcPr>
          <w:p>
            <w:r>
              <w:t>Eligibility and security tests</w:t>
            </w:r>
          </w:p>
        </w:tc>
      </w:tr>
      <w:tr>
        <w:tc>
          <w:tcPr>
            <w:tcW w:type="dxa" w:w="2160"/>
          </w:tcPr>
          <w:p>
            <w:r>
              <w:t>overrideReason</w:t>
            </w:r>
          </w:p>
        </w:tc>
        <w:tc>
          <w:tcPr>
            <w:tcW w:type="dxa" w:w="2160"/>
          </w:tcPr>
          <w:p>
            <w:r>
              <w:t>Required for all support adjustments</w:t>
            </w:r>
          </w:p>
        </w:tc>
        <w:tc>
          <w:tcPr>
            <w:tcW w:type="dxa" w:w="2160"/>
          </w:tcPr>
          <w:p>
            <w:r>
              <w:t>Block submit until reason selected</w:t>
            </w:r>
          </w:p>
        </w:tc>
        <w:tc>
          <w:tcPr>
            <w:tcW w:type="dxa" w:w="2160"/>
          </w:tcPr>
          <w:p>
            <w:r>
              <w:t>RBAC and audit tests</w:t>
            </w:r>
          </w:p>
        </w:tc>
      </w:tr>
      <w:tr>
        <w:tc>
          <w:tcPr>
            <w:tcW w:type="dxa" w:w="2160"/>
          </w:tcPr>
          <w:p>
            <w:r>
              <w:t>partnerReferenceId</w:t>
            </w:r>
          </w:p>
        </w:tc>
        <w:tc>
          <w:tcPr>
            <w:tcW w:type="dxa" w:w="2160"/>
          </w:tcPr>
          <w:p>
            <w:r>
              <w:t>Unique per partner event</w:t>
            </w:r>
          </w:p>
        </w:tc>
        <w:tc>
          <w:tcPr>
            <w:tcW w:type="dxa" w:w="2160"/>
          </w:tcPr>
          <w:p>
            <w:r>
              <w:t>Reject duplicate event idempotently</w:t>
            </w:r>
          </w:p>
        </w:tc>
        <w:tc>
          <w:tcPr>
            <w:tcW w:type="dxa" w:w="2160"/>
          </w:tcPr>
          <w:p>
            <w:r>
              <w:t>API idempotency tests</w:t>
            </w:r>
          </w:p>
        </w:tc>
      </w:tr>
    </w:tbl>
    <w:p>
      <w:pPr>
        <w:pStyle w:val="Heading1"/>
      </w:pPr>
      <w:r>
        <w:t>API and integration notes</w:t>
      </w:r>
    </w:p>
    <w:p>
      <w:r>
        <w:t>The reward reservation API must expose POST /v1/rewards/reservations and DELETE /v1/rewards/reservations/{reservationId}.</w:t>
      </w:r>
    </w:p>
    <w:p>
      <w:r>
        <w:t xml:space="preserve">Refer to the supporting API contract: </w:t>
      </w:r>
      <w:hyperlink r:id="rId9">
        <w:r>
          <w:rPr/>
          <w:t>QuantumCart Rewards OpenAPI</w:t>
        </w:r>
      </w:hyperlink>
    </w:p>
    <w:p>
      <w:r>
        <w:t>Review note: Validate race conditions when customers redeem points from two devices at the same time.</w:t>
      </w:r>
    </w:p>
    <w:p>
      <w:r>
        <w:t>Footnote-style note: Reward reservation expiry must be visible to checkout recovery logic.</w:t>
      </w:r>
      <w:r>
        <w:br/>
      </w:r>
    </w:p>
    <w:p>
      <w:r>
        <w:t>Endnote-style note: Campaign budget checks must run before reward issue events are published.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quantumcart/rewards-open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