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HLD - QuantumCart Loyalty Platform</w:t>
      </w:r>
    </w:p>
    <w:p>
      <w:r>
        <w:t>The platform uses a modular services architecture with Loyalty API, Campaign Service, Ledger Service, Notification Service, Fraud Guard, and Support Console.</w:t>
      </w:r>
    </w:p>
    <w:p>
      <w:pPr>
        <w:pStyle w:val="Heading1"/>
      </w:pPr>
      <w:r>
        <w:t>Architecture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Data Store</w:t>
            </w:r>
          </w:p>
        </w:tc>
        <w:tc>
          <w:tcPr>
            <w:tcW w:type="dxa" w:w="2160"/>
          </w:tcPr>
          <w:p>
            <w:r>
              <w:t>Observability</w:t>
            </w:r>
          </w:p>
        </w:tc>
      </w:tr>
      <w:tr>
        <w:tc>
          <w:tcPr>
            <w:tcW w:type="dxa" w:w="2160"/>
          </w:tcPr>
          <w:p>
            <w:r>
              <w:t>Loyalty API</w:t>
            </w:r>
          </w:p>
        </w:tc>
        <w:tc>
          <w:tcPr>
            <w:tcW w:type="dxa" w:w="2160"/>
          </w:tcPr>
          <w:p>
            <w:r>
              <w:t>Enrollment, balance, reservation, redemption</w:t>
            </w:r>
          </w:p>
        </w:tc>
        <w:tc>
          <w:tcPr>
            <w:tcW w:type="dxa" w:w="2160"/>
          </w:tcPr>
          <w:p>
            <w:r>
              <w:t>loyalty_accounts, point_ledger</w:t>
            </w:r>
          </w:p>
        </w:tc>
        <w:tc>
          <w:tcPr>
            <w:tcW w:type="dxa" w:w="2160"/>
          </w:tcPr>
          <w:p>
            <w:r>
              <w:t>p95 latency, reservation errors</w:t>
            </w:r>
          </w:p>
        </w:tc>
      </w:tr>
      <w:tr>
        <w:tc>
          <w:tcPr>
            <w:tcW w:type="dxa" w:w="2160"/>
          </w:tcPr>
          <w:p>
            <w:r>
              <w:t>Campaign Service</w:t>
            </w:r>
          </w:p>
        </w:tc>
        <w:tc>
          <w:tcPr>
            <w:tcW w:type="dxa" w:w="2160"/>
          </w:tcPr>
          <w:p>
            <w:r>
              <w:t>Audience and budget evaluation</w:t>
            </w:r>
          </w:p>
        </w:tc>
        <w:tc>
          <w:tcPr>
            <w:tcW w:type="dxa" w:w="2160"/>
          </w:tcPr>
          <w:p>
            <w:r>
              <w:t>campaign_rules, campaign_budget</w:t>
            </w:r>
          </w:p>
        </w:tc>
        <w:tc>
          <w:tcPr>
            <w:tcW w:type="dxa" w:w="2160"/>
          </w:tcPr>
          <w:p>
            <w:r>
              <w:t>eligibility misses, cap utilization</w:t>
            </w:r>
          </w:p>
        </w:tc>
      </w:tr>
      <w:tr>
        <w:tc>
          <w:tcPr>
            <w:tcW w:type="dxa" w:w="2160"/>
          </w:tcPr>
          <w:p>
            <w:r>
              <w:t>Ledger Service</w:t>
            </w:r>
          </w:p>
        </w:tc>
        <w:tc>
          <w:tcPr>
            <w:tcW w:type="dxa" w:w="2160"/>
          </w:tcPr>
          <w:p>
            <w:r>
              <w:t>Immutable point events and reconciliation</w:t>
            </w:r>
          </w:p>
        </w:tc>
        <w:tc>
          <w:tcPr>
            <w:tcW w:type="dxa" w:w="2160"/>
          </w:tcPr>
          <w:p>
            <w:r>
              <w:t>point_ledger, settlement_batches</w:t>
            </w:r>
          </w:p>
        </w:tc>
        <w:tc>
          <w:tcPr>
            <w:tcW w:type="dxa" w:w="2160"/>
          </w:tcPr>
          <w:p>
            <w:r>
              <w:t>ledger mismatch count</w:t>
            </w:r>
          </w:p>
        </w:tc>
      </w:tr>
      <w:tr>
        <w:tc>
          <w:tcPr>
            <w:tcW w:type="dxa" w:w="2160"/>
          </w:tcPr>
          <w:p>
            <w:r>
              <w:t>Support Console</w:t>
            </w:r>
          </w:p>
        </w:tc>
        <w:tc>
          <w:tcPr>
            <w:tcW w:type="dxa" w:w="2160"/>
          </w:tcPr>
          <w:p>
            <w:r>
              <w:t>Manual adjustment and approval workflow</w:t>
            </w:r>
          </w:p>
        </w:tc>
        <w:tc>
          <w:tcPr>
            <w:tcW w:type="dxa" w:w="2160"/>
          </w:tcPr>
          <w:p>
            <w:r>
              <w:t>support_adjustments</w:t>
            </w:r>
          </w:p>
        </w:tc>
        <w:tc>
          <w:tcPr>
            <w:tcW w:type="dxa" w:w="2160"/>
          </w:tcPr>
          <w:p>
            <w:r>
              <w:t>override audit events</w:t>
            </w:r>
          </w:p>
        </w:tc>
      </w:tr>
    </w:tbl>
    <w:p>
      <w:pPr>
        <w:pStyle w:val="Heading1"/>
      </w:pPr>
      <w:r>
        <w:t>Diagram-heavy page candidate</w:t>
      </w:r>
    </w:p>
    <w:p>
      <w:r>
        <w:t>Context diagram: Customer App -&gt; Loyalty API -&gt; Campaign Service -&gt; Ledger Service -&gt; Event Bus -&gt; Notification Service. This section is intentionally diagram-like to exercise visual candidate detection.</w:t>
      </w:r>
    </w:p>
    <w:p>
      <w:r>
        <w:t>Annotation: Security review must confirm no raw payment data or sensitive PII is copied into reward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