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OmniCart Payment Gateway Functional Notes</w:t>
      </w:r>
    </w:p>
    <w:p>
      <w:r>
        <w:t>The checkout flow must support cards, UPI, wallets, and net banking.</w:t>
      </w:r>
    </w:p>
    <w:p>
      <w:r>
        <w:t>This paragraph references the payment orchestration sequence diagram.</w:t>
      </w:r>
    </w:p>
    <w:p>
      <w:r>
        <w:t xml:space="preserve">Reference architecture: </w:t>
      </w:r>
      <w:hyperlink r:id="rId9">
        <w:r>
          <w:rPr>
            <w:rStyle w:val="Hyperlink"/>
          </w:rPr>
          <w:t>Payment API Contract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card_number</w:t>
            </w:r>
          </w:p>
        </w:tc>
        <w:tc>
          <w:tcPr>
            <w:tcW w:type="dxa" w:w="2880"/>
          </w:tcPr>
          <w:p>
            <w:r>
              <w:t>Luhn + BIN</w:t>
            </w:r>
          </w:p>
        </w:tc>
        <w:tc>
          <w:tcPr>
            <w:tcW w:type="dxa" w:w="2880"/>
          </w:tcPr>
          <w:p>
            <w:r>
              <w:t>FRD</w:t>
            </w:r>
          </w:p>
        </w:tc>
      </w:tr>
      <w:tr>
        <w:tc>
          <w:tcPr>
            <w:tcW w:type="dxa" w:w="2880"/>
          </w:tcPr>
          <w:p>
            <w:r>
              <w:t>payment_status</w:t>
            </w:r>
          </w:p>
        </w:tc>
        <w:tc>
          <w:tcPr>
            <w:tcW w:type="dxa" w:w="2880"/>
          </w:tcPr>
          <w:p>
            <w:r>
              <w:t>authorized/captured/refunded</w:t>
            </w:r>
          </w:p>
        </w:tc>
        <w:tc>
          <w:tcPr>
            <w:tcW w:type="dxa" w:w="2880"/>
          </w:tcPr>
          <w:p>
            <w:r>
              <w:t>HLD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earch_resul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QA Lead">
    <w:p>
      <w:r>
        <w:t>Review negative paths for partial capture and expired authorization.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payment-api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