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Corporate Innovation Program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Corporate Innovation Program</w:t>
      </w:r>
      <w:r w:rsidDel="00000000" w:rsidR="00000000" w:rsidRPr="00000000">
        <w:rPr>
          <w:rtl w:val="0"/>
        </w:rPr>
        <w:t xml:space="preserve"> is a initiative designed to foster creativity, accelerate problem-solving, and drive strategic growth within the organization. The program enables employees, startup partners, and industry experts to collaborate on developing innovative solutions aligned with the company’s future priorities.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Through guided processes—such as ideation workshops, design thinking, rapid prototyping, and pilot testing—the program transforms high-potential ideas into validated business solutions and scalable products. Participants receive access to mentorship, domain experts, internal resources, and funding support for experimentation and proof-of-concept development.</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UDAAN -IDEA TO IMPACT 2 DAY ENTREPRENEURSHIP </w:t>
      </w:r>
    </w:p>
    <w:p w:rsidR="00000000" w:rsidDel="00000000" w:rsidP="00000000" w:rsidRDefault="00000000" w:rsidRPr="00000000" w14:paraId="00000008">
      <w:pPr>
        <w:spacing w:after="160" w:before="80" w:lineRule="auto"/>
        <w:jc w:val="both"/>
        <w:rPr>
          <w:color w:val="2c3e50"/>
        </w:rPr>
      </w:pPr>
      <w:r w:rsidDel="00000000" w:rsidR="00000000" w:rsidRPr="00000000">
        <w:rPr>
          <w:color w:val="2c3e50"/>
          <w:rtl w:val="0"/>
        </w:rPr>
        <w:t xml:space="preserve">UDAAN: Idea to Impact was designed for exactly that moment. In 48 hours, these students moved through the full arc of early-stage entrepreneurship — discovering real problems, testing assumptions, building solutions, and standing on stage to pitch to a live panel. They did it as a cohort, across disciplines, across districts, and across comfort zones.</w:t>
      </w:r>
    </w:p>
    <w:p w:rsidR="00000000" w:rsidDel="00000000" w:rsidP="00000000" w:rsidRDefault="00000000" w:rsidRPr="00000000" w14:paraId="00000009">
      <w:pPr>
        <w:spacing w:after="160" w:before="80" w:lineRule="auto"/>
        <w:jc w:val="both"/>
        <w:rPr>
          <w:color w:val="2c3e50"/>
        </w:rPr>
      </w:pPr>
      <w:r w:rsidDel="00000000" w:rsidR="00000000" w:rsidRPr="00000000">
        <w:rPr>
          <w:color w:val="2c3e50"/>
          <w:rtl w:val="0"/>
        </w:rPr>
        <w:t xml:space="preserve">When 29 young students from six districts of Uttar Pradesh walked into BML Munjal University on the morning of March 16, they didn't arrive with polished ideas or rehearsed pitches. Many had never been inside an innovation lab. A few had never left their districts. What they brought with them — and what no curriculum can manufacture — was curiosity, hunger, and the quiet belief that their problems deserved real solutions.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