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AC5798">
      <w:pPr>
        <w:pStyle w:val="Title"/>
      </w:pPr>
      <w:sdt>
        <w:sdtPr>
          <w:rPr>
            <w:sz w:val="36"/>
          </w:rPr>
          <w:alias w:val="Title:"/>
          <w:tag w:val="Title:"/>
          <w:id w:val="726351117"/>
          <w:placeholder>
            <w:docPart w:val="7F0248B72B9A44428179CFF0D7194E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72C26">
            <w:rPr>
              <w:sz w:val="36"/>
              <w:lang w:val="en-IN"/>
            </w:rPr>
            <w:t xml:space="preserve">Market Timing Portfolio Performance </w:t>
          </w:r>
          <w:r w:rsidR="00472C26">
            <w:rPr>
              <w:sz w:val="36"/>
              <w:lang w:val="en-IN"/>
            </w:rPr>
            <w:br/>
            <w:t>using Technical Indicators RSI, MACD and TD DeMark</w:t>
          </w:r>
        </w:sdtContent>
      </w:sdt>
    </w:p>
    <w:p w:rsidR="0097137A" w:rsidRDefault="0097137A" w:rsidP="00B823AA">
      <w:pPr>
        <w:pStyle w:val="Title2"/>
      </w:pPr>
    </w:p>
    <w:p w:rsidR="0097137A" w:rsidRDefault="0097137A" w:rsidP="00472C26">
      <w:pPr>
        <w:pStyle w:val="Title2"/>
        <w:jc w:val="left"/>
      </w:pPr>
    </w:p>
    <w:p w:rsidR="0097137A" w:rsidRDefault="0097137A" w:rsidP="00B823AA">
      <w:pPr>
        <w:pStyle w:val="Title2"/>
      </w:pPr>
    </w:p>
    <w:p w:rsidR="0097137A" w:rsidRDefault="0097137A" w:rsidP="00B823AA">
      <w:pPr>
        <w:pStyle w:val="Title2"/>
      </w:pPr>
    </w:p>
    <w:p w:rsidR="0097137A" w:rsidRDefault="0097137A" w:rsidP="00B823AA">
      <w:pPr>
        <w:pStyle w:val="Title2"/>
      </w:pPr>
    </w:p>
    <w:p w:rsidR="0097137A" w:rsidRDefault="0097137A" w:rsidP="00B823AA">
      <w:pPr>
        <w:pStyle w:val="Title2"/>
      </w:pPr>
    </w:p>
    <w:p w:rsidR="0097137A" w:rsidRDefault="0097137A" w:rsidP="00B823AA">
      <w:pPr>
        <w:pStyle w:val="Title2"/>
      </w:pPr>
    </w:p>
    <w:p w:rsidR="0097137A" w:rsidRDefault="0097137A" w:rsidP="00B823AA">
      <w:pPr>
        <w:pStyle w:val="Title2"/>
      </w:pPr>
    </w:p>
    <w:p w:rsidR="00B823AA" w:rsidRDefault="0084048F" w:rsidP="00B823AA">
      <w:pPr>
        <w:pStyle w:val="Title2"/>
      </w:pPr>
      <w:r>
        <w:t>Anuj Pradhan</w:t>
      </w:r>
    </w:p>
    <w:p w:rsidR="00E81978" w:rsidRDefault="0084048F" w:rsidP="00B823AA">
      <w:pPr>
        <w:pStyle w:val="Title2"/>
      </w:pPr>
      <w:r>
        <w:t>Rutgers University, New Brunswick</w:t>
      </w:r>
    </w:p>
    <w:p w:rsidR="00E81978" w:rsidRDefault="00E81978">
      <w:pPr>
        <w:pStyle w:val="Title"/>
      </w:pPr>
    </w:p>
    <w:p w:rsidR="00E81978" w:rsidRDefault="0097137A" w:rsidP="00B823AA">
      <w:pPr>
        <w:pStyle w:val="Title2"/>
      </w:pPr>
      <w:r>
        <w:t>CONTENTS</w:t>
      </w:r>
    </w:p>
    <w:p w:rsidR="0097137A" w:rsidRDefault="0097137A" w:rsidP="00B823AA">
      <w:pPr>
        <w:pStyle w:val="Title2"/>
      </w:pPr>
    </w:p>
    <w:p w:rsidR="0097137A" w:rsidRDefault="0097137A" w:rsidP="00B823AA">
      <w:pPr>
        <w:pStyle w:val="Title2"/>
      </w:pPr>
    </w:p>
    <w:p w:rsidR="0097137A" w:rsidRDefault="0097137A" w:rsidP="00B823AA">
      <w:pPr>
        <w:pStyle w:val="Title2"/>
      </w:pPr>
    </w:p>
    <w:p w:rsidR="0097137A" w:rsidRDefault="0097137A" w:rsidP="0097137A">
      <w:pPr>
        <w:pStyle w:val="Title2"/>
        <w:numPr>
          <w:ilvl w:val="0"/>
          <w:numId w:val="19"/>
        </w:numPr>
        <w:jc w:val="left"/>
      </w:pPr>
      <w:r>
        <w:t>Abstract……………………………………………………………………………………………3</w:t>
      </w:r>
    </w:p>
    <w:p w:rsidR="0097137A" w:rsidRDefault="0097137A" w:rsidP="0097137A">
      <w:pPr>
        <w:pStyle w:val="Title2"/>
        <w:numPr>
          <w:ilvl w:val="0"/>
          <w:numId w:val="19"/>
        </w:numPr>
        <w:jc w:val="left"/>
      </w:pPr>
      <w:r>
        <w:t>Introduction…………………………………………………………………………………...…...4</w:t>
      </w:r>
    </w:p>
    <w:p w:rsidR="0097137A" w:rsidRDefault="0097137A" w:rsidP="0097137A">
      <w:pPr>
        <w:pStyle w:val="Title2"/>
        <w:numPr>
          <w:ilvl w:val="0"/>
          <w:numId w:val="19"/>
        </w:numPr>
        <w:jc w:val="left"/>
      </w:pPr>
      <w:r>
        <w:t>Literature Review………………………………………………………………………………….5</w:t>
      </w:r>
    </w:p>
    <w:p w:rsidR="0097137A" w:rsidRDefault="0097137A" w:rsidP="0097137A">
      <w:pPr>
        <w:pStyle w:val="Title2"/>
        <w:numPr>
          <w:ilvl w:val="0"/>
          <w:numId w:val="19"/>
        </w:numPr>
        <w:jc w:val="left"/>
      </w:pPr>
      <w:r>
        <w:t>Dataset and Methodology…………………………………………………………………………7</w:t>
      </w:r>
    </w:p>
    <w:p w:rsidR="0097137A" w:rsidRDefault="0097137A" w:rsidP="0097137A">
      <w:pPr>
        <w:pStyle w:val="Title2"/>
        <w:numPr>
          <w:ilvl w:val="0"/>
          <w:numId w:val="19"/>
        </w:numPr>
        <w:jc w:val="left"/>
      </w:pPr>
      <w:r>
        <w:t>Theory/Methods Involved………………………………………………………………………....8</w:t>
      </w:r>
    </w:p>
    <w:p w:rsidR="0097137A" w:rsidRDefault="00A84D7A" w:rsidP="0097137A">
      <w:pPr>
        <w:pStyle w:val="Title2"/>
        <w:numPr>
          <w:ilvl w:val="0"/>
          <w:numId w:val="19"/>
        </w:numPr>
        <w:jc w:val="left"/>
      </w:pPr>
      <w:r>
        <w:t xml:space="preserve">Results and </w:t>
      </w:r>
      <w:r w:rsidR="0097137A">
        <w:t>Discussion…</w:t>
      </w:r>
      <w:r>
        <w:t>…………</w:t>
      </w:r>
      <w:r w:rsidR="0097137A">
        <w:t>……………………………………</w:t>
      </w:r>
      <w:r>
        <w:t>…………...</w:t>
      </w:r>
      <w:r w:rsidR="0097137A">
        <w:t>…</w:t>
      </w:r>
      <w:r>
        <w:t>…...</w:t>
      </w:r>
      <w:r w:rsidR="0097137A">
        <w:t>…</w:t>
      </w:r>
      <w:r w:rsidR="00CA2373">
        <w:t>…17</w:t>
      </w:r>
    </w:p>
    <w:p w:rsidR="00A84D7A" w:rsidRDefault="00A84D7A" w:rsidP="0097137A">
      <w:pPr>
        <w:pStyle w:val="Title2"/>
        <w:numPr>
          <w:ilvl w:val="0"/>
          <w:numId w:val="19"/>
        </w:numPr>
        <w:jc w:val="left"/>
      </w:pPr>
      <w:r>
        <w:t>Appendix…………………………………………………………………………………………22</w:t>
      </w:r>
    </w:p>
    <w:p w:rsidR="0097137A" w:rsidRDefault="0097137A" w:rsidP="0097137A">
      <w:pPr>
        <w:pStyle w:val="Title2"/>
        <w:numPr>
          <w:ilvl w:val="0"/>
          <w:numId w:val="19"/>
        </w:numPr>
        <w:jc w:val="left"/>
      </w:pPr>
      <w:r>
        <w:t>References</w:t>
      </w:r>
      <w:r w:rsidR="00A84D7A">
        <w:t>…………………………………………………………….………………………….23</w:t>
      </w:r>
    </w:p>
    <w:sdt>
      <w:sdtPr>
        <w:alias w:val="Abstract:"/>
        <w:tag w:val="Abstract:"/>
        <w:id w:val="202146031"/>
        <w:placeholder>
          <w:docPart w:val="AEE916EF49EB46B488C4E9C6B804CDFE"/>
        </w:placeholder>
        <w:temporary/>
        <w:showingPlcHdr/>
        <w15:appearance w15:val="hidden"/>
      </w:sdtPr>
      <w:sdtEndPr/>
      <w:sdtContent>
        <w:p w:rsidR="00E81978" w:rsidRDefault="005D3A03">
          <w:pPr>
            <w:pStyle w:val="SectionTitle"/>
          </w:pPr>
          <w:r>
            <w:t>Abstract</w:t>
          </w:r>
        </w:p>
      </w:sdtContent>
    </w:sdt>
    <w:p w:rsidR="00E81978" w:rsidRDefault="00B5014E">
      <w:pPr>
        <w:pStyle w:val="NoSpacing"/>
      </w:pPr>
      <w:r>
        <w:t xml:space="preserve">We examine the performance of a portfolio of 27 stocks, selected from the top traded S&amp;P 500 index, using technical indicators RSI, MACD and TD DeMark (Setup and Countdown) across 5 years of data. Market timing is of essence, as the point of entering a position is indicated by the signals generated by these technical, and subsequent fixed-period returns are backtested and compared with a random buy-and-hold strategy, to indicate excess returns. The portfolio is then optimized for beta neutrality and tested for 1 year of out-of-sample period. The results have shown to be statistically insignificant, as excess returns have often been outperformed by random strategies. </w:t>
      </w:r>
    </w:p>
    <w:p w:rsidR="00E81978" w:rsidRDefault="005D3A03">
      <w:r>
        <w:rPr>
          <w:rStyle w:val="Emphasis"/>
        </w:rPr>
        <w:t>Keywords</w:t>
      </w:r>
      <w:r>
        <w:t xml:space="preserve">:  </w:t>
      </w:r>
      <w:r w:rsidR="00B5014E">
        <w:t>Technical Analysis, Portfolio Optimization, Back-testing, Beta-Neutral, Financial Markets, S&amp;P 500</w:t>
      </w:r>
      <w:r w:rsidR="00637BBE">
        <w:t>, Market Timing</w:t>
      </w:r>
    </w:p>
    <w:p w:rsidR="00E81978" w:rsidRDefault="00AC5798">
      <w:pPr>
        <w:pStyle w:val="SectionTitle"/>
      </w:pPr>
      <w:sdt>
        <w:sdtPr>
          <w:alias w:val="Section title:"/>
          <w:tag w:val="Section title:"/>
          <w:id w:val="984196707"/>
          <w:placeholder>
            <w:docPart w:val="2B8F194437F24F01B67C06D5BA27CC8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72C26">
            <w:rPr>
              <w:lang w:val="en-IN"/>
            </w:rPr>
            <w:t xml:space="preserve">Market Timing Portfolio Performance </w:t>
          </w:r>
          <w:r w:rsidR="00472C26">
            <w:rPr>
              <w:lang w:val="en-IN"/>
            </w:rPr>
            <w:br/>
            <w:t>using Technical Indicators RSI, MACD and TD DeMark</w:t>
          </w:r>
        </w:sdtContent>
      </w:sdt>
    </w:p>
    <w:p w:rsidR="002A71B1" w:rsidRDefault="002A71B1" w:rsidP="009C6D23"/>
    <w:p w:rsidR="002A71B1" w:rsidRDefault="00A84D7A" w:rsidP="009C6D23">
      <w:r>
        <w:t>INTRODUCTION</w:t>
      </w:r>
    </w:p>
    <w:p w:rsidR="00A84D7A" w:rsidRDefault="00A84D7A" w:rsidP="009C6D23"/>
    <w:p w:rsidR="00E81978" w:rsidRDefault="009C6D23" w:rsidP="009C6D23">
      <w:r>
        <w:t>Technical analysis uses a variety of charts and calculations to spot trends in the market and individual stocks and to try to predict what will happen next. Technical analysts don't bother looking at any of the qualitative data about a company (for example, its management team or the industry that it is in); instead, they believe that they can accurately predict the future price of a stock by looking at its historical prices and other trading variables. Technical analysis assumes that market psychology influences trading in a way that lets them predict when a stock will rise or fall. For that reason, many technical analysts are also market timers, who believe that technical analysis can be applied just as easily to the market as a whole as to an individual stock. Critics of technical analysis, and there are many, say that the whole endeavor is a waste of time and effort. They point to academic studies like Burton Malkiel's "A Random Walk Down Wall Street" as evidence that there is no possible way to predict future prices using historical prices. Others contend that if any such systems were found to be successful, those who practiced them would be wealthy beyond their wildest dreams, and yet there aren't any billionaire technical analysts (yet).</w:t>
      </w:r>
    </w:p>
    <w:p w:rsidR="00A84D7A" w:rsidRDefault="00A84D7A" w:rsidP="009C6D23">
      <w:r>
        <w:t>This paper tries to test the predictability of some of these Indicators widely followed by traders and investors the world over.</w:t>
      </w:r>
    </w:p>
    <w:p w:rsidR="009C6D23" w:rsidRDefault="009C6D23" w:rsidP="00A84D7A">
      <w:pPr>
        <w:ind w:firstLine="0"/>
      </w:pPr>
    </w:p>
    <w:p w:rsidR="009C6D23" w:rsidRDefault="009C6D23" w:rsidP="009C6D23"/>
    <w:p w:rsidR="009C6D23" w:rsidRDefault="009C6D23" w:rsidP="009C6D23"/>
    <w:p w:rsidR="00E81978" w:rsidRDefault="009C6D23">
      <w:pPr>
        <w:pStyle w:val="Heading1"/>
      </w:pPr>
      <w:r>
        <w:lastRenderedPageBreak/>
        <w:t>Literature Review</w:t>
      </w:r>
    </w:p>
    <w:p w:rsidR="00185E4C" w:rsidRDefault="009C6D23" w:rsidP="00A5390A">
      <w:r>
        <w:t>In an effort to have a firm foundation on the direction of this research, and under the guidance of Prof. Paisan Limratanamongkol, a number of previously published papers were</w:t>
      </w:r>
      <w:r w:rsidR="00A5390A">
        <w:t xml:space="preserve"> studied and reviewed.</w:t>
      </w:r>
    </w:p>
    <w:p w:rsidR="00E81978" w:rsidRDefault="009C6D23">
      <w:r>
        <w:t xml:space="preserve">The paper closest to </w:t>
      </w:r>
      <w:r w:rsidR="00185E4C">
        <w:t>the</w:t>
      </w:r>
      <w:r>
        <w:t xml:space="preserve"> goal</w:t>
      </w:r>
      <w:r w:rsidR="00185E4C">
        <w:t xml:space="preserve"> of this project,</w:t>
      </w:r>
      <w:r>
        <w:t xml:space="preserve"> was the one by Marco Lissandrin, Donnacha Daly and Didier Sornette published in November, 2015. In it, they statistically tested DeMark on the commodity markets over a period of 10 years, from 2004 to 2014.  </w:t>
      </w:r>
    </w:p>
    <w:p w:rsidR="00185E4C" w:rsidRDefault="00185E4C" w:rsidP="00185E4C">
      <w:r>
        <w:t xml:space="preserve">The predictive power of 3 of the various elements of DeMark were studied in two steps. The first was to compare conditional returns </w:t>
      </w:r>
      <w:r w:rsidR="00A5390A">
        <w:t xml:space="preserve">(Lissandrin, Daly and Didier, 2015) </w:t>
      </w:r>
      <w:r>
        <w:t>on entry signals to exact unconditional return distributions (which represent the market). An over-performance of the conditional distribution compared with the market suggests that the tested indicator might have predictive power. The second step used approximated permutation tests to check if the initial suggestion was correct.</w:t>
      </w:r>
    </w:p>
    <w:p w:rsidR="00185E4C" w:rsidRDefault="00185E4C" w:rsidP="00185E4C">
      <w:r>
        <w:t>Theirs was a long and short strategy, and they found that all three indicators exhibit predictive power on some commodity futures. Most of the times, the entry signals provided by the indicators showed predictive power only for long or only for short positions. Having considered that long and short entry signals are generated by symmetrical algorithms, this confirmed the fact that uptrends and downtrends were asymmetrical in the markets.</w:t>
      </w:r>
    </w:p>
    <w:p w:rsidR="00185E4C" w:rsidRDefault="00E0012A" w:rsidP="00A5390A">
      <w:r>
        <w:t>But still</w:t>
      </w:r>
      <w:r w:rsidR="00A5390A">
        <w:t xml:space="preserve">, recent studies </w:t>
      </w:r>
      <w:r>
        <w:t xml:space="preserve">have </w:t>
      </w:r>
      <w:r w:rsidR="00A5390A">
        <w:t>suggest</w:t>
      </w:r>
      <w:r>
        <w:t>ed</w:t>
      </w:r>
      <w:r w:rsidR="00A5390A">
        <w:t xml:space="preserve"> the existence of speculative </w:t>
      </w:r>
      <w:r>
        <w:t xml:space="preserve">periods </w:t>
      </w:r>
      <w:r w:rsidR="00A5390A">
        <w:t xml:space="preserve">in several </w:t>
      </w:r>
      <w:r>
        <w:t>markets (Sornette</w:t>
      </w:r>
      <w:r w:rsidR="00A5390A">
        <w:t>, 2009; Gilbe</w:t>
      </w:r>
      <w:r>
        <w:t>rt, 2010; Phillips and Yu, 2010</w:t>
      </w:r>
      <w:r w:rsidR="00A5390A">
        <w:t xml:space="preserve">). </w:t>
      </w:r>
      <w:r>
        <w:t>Investors and traders</w:t>
      </w:r>
      <w:r w:rsidR="00A5390A">
        <w:t xml:space="preserve"> cannot always enter positions when a price corr</w:t>
      </w:r>
      <w:r>
        <w:t xml:space="preserve">ection is yet to come (Gromb </w:t>
      </w:r>
      <w:r w:rsidR="00A5390A" w:rsidRPr="00A5390A">
        <w:t>and Vayanos, 2010). For example, market exposures</w:t>
      </w:r>
      <w:r w:rsidR="00A5390A">
        <w:t xml:space="preserve"> </w:t>
      </w:r>
      <w:r w:rsidR="00A5390A" w:rsidRPr="00A5390A">
        <w:t>in trading books are limited by capital constraints</w:t>
      </w:r>
      <w:r w:rsidR="00A5390A">
        <w:t xml:space="preserve"> </w:t>
      </w:r>
      <w:r w:rsidR="00A5390A" w:rsidRPr="00A5390A">
        <w:t>(Shleifer and Vishny, 1997) and by internal risk limits.</w:t>
      </w:r>
      <w:r w:rsidR="00A5390A">
        <w:t xml:space="preserve"> </w:t>
      </w:r>
      <w:r w:rsidR="00A5390A" w:rsidRPr="00A5390A">
        <w:t>In addition, even well-informed traders</w:t>
      </w:r>
      <w:r w:rsidR="00A5390A">
        <w:t xml:space="preserve"> </w:t>
      </w:r>
      <w:r w:rsidR="00A5390A" w:rsidRPr="00A5390A">
        <w:t>must formulate price expectations based on partial</w:t>
      </w:r>
      <w:r w:rsidR="00A5390A">
        <w:t xml:space="preserve"> </w:t>
      </w:r>
      <w:r w:rsidR="00A5390A" w:rsidRPr="00A5390A">
        <w:t>or uncertain data (Gorton et al., 2007; Khan, 2009)</w:t>
      </w:r>
      <w:r w:rsidR="00A5390A">
        <w:t xml:space="preserve"> </w:t>
      </w:r>
      <w:r w:rsidR="00A5390A" w:rsidRPr="00A5390A">
        <w:t xml:space="preserve">and this stimulates the use of rational herding </w:t>
      </w:r>
      <w:r w:rsidR="00A5390A" w:rsidRPr="00A5390A">
        <w:lastRenderedPageBreak/>
        <w:t>behaviours,</w:t>
      </w:r>
      <w:r w:rsidR="00A5390A">
        <w:t xml:space="preserve"> </w:t>
      </w:r>
      <w:r w:rsidR="00A5390A" w:rsidRPr="00A5390A">
        <w:t>which have been described by Devenow and</w:t>
      </w:r>
      <w:r w:rsidR="00A5390A">
        <w:t xml:space="preserve"> </w:t>
      </w:r>
      <w:r w:rsidR="00A5390A" w:rsidRPr="00A5390A">
        <w:t>Welch (1996), Bikhchandani and Sharma (2001</w:t>
      </w:r>
      <w:r w:rsidR="003C20AC">
        <w:t xml:space="preserve">). </w:t>
      </w:r>
    </w:p>
    <w:p w:rsidR="00CB6897" w:rsidRDefault="00CB6897" w:rsidP="00CB6897">
      <w:r>
        <w:t>Research into MACD (Moving Average Convergence Divergence) and RSI (Relative Strength Index) has on the other hand been quite abundantly found over the past century (Faber 2010). Faber’s study used 10 Industry Portfolios (Consumer Non-</w:t>
      </w:r>
      <w:r w:rsidRPr="00CB6897">
        <w:t xml:space="preserve"> </w:t>
      </w:r>
      <w:r>
        <w:t xml:space="preserve">Durables, Consumer Durables, Manufacturing, Energy, Technology, Telecommunications, Shops and Some Services, Health and Other) with monthly returns from July 1926 through December 2009, encompassing over eight decades of US equity sector returns. </w:t>
      </w:r>
      <w:r w:rsidR="00E14BC7">
        <w:t>The</w:t>
      </w:r>
      <w:r>
        <w:t xml:space="preserve"> study begins in 1928 since a</w:t>
      </w:r>
      <w:r w:rsidR="00E14BC7">
        <w:t xml:space="preserve"> year was needed for a ranking period, that they used to rank the portfolios and select the top x percentiles from each sector for varying portfolios.</w:t>
      </w:r>
    </w:p>
    <w:p w:rsidR="00CB6897" w:rsidRPr="00CB6897" w:rsidRDefault="00E0012A" w:rsidP="00CB6897">
      <w:pPr>
        <w:rPr>
          <w:lang w:val="en-IN"/>
        </w:rPr>
      </w:pPr>
      <w:r>
        <w:rPr>
          <w:lang w:val="en-IN"/>
        </w:rPr>
        <w:t>Recent</w:t>
      </w:r>
      <w:r w:rsidR="00A5390A" w:rsidRPr="00A5390A">
        <w:rPr>
          <w:lang w:val="en-IN"/>
        </w:rPr>
        <w:t xml:space="preserve"> techniques have</w:t>
      </w:r>
      <w:r>
        <w:rPr>
          <w:lang w:val="en-IN"/>
        </w:rPr>
        <w:t xml:space="preserve"> </w:t>
      </w:r>
      <w:r w:rsidR="00A5390A" w:rsidRPr="00A5390A">
        <w:rPr>
          <w:lang w:val="en-IN"/>
        </w:rPr>
        <w:t xml:space="preserve">relied on </w:t>
      </w:r>
      <w:r>
        <w:rPr>
          <w:lang w:val="en-IN"/>
        </w:rPr>
        <w:t>eyeballing</w:t>
      </w:r>
      <w:r w:rsidRPr="00A5390A">
        <w:rPr>
          <w:lang w:val="en-IN"/>
        </w:rPr>
        <w:t xml:space="preserve"> </w:t>
      </w:r>
      <w:r>
        <w:rPr>
          <w:lang w:val="en-IN"/>
        </w:rPr>
        <w:t xml:space="preserve">and </w:t>
      </w:r>
      <w:r w:rsidRPr="00A5390A">
        <w:rPr>
          <w:lang w:val="en-IN"/>
        </w:rPr>
        <w:t>visual intuition</w:t>
      </w:r>
      <w:r>
        <w:rPr>
          <w:lang w:val="en-IN"/>
        </w:rPr>
        <w:t xml:space="preserve"> </w:t>
      </w:r>
      <w:r w:rsidR="00A5390A" w:rsidRPr="00A5390A">
        <w:rPr>
          <w:lang w:val="en-IN"/>
        </w:rPr>
        <w:t>for their development (as readily found in all</w:t>
      </w:r>
      <w:r w:rsidR="00A5390A">
        <w:rPr>
          <w:lang w:val="en-IN"/>
        </w:rPr>
        <w:t xml:space="preserve"> </w:t>
      </w:r>
      <w:r w:rsidR="00A5390A" w:rsidRPr="00A5390A">
        <w:rPr>
          <w:lang w:val="en-IN"/>
        </w:rPr>
        <w:t xml:space="preserve">TA </w:t>
      </w:r>
      <w:r>
        <w:rPr>
          <w:lang w:val="en-IN"/>
        </w:rPr>
        <w:t>blogs and discussion forums</w:t>
      </w:r>
      <w:r w:rsidR="00A5390A" w:rsidRPr="00A5390A">
        <w:rPr>
          <w:lang w:val="en-IN"/>
        </w:rPr>
        <w:t>), but this aspect is usually neglected</w:t>
      </w:r>
      <w:r w:rsidR="00A5390A">
        <w:rPr>
          <w:lang w:val="en-IN"/>
        </w:rPr>
        <w:t xml:space="preserve"> </w:t>
      </w:r>
      <w:r w:rsidR="00A5390A" w:rsidRPr="00A5390A">
        <w:rPr>
          <w:lang w:val="en-IN"/>
        </w:rPr>
        <w:t>during statistical tests. With the goal of keeping our</w:t>
      </w:r>
      <w:r w:rsidR="00A5390A">
        <w:rPr>
          <w:lang w:val="en-IN"/>
        </w:rPr>
        <w:t xml:space="preserve"> </w:t>
      </w:r>
      <w:r w:rsidR="00A5390A" w:rsidRPr="00A5390A">
        <w:rPr>
          <w:lang w:val="en-IN"/>
        </w:rPr>
        <w:t>approach visual, we examine one corner of this vast</w:t>
      </w:r>
      <w:r w:rsidR="00A5390A">
        <w:rPr>
          <w:lang w:val="en-IN"/>
        </w:rPr>
        <w:t xml:space="preserve"> </w:t>
      </w:r>
      <w:r w:rsidR="00A5390A" w:rsidRPr="00A5390A">
        <w:rPr>
          <w:lang w:val="en-IN"/>
        </w:rPr>
        <w:t>topic by studying the performance of DeMark chart</w:t>
      </w:r>
      <w:r w:rsidR="00A5390A">
        <w:rPr>
          <w:lang w:val="en-IN"/>
        </w:rPr>
        <w:t xml:space="preserve"> </w:t>
      </w:r>
      <w:r w:rsidR="00A5390A" w:rsidRPr="00A5390A">
        <w:rPr>
          <w:lang w:val="en-IN"/>
        </w:rPr>
        <w:t xml:space="preserve">indicators on commodity markets. In particular, </w:t>
      </w:r>
      <w:r w:rsidR="002E7E77">
        <w:rPr>
          <w:lang w:val="en-IN"/>
        </w:rPr>
        <w:t xml:space="preserve">this paper uses </w:t>
      </w:r>
      <w:r w:rsidR="00A5390A" w:rsidRPr="00A5390A">
        <w:rPr>
          <w:lang w:val="en-IN"/>
        </w:rPr>
        <w:t>a Monte-Carlo based backtesting framework</w:t>
      </w:r>
      <w:r w:rsidR="00A5390A">
        <w:rPr>
          <w:lang w:val="en-IN"/>
        </w:rPr>
        <w:t xml:space="preserve"> </w:t>
      </w:r>
      <w:r w:rsidR="00A5390A" w:rsidRPr="00A5390A">
        <w:rPr>
          <w:lang w:val="en-IN"/>
        </w:rPr>
        <w:t>(Aronson, 2007; Masters, 2010) to determine whether</w:t>
      </w:r>
      <w:r w:rsidR="00A5390A">
        <w:rPr>
          <w:lang w:val="en-IN"/>
        </w:rPr>
        <w:t xml:space="preserve"> </w:t>
      </w:r>
      <w:r w:rsidR="00A5390A" w:rsidRPr="00A5390A">
        <w:rPr>
          <w:lang w:val="en-IN"/>
        </w:rPr>
        <w:t>these individual indicators have statistically</w:t>
      </w:r>
      <w:r w:rsidR="00A5390A">
        <w:rPr>
          <w:lang w:val="en-IN"/>
        </w:rPr>
        <w:t xml:space="preserve"> </w:t>
      </w:r>
      <w:r w:rsidR="00A5390A" w:rsidRPr="00A5390A">
        <w:rPr>
          <w:lang w:val="en-IN"/>
        </w:rPr>
        <w:t>significant predictive power. This family of indicators</w:t>
      </w:r>
      <w:r w:rsidR="00A5390A">
        <w:rPr>
          <w:lang w:val="en-IN"/>
        </w:rPr>
        <w:t xml:space="preserve"> </w:t>
      </w:r>
      <w:r w:rsidR="00A5390A" w:rsidRPr="00A5390A">
        <w:rPr>
          <w:lang w:val="en-IN"/>
        </w:rPr>
        <w:t>is, commercially speaking, one of the most popular</w:t>
      </w:r>
      <w:r w:rsidR="00A5390A">
        <w:rPr>
          <w:lang w:val="en-IN"/>
        </w:rPr>
        <w:t xml:space="preserve"> </w:t>
      </w:r>
      <w:r w:rsidR="00A5390A" w:rsidRPr="00A5390A">
        <w:rPr>
          <w:lang w:val="en-IN"/>
        </w:rPr>
        <w:t>and it is also possible to make use of it as an</w:t>
      </w:r>
      <w:r w:rsidR="00A5390A">
        <w:rPr>
          <w:lang w:val="en-IN"/>
        </w:rPr>
        <w:t xml:space="preserve"> </w:t>
      </w:r>
      <w:r w:rsidR="00A5390A" w:rsidRPr="00A5390A">
        <w:rPr>
          <w:lang w:val="en-IN"/>
        </w:rPr>
        <w:t>upgrade in leading financial market terminals such</w:t>
      </w:r>
      <w:r w:rsidR="00A5390A">
        <w:rPr>
          <w:lang w:val="en-IN"/>
        </w:rPr>
        <w:t xml:space="preserve"> </w:t>
      </w:r>
      <w:r w:rsidR="00A5390A" w:rsidRPr="00A5390A">
        <w:rPr>
          <w:lang w:val="en-IN"/>
        </w:rPr>
        <w:t>as Bloomberg Professional® and Thomson Reuters®</w:t>
      </w:r>
      <w:r w:rsidR="00A5390A">
        <w:rPr>
          <w:lang w:val="en-IN"/>
        </w:rPr>
        <w:t xml:space="preserve"> </w:t>
      </w:r>
      <w:r w:rsidR="00A5390A" w:rsidRPr="00A5390A">
        <w:rPr>
          <w:lang w:val="en-IN"/>
        </w:rPr>
        <w:t>which, combined, cover roughly 60% of the market</w:t>
      </w:r>
      <w:r w:rsidR="00A5390A">
        <w:rPr>
          <w:lang w:val="en-IN"/>
        </w:rPr>
        <w:t xml:space="preserve"> </w:t>
      </w:r>
      <w:r w:rsidR="00A5390A" w:rsidRPr="00A5390A">
        <w:rPr>
          <w:lang w:val="en-IN"/>
        </w:rPr>
        <w:t>share (Stafford, 2015). Despite this, no previous</w:t>
      </w:r>
      <w:r w:rsidR="00A5390A">
        <w:rPr>
          <w:lang w:val="en-IN"/>
        </w:rPr>
        <w:t xml:space="preserve"> </w:t>
      </w:r>
      <w:r w:rsidR="00A5390A" w:rsidRPr="00A5390A">
        <w:rPr>
          <w:lang w:val="en-IN"/>
        </w:rPr>
        <w:t xml:space="preserve">study has analysed its effectiveness, </w:t>
      </w:r>
      <w:r w:rsidR="00A5390A">
        <w:rPr>
          <w:lang w:val="en-IN"/>
        </w:rPr>
        <w:t>which is why the point of this study was to see how DeMark, RSI and MACD fared against</w:t>
      </w:r>
      <w:r w:rsidR="002E7E77">
        <w:rPr>
          <w:lang w:val="en-IN"/>
        </w:rPr>
        <w:t xml:space="preserve"> a random buy-and-hold strategy, created using Monte Carlo methods.</w:t>
      </w:r>
    </w:p>
    <w:p w:rsidR="00185E4C" w:rsidRDefault="00185E4C"/>
    <w:p w:rsidR="00185E4C" w:rsidRDefault="00185E4C"/>
    <w:p w:rsidR="00E14BC7" w:rsidRDefault="00E14BC7" w:rsidP="0097137A">
      <w:pPr>
        <w:ind w:firstLine="0"/>
      </w:pPr>
    </w:p>
    <w:p w:rsidR="00E81978" w:rsidRPr="00C31D30" w:rsidRDefault="002E7E77" w:rsidP="00C31D30">
      <w:pPr>
        <w:pStyle w:val="Heading2"/>
      </w:pPr>
      <w:r>
        <w:lastRenderedPageBreak/>
        <w:t>Dataset and Methodology</w:t>
      </w:r>
    </w:p>
    <w:p w:rsidR="00E81978" w:rsidRDefault="002E7E77">
      <w:pPr>
        <w:pStyle w:val="NoSpacing"/>
      </w:pPr>
      <w:r>
        <w:t>The data was sourced from Yahoo finance, for 27 of the top traded stocks on the S&amp;P 500, from Jan 3</w:t>
      </w:r>
      <w:r w:rsidRPr="002E7E77">
        <w:rPr>
          <w:vertAlign w:val="superscript"/>
        </w:rPr>
        <w:t>rd</w:t>
      </w:r>
      <w:r>
        <w:t xml:space="preserve"> 2011 to Dec 31</w:t>
      </w:r>
      <w:r w:rsidRPr="002E7E77">
        <w:rPr>
          <w:vertAlign w:val="superscript"/>
        </w:rPr>
        <w:t>st</w:t>
      </w:r>
      <w:r>
        <w:t xml:space="preserve"> 2015. The Open-High-Low-Close data was then reappropriated to adjust for dividends and stock splits over the period in question, to give the columns Adj_Open, Adj_Close, Adj_High and Adj_Low. </w:t>
      </w:r>
    </w:p>
    <w:p w:rsidR="002E7E77" w:rsidRDefault="002E7E77">
      <w:pPr>
        <w:pStyle w:val="NoSpacing"/>
      </w:pPr>
      <w:r>
        <w:t xml:space="preserve">Since the strategies being tested were fixed period buy-and-hold ones, forward returns were calculated for each stock. These returns were then saved in a separate </w:t>
      </w:r>
      <w:r w:rsidR="000E3141">
        <w:t>file</w:t>
      </w:r>
      <w:r>
        <w:t xml:space="preserve"> to form covariance matrices. </w:t>
      </w:r>
    </w:p>
    <w:p w:rsidR="00842861" w:rsidRDefault="00842861">
      <w:pPr>
        <w:pStyle w:val="NoSpacing"/>
      </w:pPr>
      <w:r>
        <w:t xml:space="preserve">The strategies were then programmed, either through the available algorithms provided on Python’s TA-Lib, which contains RSI and MACD information, or in the case of DeMark according to instructions given in Jason Perl’s DeMark Indicators. </w:t>
      </w:r>
    </w:p>
    <w:p w:rsidR="002E7E77" w:rsidRDefault="002E7E77">
      <w:pPr>
        <w:pStyle w:val="NoSpacing"/>
      </w:pPr>
      <w:r>
        <w:t>In an effort to backtest</w:t>
      </w:r>
      <w:r w:rsidR="00113365">
        <w:t xml:space="preserve"> the strategies on</w:t>
      </w:r>
      <w:r>
        <w:t xml:space="preserve"> a portfolio containing these 27 assets,</w:t>
      </w:r>
      <w:r w:rsidR="00113365">
        <w:t xml:space="preserve"> the signals were then added to the original dataset containing price information and regular returns were compared with returns from the days that our RSI, MACD and DeMark signals fired, over 200 simulations of Monte Carlo for the random strategy, and Bootstrapping for the technical strategies.</w:t>
      </w:r>
    </w:p>
    <w:p w:rsidR="002E7E77" w:rsidRDefault="00113365">
      <w:pPr>
        <w:pStyle w:val="NoSpacing"/>
      </w:pPr>
      <w:r>
        <w:t xml:space="preserve">The returns calculated from the various strategies were then taken as Alphas for Portfolio optimization. The portfolio weights were optimized with respect to a benchmark portfolio containing an equally weighted positions in all 27 stocks, throughout the time period under consideration. </w:t>
      </w:r>
    </w:p>
    <w:p w:rsidR="000E3141" w:rsidRPr="00EE500E" w:rsidRDefault="00EE500E" w:rsidP="00EE500E">
      <w:pPr>
        <w:pStyle w:val="NoSpacing"/>
      </w:pPr>
      <w:r>
        <w:t xml:space="preserve">Taking a leaf out of Lissandrin et al. 2015, Hit-Rates were calculated for each strategy, which is the percentage of correct predictions (excess returns positive when strategy implemented). </w:t>
      </w:r>
      <w:r w:rsidR="004D381A">
        <w:t>Another feature of the analysis is the Lift statistic, that shows how much better the strategy is than the Random Buy-And-Hold one by showing the difference in Hit-Rates.</w:t>
      </w:r>
    </w:p>
    <w:p w:rsidR="000E3141" w:rsidRDefault="000E3141" w:rsidP="000E3141">
      <w:pPr>
        <w:autoSpaceDE w:val="0"/>
        <w:autoSpaceDN w:val="0"/>
        <w:adjustRightInd w:val="0"/>
        <w:spacing w:line="240" w:lineRule="auto"/>
        <w:ind w:firstLine="0"/>
        <w:rPr>
          <w:rFonts w:ascii="SFBX1000" w:hAnsi="SFBX1000" w:cs="SFBX1000"/>
          <w:kern w:val="0"/>
          <w:sz w:val="20"/>
          <w:szCs w:val="20"/>
        </w:rPr>
      </w:pPr>
    </w:p>
    <w:p w:rsidR="000E3141" w:rsidRDefault="000E3141" w:rsidP="000E3141">
      <w:pPr>
        <w:autoSpaceDE w:val="0"/>
        <w:autoSpaceDN w:val="0"/>
        <w:adjustRightInd w:val="0"/>
        <w:spacing w:line="240" w:lineRule="auto"/>
        <w:ind w:firstLine="0"/>
        <w:rPr>
          <w:rFonts w:ascii="SFBX1000" w:hAnsi="SFBX1000" w:cs="SFBX1000"/>
          <w:kern w:val="0"/>
          <w:sz w:val="20"/>
          <w:szCs w:val="20"/>
        </w:rPr>
      </w:pPr>
    </w:p>
    <w:p w:rsidR="0097137A" w:rsidRDefault="0097137A" w:rsidP="000E3141">
      <w:pPr>
        <w:autoSpaceDE w:val="0"/>
        <w:autoSpaceDN w:val="0"/>
        <w:adjustRightInd w:val="0"/>
        <w:spacing w:line="240" w:lineRule="auto"/>
        <w:ind w:firstLine="0"/>
        <w:rPr>
          <w:rFonts w:ascii="SFBX1000" w:hAnsi="SFBX1000" w:cs="SFBX1000"/>
          <w:kern w:val="0"/>
          <w:sz w:val="20"/>
          <w:szCs w:val="20"/>
        </w:rPr>
      </w:pPr>
    </w:p>
    <w:p w:rsidR="0097137A" w:rsidRDefault="0097137A" w:rsidP="000E3141">
      <w:pPr>
        <w:autoSpaceDE w:val="0"/>
        <w:autoSpaceDN w:val="0"/>
        <w:adjustRightInd w:val="0"/>
        <w:spacing w:line="240" w:lineRule="auto"/>
        <w:ind w:firstLine="0"/>
        <w:rPr>
          <w:rFonts w:ascii="SFBX1000" w:hAnsi="SFBX1000" w:cs="SFBX1000"/>
          <w:kern w:val="0"/>
          <w:sz w:val="20"/>
          <w:szCs w:val="20"/>
        </w:rPr>
      </w:pPr>
    </w:p>
    <w:p w:rsidR="0097137A" w:rsidRDefault="0097137A" w:rsidP="000E3141">
      <w:pPr>
        <w:autoSpaceDE w:val="0"/>
        <w:autoSpaceDN w:val="0"/>
        <w:adjustRightInd w:val="0"/>
        <w:spacing w:line="240" w:lineRule="auto"/>
        <w:ind w:firstLine="0"/>
        <w:rPr>
          <w:rFonts w:ascii="SFBX1000" w:hAnsi="SFBX1000" w:cs="SFBX1000"/>
          <w:kern w:val="0"/>
          <w:sz w:val="20"/>
          <w:szCs w:val="20"/>
        </w:rPr>
      </w:pPr>
    </w:p>
    <w:p w:rsidR="0097137A" w:rsidRDefault="0097137A" w:rsidP="000E3141">
      <w:pPr>
        <w:autoSpaceDE w:val="0"/>
        <w:autoSpaceDN w:val="0"/>
        <w:adjustRightInd w:val="0"/>
        <w:spacing w:line="240" w:lineRule="auto"/>
        <w:ind w:firstLine="0"/>
        <w:rPr>
          <w:b/>
        </w:rPr>
      </w:pPr>
      <w:r>
        <w:rPr>
          <w:b/>
        </w:rPr>
        <w:lastRenderedPageBreak/>
        <w:t>Theory Involved</w:t>
      </w:r>
    </w:p>
    <w:p w:rsidR="0097137A" w:rsidRDefault="0097137A" w:rsidP="000E3141">
      <w:pPr>
        <w:autoSpaceDE w:val="0"/>
        <w:autoSpaceDN w:val="0"/>
        <w:adjustRightInd w:val="0"/>
        <w:spacing w:line="240" w:lineRule="auto"/>
        <w:ind w:firstLine="0"/>
        <w:rPr>
          <w:b/>
        </w:rPr>
      </w:pPr>
    </w:p>
    <w:p w:rsidR="0097137A" w:rsidRDefault="0097137A" w:rsidP="000E3141">
      <w:pPr>
        <w:autoSpaceDE w:val="0"/>
        <w:autoSpaceDN w:val="0"/>
        <w:adjustRightInd w:val="0"/>
        <w:spacing w:line="240" w:lineRule="auto"/>
        <w:ind w:firstLine="0"/>
        <w:rPr>
          <w:rFonts w:ascii="SFBX1000" w:hAnsi="SFBX1000" w:cs="SFBX1000"/>
          <w:kern w:val="0"/>
          <w:sz w:val="20"/>
          <w:szCs w:val="20"/>
        </w:rPr>
      </w:pPr>
    </w:p>
    <w:p w:rsidR="000E3141" w:rsidRPr="00A33752" w:rsidRDefault="000E3141" w:rsidP="000E3141">
      <w:pPr>
        <w:autoSpaceDE w:val="0"/>
        <w:autoSpaceDN w:val="0"/>
        <w:adjustRightInd w:val="0"/>
        <w:spacing w:line="240" w:lineRule="auto"/>
        <w:ind w:firstLine="0"/>
        <w:rPr>
          <w:b/>
        </w:rPr>
      </w:pPr>
      <w:r w:rsidRPr="00A33752">
        <w:rPr>
          <w:b/>
        </w:rPr>
        <w:t>TD DeMark</w:t>
      </w:r>
      <w:r w:rsidR="009234DA">
        <w:rPr>
          <w:b/>
        </w:rPr>
        <w:t xml:space="preserve"> Sequential</w:t>
      </w:r>
      <w:r w:rsidR="0097137A">
        <w:rPr>
          <w:b/>
        </w:rPr>
        <w:t xml:space="preserve"> </w:t>
      </w:r>
    </w:p>
    <w:p w:rsidR="00A33752" w:rsidRDefault="00A33752" w:rsidP="00A33752">
      <w:pPr>
        <w:autoSpaceDE w:val="0"/>
        <w:autoSpaceDN w:val="0"/>
        <w:adjustRightInd w:val="0"/>
        <w:spacing w:line="240" w:lineRule="auto"/>
        <w:ind w:firstLine="0"/>
      </w:pPr>
    </w:p>
    <w:p w:rsidR="00A33752" w:rsidRDefault="00A33752" w:rsidP="00A33752">
      <w:pPr>
        <w:autoSpaceDE w:val="0"/>
        <w:autoSpaceDN w:val="0"/>
        <w:adjustRightInd w:val="0"/>
        <w:spacing w:line="240" w:lineRule="auto"/>
        <w:ind w:firstLine="0"/>
      </w:pPr>
    </w:p>
    <w:p w:rsidR="00A33752" w:rsidRDefault="00A33752" w:rsidP="00A33752">
      <w:pPr>
        <w:pStyle w:val="NoSpacing"/>
      </w:pPr>
      <w:r w:rsidRPr="009234DA">
        <w:rPr>
          <w:i/>
        </w:rPr>
        <w:t>TD Setup</w:t>
      </w:r>
      <w:r>
        <w:t xml:space="preserve"> is one component of </w:t>
      </w:r>
      <w:r w:rsidRPr="009234DA">
        <w:rPr>
          <w:i/>
        </w:rPr>
        <w:t>TD Sequential</w:t>
      </w:r>
      <w:r>
        <w:t xml:space="preserve">; the other component, </w:t>
      </w:r>
      <w:r w:rsidRPr="009234DA">
        <w:rPr>
          <w:i/>
        </w:rPr>
        <w:t>TD Countdown</w:t>
      </w:r>
      <w:r>
        <w:t>, cannot come into play until a TD Setup formation is complete.TD Setup, however, is not only a prerequisite for the broader</w:t>
      </w:r>
      <w:r w:rsidR="009234DA">
        <w:t xml:space="preserve"> </w:t>
      </w:r>
      <w:r>
        <w:t xml:space="preserve">trend-reversal TD Countdown signal; it is also an indicator, one that can help determine whether a market is likely to be confined to a trading range or starting a directional trend.TD Setup, of course, has both buy and sell indicators, and I will address them separately. </w:t>
      </w:r>
    </w:p>
    <w:p w:rsidR="00A33752" w:rsidRDefault="00A33752" w:rsidP="00A33752">
      <w:pPr>
        <w:pStyle w:val="NoSpacing"/>
      </w:pPr>
    </w:p>
    <w:p w:rsidR="00E14BC7" w:rsidRDefault="00A33752" w:rsidP="00A33752">
      <w:pPr>
        <w:pStyle w:val="NoSpacing"/>
      </w:pPr>
      <w:r>
        <w:t xml:space="preserve">Bearish TD Price Flip </w:t>
      </w:r>
    </w:p>
    <w:p w:rsidR="00A33752" w:rsidRDefault="00A33752" w:rsidP="00A33752">
      <w:pPr>
        <w:pStyle w:val="NoSpacing"/>
      </w:pPr>
      <w:r>
        <w:t>A Bearish TD Price Flip occurs when the market records a close greater than the close four bars earlier, immediately followed by a close less than the close four bars earlier.</w:t>
      </w:r>
    </w:p>
    <w:p w:rsidR="00A33752" w:rsidRDefault="00A33752" w:rsidP="00A33752">
      <w:pPr>
        <w:pStyle w:val="NoSpacing"/>
      </w:pPr>
    </w:p>
    <w:p w:rsidR="00A33752" w:rsidRDefault="00A33752" w:rsidP="00A33752">
      <w:pPr>
        <w:pStyle w:val="NoSpacing"/>
      </w:pPr>
      <w:r w:rsidRPr="009234DA">
        <w:rPr>
          <w:b/>
        </w:rPr>
        <w:t>TD</w:t>
      </w:r>
      <w:r>
        <w:t xml:space="preserve"> </w:t>
      </w:r>
      <w:r w:rsidRPr="009234DA">
        <w:rPr>
          <w:b/>
        </w:rPr>
        <w:t>Buy</w:t>
      </w:r>
      <w:r>
        <w:t xml:space="preserve"> </w:t>
      </w:r>
      <w:r w:rsidRPr="009234DA">
        <w:rPr>
          <w:b/>
        </w:rPr>
        <w:t>Setup</w:t>
      </w:r>
      <w:r>
        <w:t xml:space="preserve"> </w:t>
      </w:r>
    </w:p>
    <w:p w:rsidR="00A33752" w:rsidRDefault="00A33752" w:rsidP="00A33752">
      <w:pPr>
        <w:pStyle w:val="NoSpacing"/>
      </w:pPr>
      <w:r>
        <w:t>After a bearish TD Price Flip, there must be nine consecutive closes, each one less than the corresponding close four bars earlier.</w:t>
      </w:r>
    </w:p>
    <w:p w:rsidR="00A33752" w:rsidRDefault="00A33752" w:rsidP="00A33752">
      <w:pPr>
        <w:pStyle w:val="NoSpacing"/>
      </w:pPr>
    </w:p>
    <w:p w:rsidR="00E14BC7" w:rsidRDefault="00A33752" w:rsidP="00A33752">
      <w:pPr>
        <w:pStyle w:val="NoSpacing"/>
      </w:pPr>
      <w:r>
        <w:t xml:space="preserve">TD Buy Setup “Perfection” </w:t>
      </w:r>
    </w:p>
    <w:p w:rsidR="00A33752" w:rsidRPr="00A33752" w:rsidRDefault="00A33752" w:rsidP="00A33752">
      <w:pPr>
        <w:pStyle w:val="NoSpacing"/>
      </w:pPr>
      <w:r>
        <w:t>The low of bars eight or nine of the TD Buy Setup or a subsequent low must be less than, or equal to, the lows of bars six and seven of the TD Buy Setup.</w:t>
      </w:r>
    </w:p>
    <w:p w:rsidR="00A33752" w:rsidRPr="00A33752" w:rsidRDefault="00A33752" w:rsidP="00A33752">
      <w:pPr>
        <w:pStyle w:val="NoSpacing"/>
      </w:pPr>
    </w:p>
    <w:p w:rsidR="000E3141" w:rsidRDefault="00A33752" w:rsidP="00A33752">
      <w:pPr>
        <w:pStyle w:val="NoSpacing"/>
      </w:pPr>
      <w:r>
        <w:t xml:space="preserve">TD Setup perfection is deferred until that happens, and, as long as that situation remains, the risk exists for a retest of the price low of TD Buy Setup bars six or seven, prior to the minimally expected response of a one- to four-bar consolidation/reversal. Before the trader enters a long position based on a </w:t>
      </w:r>
      <w:r>
        <w:lastRenderedPageBreak/>
        <w:t>completed TD Buy Setup, TD Buy Setup perfection is needed to increase the probability of his entering the market at or near an interim price low.</w:t>
      </w:r>
    </w:p>
    <w:p w:rsidR="00A33752" w:rsidRDefault="00A33752" w:rsidP="00A33752">
      <w:pPr>
        <w:pStyle w:val="NoSpacing"/>
      </w:pPr>
    </w:p>
    <w:p w:rsidR="00A33752" w:rsidRPr="00A33752" w:rsidRDefault="00A33752" w:rsidP="00A33752">
      <w:pPr>
        <w:pStyle w:val="NoSpacing"/>
        <w:rPr>
          <w:b/>
        </w:rPr>
      </w:pPr>
      <w:r>
        <w:rPr>
          <w:b/>
        </w:rPr>
        <w:t xml:space="preserve">Jason </w:t>
      </w:r>
      <w:r w:rsidRPr="00A33752">
        <w:rPr>
          <w:b/>
        </w:rPr>
        <w:t xml:space="preserve">Perl’s Rules for Trading TD Buy Setups </w:t>
      </w:r>
    </w:p>
    <w:p w:rsidR="00A33752" w:rsidRDefault="00A33752" w:rsidP="00A33752">
      <w:pPr>
        <w:pStyle w:val="NoSpacing"/>
      </w:pPr>
      <w:r>
        <w:t xml:space="preserve">Objectively Many people believe, mistakenly, that one should initiate a long position following every completed TD Buy Setup. i advise against doing that except under the following conditions: </w:t>
      </w:r>
    </w:p>
    <w:p w:rsidR="00A33752" w:rsidRDefault="00A33752" w:rsidP="00A33752">
      <w:pPr>
        <w:pStyle w:val="NoSpacing"/>
        <w:ind w:left="720"/>
      </w:pPr>
      <w:r>
        <w:t xml:space="preserve">1. When the TD Buy Setup has been perfected, that is, the low of TD Buy Setup bar eight or nine is less than the lows of TD Buy Setup bars six and seven, </w:t>
      </w:r>
    </w:p>
    <w:p w:rsidR="00A33752" w:rsidRDefault="00A33752" w:rsidP="00A33752">
      <w:pPr>
        <w:pStyle w:val="NoSpacing"/>
        <w:ind w:left="720"/>
      </w:pPr>
      <w:r>
        <w:t xml:space="preserve">2. When none of the bars within the TD Buy Setup has closed below TDST support, and </w:t>
      </w:r>
    </w:p>
    <w:p w:rsidR="00A33752" w:rsidRPr="00A33752" w:rsidRDefault="00A33752" w:rsidP="00A33752">
      <w:pPr>
        <w:pStyle w:val="NoSpacing"/>
        <w:ind w:left="720"/>
      </w:pPr>
      <w:r>
        <w:t>3. When the close of TD Buy Setup bar nine is in close proximity to TDST support</w:t>
      </w:r>
    </w:p>
    <w:p w:rsidR="001A5D47" w:rsidRDefault="001A5D47" w:rsidP="001A5D47">
      <w:pPr>
        <w:pStyle w:val="NoSpacing"/>
      </w:pPr>
    </w:p>
    <w:p w:rsidR="001A5D47" w:rsidRDefault="001A5D47" w:rsidP="001A5D47">
      <w:pPr>
        <w:pStyle w:val="NoSpacing"/>
      </w:pPr>
      <w:r w:rsidRPr="001A5D47">
        <w:rPr>
          <w:b/>
        </w:rPr>
        <w:t>TD</w:t>
      </w:r>
      <w:r>
        <w:t xml:space="preserve"> </w:t>
      </w:r>
      <w:r w:rsidRPr="001A5D47">
        <w:rPr>
          <w:b/>
        </w:rPr>
        <w:t>Countdown</w:t>
      </w:r>
    </w:p>
    <w:p w:rsidR="001A5D47" w:rsidRDefault="001A5D47" w:rsidP="001A5D47">
      <w:pPr>
        <w:pStyle w:val="NoSpacing"/>
      </w:pPr>
      <w:r>
        <w:t xml:space="preserve">TD Countdown compares the current close with the low two bars earlier for a potential buy, and compares the current close with the high two bars earlier for a prospective sell. This price relationship is an important distinction from TD Setup, because the market must be trending for TD Countdown to objectively identify the likely exhaustion point for a trend reversal. </w:t>
      </w:r>
    </w:p>
    <w:p w:rsidR="001A5D47" w:rsidRDefault="001A5D47" w:rsidP="001A5D47">
      <w:pPr>
        <w:pStyle w:val="NoSpacing"/>
      </w:pPr>
    </w:p>
    <w:p w:rsidR="001A5D47" w:rsidRDefault="001A5D47" w:rsidP="001A5D47">
      <w:pPr>
        <w:pStyle w:val="NoSpacing"/>
      </w:pPr>
      <w:r w:rsidRPr="001A5D47">
        <w:t>One can start looking for the first bar of a TD Buy Countdown</w:t>
      </w:r>
      <w:r>
        <w:t xml:space="preserve"> </w:t>
      </w:r>
      <w:r w:rsidRPr="001A5D47">
        <w:t>when a TD Buy Setup is in place.</w:t>
      </w:r>
      <w:r>
        <w:t xml:space="preserve"> </w:t>
      </w:r>
    </w:p>
    <w:p w:rsidR="001A5D47" w:rsidRDefault="001A5D47" w:rsidP="001A5D47">
      <w:pPr>
        <w:pStyle w:val="NoSpacing"/>
      </w:pPr>
    </w:p>
    <w:p w:rsidR="001A5D47" w:rsidRDefault="001A5D47" w:rsidP="001A5D47">
      <w:pPr>
        <w:pStyle w:val="NoSpacing"/>
      </w:pPr>
      <w:r w:rsidRPr="001A5D47">
        <w:rPr>
          <w:rFonts w:hint="eastAsia"/>
          <w:b/>
        </w:rPr>
        <w:t>To</w:t>
      </w:r>
      <w:r w:rsidRPr="001A5D47">
        <w:rPr>
          <w:b/>
        </w:rPr>
        <w:t xml:space="preserve"> </w:t>
      </w:r>
      <w:r w:rsidRPr="001A5D47">
        <w:rPr>
          <w:rFonts w:hint="eastAsia"/>
          <w:b/>
        </w:rPr>
        <w:t>Initiate</w:t>
      </w:r>
      <w:r>
        <w:rPr>
          <w:b/>
        </w:rPr>
        <w:t xml:space="preserve"> </w:t>
      </w:r>
      <w:r w:rsidRPr="001A5D47">
        <w:rPr>
          <w:rFonts w:hint="eastAsia"/>
          <w:b/>
        </w:rPr>
        <w:t>TD</w:t>
      </w:r>
      <w:r>
        <w:rPr>
          <w:b/>
        </w:rPr>
        <w:t xml:space="preserve"> </w:t>
      </w:r>
      <w:r w:rsidRPr="001A5D47">
        <w:rPr>
          <w:rFonts w:hint="eastAsia"/>
          <w:b/>
        </w:rPr>
        <w:t>Buy</w:t>
      </w:r>
      <w:r>
        <w:rPr>
          <w:b/>
        </w:rPr>
        <w:t xml:space="preserve"> </w:t>
      </w:r>
      <w:r w:rsidRPr="001A5D47">
        <w:rPr>
          <w:rFonts w:hint="eastAsia"/>
          <w:b/>
        </w:rPr>
        <w:t>Countdown</w:t>
      </w:r>
      <w:r>
        <w:t xml:space="preserve"> </w:t>
      </w:r>
    </w:p>
    <w:p w:rsidR="001A5D47" w:rsidRPr="001A5D47" w:rsidRDefault="001A5D47" w:rsidP="001A5D47">
      <w:pPr>
        <w:pStyle w:val="NoSpacing"/>
        <w:rPr>
          <w:i/>
        </w:rPr>
      </w:pPr>
      <w:r w:rsidRPr="001A5D47">
        <w:rPr>
          <w:i/>
        </w:rPr>
        <w:t xml:space="preserve">After </w:t>
      </w:r>
    </w:p>
    <w:p w:rsidR="001A5D47" w:rsidRDefault="001A5D47" w:rsidP="001A5D47">
      <w:pPr>
        <w:pStyle w:val="NoSpacing"/>
      </w:pPr>
      <w:r w:rsidRPr="001A5D47">
        <w:t xml:space="preserve">TD Buy Setup is in place, look for the initiation of a TD </w:t>
      </w:r>
      <w:r>
        <w:t>b</w:t>
      </w:r>
      <w:r w:rsidRPr="001A5D47">
        <w:t>uy Countdown.</w:t>
      </w:r>
      <w:r>
        <w:t xml:space="preserve"> </w:t>
      </w:r>
    </w:p>
    <w:p w:rsidR="001A5D47" w:rsidRDefault="001A5D47" w:rsidP="001A5D47">
      <w:pPr>
        <w:pStyle w:val="NoSpacing"/>
      </w:pPr>
      <w:r w:rsidRPr="001A5D47">
        <w:rPr>
          <w:i/>
        </w:rPr>
        <w:t>If</w:t>
      </w:r>
      <w:r>
        <w:t xml:space="preserve"> </w:t>
      </w:r>
    </w:p>
    <w:p w:rsidR="001A5D47" w:rsidRDefault="001A5D47" w:rsidP="001A5D47">
      <w:pPr>
        <w:pStyle w:val="NoSpacing"/>
      </w:pPr>
      <w:r w:rsidRPr="001A5D47">
        <w:lastRenderedPageBreak/>
        <w:t xml:space="preserve">Bar nine of a TD Buy Setup also has a close less than, or equal to, the low </w:t>
      </w:r>
      <w:r>
        <w:t>t</w:t>
      </w:r>
      <w:r w:rsidRPr="001A5D47">
        <w:t>wo bars</w:t>
      </w:r>
      <w:r>
        <w:t xml:space="preserve"> </w:t>
      </w:r>
      <w:r w:rsidRPr="001A5D47">
        <w:t xml:space="preserve">earlier, </w:t>
      </w:r>
    </w:p>
    <w:p w:rsidR="001A5D47" w:rsidRDefault="001A5D47" w:rsidP="001A5D47">
      <w:pPr>
        <w:pStyle w:val="NoSpacing"/>
      </w:pPr>
      <w:r w:rsidRPr="001A5D47">
        <w:rPr>
          <w:i/>
        </w:rPr>
        <w:t>Then</w:t>
      </w:r>
      <w:r w:rsidRPr="001A5D47">
        <w:t>,</w:t>
      </w:r>
      <w:r>
        <w:t xml:space="preserve"> </w:t>
      </w:r>
    </w:p>
    <w:p w:rsidR="001A5D47" w:rsidRDefault="001A5D47" w:rsidP="001A5D47">
      <w:pPr>
        <w:pStyle w:val="NoSpacing"/>
      </w:pPr>
      <w:r w:rsidRPr="001A5D47">
        <w:t>Bar nine of a TD Buy Setup becomes bar one of a TD Buy Countdown.</w:t>
      </w:r>
      <w:r>
        <w:t xml:space="preserve"> </w:t>
      </w:r>
    </w:p>
    <w:p w:rsidR="001A5D47" w:rsidRPr="001A5D47" w:rsidRDefault="001A5D47" w:rsidP="001A5D47">
      <w:pPr>
        <w:pStyle w:val="NoSpacing"/>
        <w:rPr>
          <w:i/>
        </w:rPr>
      </w:pPr>
      <w:r w:rsidRPr="001A5D47">
        <w:rPr>
          <w:i/>
        </w:rPr>
        <w:t xml:space="preserve">If </w:t>
      </w:r>
    </w:p>
    <w:p w:rsidR="00274256" w:rsidRDefault="001A5D47" w:rsidP="001A5D47">
      <w:pPr>
        <w:pStyle w:val="NoSpacing"/>
      </w:pPr>
      <w:r w:rsidRPr="001A5D47">
        <w:t>That condition is not met,</w:t>
      </w:r>
      <w:r>
        <w:t xml:space="preserve"> </w:t>
      </w:r>
      <w:r w:rsidRPr="001A5D47">
        <w:t>Then</w:t>
      </w:r>
      <w:r>
        <w:t xml:space="preserve"> </w:t>
      </w:r>
      <w:r w:rsidRPr="001A5D47">
        <w:t xml:space="preserve">TD Buy Countdown bar one is postponed until it does, and the </w:t>
      </w:r>
      <w:r>
        <w:t>T</w:t>
      </w:r>
      <w:r w:rsidRPr="001A5D47">
        <w:t>D Buy Countdown</w:t>
      </w:r>
      <w:r>
        <w:t xml:space="preserve"> </w:t>
      </w:r>
      <w:r w:rsidRPr="001A5D47">
        <w:t xml:space="preserve">continues until there are a total of thirteen closes, each one less than, or </w:t>
      </w:r>
      <w:r>
        <w:t>e</w:t>
      </w:r>
      <w:r w:rsidRPr="001A5D47">
        <w:t>qual to,</w:t>
      </w:r>
      <w:r>
        <w:t xml:space="preserve"> </w:t>
      </w:r>
      <w:r w:rsidRPr="001A5D47">
        <w:t>the low two bars earlier.</w:t>
      </w:r>
    </w:p>
    <w:p w:rsidR="001A5D47" w:rsidRDefault="001A5D47" w:rsidP="001A5D47">
      <w:pPr>
        <w:pStyle w:val="NoSpacing"/>
      </w:pPr>
    </w:p>
    <w:p w:rsidR="001A5D47" w:rsidRDefault="001A5D47" w:rsidP="001A5D47">
      <w:pPr>
        <w:pStyle w:val="NoSpacing"/>
        <w:jc w:val="center"/>
      </w:pPr>
      <w:r>
        <w:rPr>
          <w:noProof/>
          <w:lang w:val="en-IN" w:eastAsia="en-IN"/>
        </w:rPr>
        <w:drawing>
          <wp:inline distT="0" distB="0" distL="0" distR="0">
            <wp:extent cx="4162425" cy="3583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 Countdown.png"/>
                    <pic:cNvPicPr/>
                  </pic:nvPicPr>
                  <pic:blipFill>
                    <a:blip r:embed="rId9">
                      <a:extLst>
                        <a:ext uri="{28A0092B-C50C-407E-A947-70E740481C1C}">
                          <a14:useLocalDpi xmlns:a14="http://schemas.microsoft.com/office/drawing/2010/main" val="0"/>
                        </a:ext>
                      </a:extLst>
                    </a:blip>
                    <a:stretch>
                      <a:fillRect/>
                    </a:stretch>
                  </pic:blipFill>
                  <pic:spPr>
                    <a:xfrm>
                      <a:off x="0" y="0"/>
                      <a:ext cx="4181058" cy="3599081"/>
                    </a:xfrm>
                    <a:prstGeom prst="rect">
                      <a:avLst/>
                    </a:prstGeom>
                  </pic:spPr>
                </pic:pic>
              </a:graphicData>
            </a:graphic>
          </wp:inline>
        </w:drawing>
      </w:r>
    </w:p>
    <w:p w:rsidR="009234DA" w:rsidRDefault="009234DA" w:rsidP="009234DA">
      <w:pPr>
        <w:pStyle w:val="NoSpacing"/>
        <w:jc w:val="right"/>
      </w:pPr>
      <w:r>
        <w:t>©Bloomberg Market Essentials</w:t>
      </w:r>
    </w:p>
    <w:p w:rsidR="0097137A" w:rsidRDefault="0097137A" w:rsidP="00274256">
      <w:pPr>
        <w:autoSpaceDE w:val="0"/>
        <w:autoSpaceDN w:val="0"/>
        <w:adjustRightInd w:val="0"/>
        <w:spacing w:line="240" w:lineRule="auto"/>
        <w:ind w:firstLine="0"/>
        <w:rPr>
          <w:b/>
        </w:rPr>
      </w:pPr>
    </w:p>
    <w:p w:rsidR="0097137A" w:rsidRDefault="0097137A" w:rsidP="00274256">
      <w:pPr>
        <w:autoSpaceDE w:val="0"/>
        <w:autoSpaceDN w:val="0"/>
        <w:adjustRightInd w:val="0"/>
        <w:spacing w:line="240" w:lineRule="auto"/>
        <w:ind w:firstLine="0"/>
        <w:rPr>
          <w:b/>
        </w:rPr>
      </w:pPr>
    </w:p>
    <w:p w:rsidR="0097137A" w:rsidRDefault="0097137A" w:rsidP="00274256">
      <w:pPr>
        <w:autoSpaceDE w:val="0"/>
        <w:autoSpaceDN w:val="0"/>
        <w:adjustRightInd w:val="0"/>
        <w:spacing w:line="240" w:lineRule="auto"/>
        <w:ind w:firstLine="0"/>
        <w:rPr>
          <w:b/>
        </w:rPr>
      </w:pPr>
    </w:p>
    <w:p w:rsidR="0097137A" w:rsidRDefault="0097137A" w:rsidP="00274256">
      <w:pPr>
        <w:autoSpaceDE w:val="0"/>
        <w:autoSpaceDN w:val="0"/>
        <w:adjustRightInd w:val="0"/>
        <w:spacing w:line="240" w:lineRule="auto"/>
        <w:ind w:firstLine="0"/>
        <w:rPr>
          <w:b/>
        </w:rPr>
      </w:pPr>
    </w:p>
    <w:p w:rsidR="0097137A" w:rsidRDefault="0097137A" w:rsidP="00274256">
      <w:pPr>
        <w:autoSpaceDE w:val="0"/>
        <w:autoSpaceDN w:val="0"/>
        <w:adjustRightInd w:val="0"/>
        <w:spacing w:line="240" w:lineRule="auto"/>
        <w:ind w:firstLine="0"/>
        <w:rPr>
          <w:b/>
        </w:rPr>
      </w:pPr>
    </w:p>
    <w:p w:rsidR="0097137A" w:rsidRDefault="0097137A" w:rsidP="00274256">
      <w:pPr>
        <w:autoSpaceDE w:val="0"/>
        <w:autoSpaceDN w:val="0"/>
        <w:adjustRightInd w:val="0"/>
        <w:spacing w:line="240" w:lineRule="auto"/>
        <w:ind w:firstLine="0"/>
        <w:rPr>
          <w:b/>
        </w:rPr>
      </w:pPr>
    </w:p>
    <w:p w:rsidR="0097137A" w:rsidRDefault="0097137A" w:rsidP="00274256">
      <w:pPr>
        <w:autoSpaceDE w:val="0"/>
        <w:autoSpaceDN w:val="0"/>
        <w:adjustRightInd w:val="0"/>
        <w:spacing w:line="240" w:lineRule="auto"/>
        <w:ind w:firstLine="0"/>
        <w:rPr>
          <w:b/>
        </w:rPr>
      </w:pPr>
    </w:p>
    <w:p w:rsidR="00A33752" w:rsidRDefault="00274256" w:rsidP="00274256">
      <w:pPr>
        <w:autoSpaceDE w:val="0"/>
        <w:autoSpaceDN w:val="0"/>
        <w:adjustRightInd w:val="0"/>
        <w:spacing w:line="240" w:lineRule="auto"/>
        <w:ind w:firstLine="0"/>
        <w:rPr>
          <w:b/>
        </w:rPr>
      </w:pPr>
      <w:r>
        <w:rPr>
          <w:b/>
        </w:rPr>
        <w:lastRenderedPageBreak/>
        <w:t xml:space="preserve">TD DeMark Buy </w:t>
      </w:r>
      <w:r w:rsidR="00A33752" w:rsidRPr="00A33752">
        <w:rPr>
          <w:b/>
        </w:rPr>
        <w:t>Basic Algorithm (Long only):</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 </w:t>
      </w:r>
      <w:r w:rsidRPr="000E3141">
        <w:rPr>
          <w:rFonts w:cstheme="minorHAnsi"/>
          <w:b/>
          <w:kern w:val="0"/>
          <w:sz w:val="22"/>
          <w:szCs w:val="20"/>
        </w:rPr>
        <w:t>for</w:t>
      </w:r>
      <w:r w:rsidRPr="000E3141">
        <w:rPr>
          <w:rFonts w:cstheme="minorHAnsi"/>
          <w:kern w:val="0"/>
          <w:sz w:val="22"/>
          <w:szCs w:val="20"/>
        </w:rPr>
        <w:t xml:space="preserve"> each (new) t-th price bar:</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 </w:t>
      </w:r>
      <w:r>
        <w:rPr>
          <w:rFonts w:cstheme="minorHAnsi"/>
          <w:b/>
          <w:kern w:val="0"/>
          <w:sz w:val="22"/>
          <w:szCs w:val="20"/>
        </w:rPr>
        <w:t>proc</w:t>
      </w:r>
      <w:r w:rsidRPr="000E3141">
        <w:rPr>
          <w:rFonts w:cstheme="minorHAnsi"/>
          <w:kern w:val="0"/>
          <w:sz w:val="22"/>
          <w:szCs w:val="20"/>
        </w:rPr>
        <w:t xml:space="preserve"> DeMark(P</w:t>
      </w:r>
      <w:r w:rsidRPr="000E3141">
        <w:rPr>
          <w:rFonts w:cstheme="minorHAnsi"/>
          <w:kern w:val="0"/>
          <w:sz w:val="16"/>
          <w:szCs w:val="14"/>
        </w:rPr>
        <w:t>c</w:t>
      </w:r>
      <w:r w:rsidRPr="000E3141">
        <w:rPr>
          <w:rFonts w:cstheme="minorHAnsi"/>
          <w:kern w:val="0"/>
          <w:sz w:val="22"/>
          <w:szCs w:val="20"/>
        </w:rPr>
        <w:t>,P</w:t>
      </w:r>
      <w:r w:rsidRPr="000E3141">
        <w:rPr>
          <w:rFonts w:cstheme="minorHAnsi"/>
          <w:kern w:val="0"/>
          <w:sz w:val="16"/>
          <w:szCs w:val="14"/>
        </w:rPr>
        <w:t>h</w:t>
      </w:r>
      <w:r w:rsidRPr="000E3141">
        <w:rPr>
          <w:rFonts w:cstheme="minorHAnsi"/>
          <w:kern w:val="0"/>
          <w:sz w:val="22"/>
          <w:szCs w:val="20"/>
        </w:rPr>
        <w:t>,P</w:t>
      </w:r>
      <w:r w:rsidRPr="000E3141">
        <w:rPr>
          <w:rFonts w:cstheme="minorHAnsi"/>
          <w:kern w:val="0"/>
          <w:sz w:val="16"/>
          <w:szCs w:val="14"/>
        </w:rPr>
        <w:t>l</w:t>
      </w:r>
      <w:r w:rsidRPr="000E3141">
        <w:rPr>
          <w:rFonts w:cstheme="minorHAnsi"/>
          <w:kern w:val="0"/>
          <w:sz w:val="22"/>
          <w:szCs w:val="20"/>
        </w:rPr>
        <w:t>,n,m,q,p,k,options)</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3: </w:t>
      </w:r>
      <w:r w:rsidRPr="000E3141">
        <w:rPr>
          <w:rFonts w:cstheme="minorHAnsi"/>
          <w:kern w:val="0"/>
          <w:sz w:val="18"/>
          <w:szCs w:val="16"/>
        </w:rPr>
        <w:tab/>
      </w:r>
      <w:r w:rsidRPr="000E3141">
        <w:rPr>
          <w:rFonts w:cstheme="minorHAnsi"/>
          <w:kern w:val="0"/>
          <w:sz w:val="22"/>
          <w:szCs w:val="20"/>
        </w:rPr>
        <w:t xml:space="preserve">update Setup’s counter (s = s + 1) </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4:</w:t>
      </w:r>
      <w:r w:rsidRPr="000E3141">
        <w:rPr>
          <w:rFonts w:cstheme="minorHAnsi"/>
          <w:kern w:val="0"/>
          <w:sz w:val="18"/>
          <w:szCs w:val="16"/>
        </w:rPr>
        <w:tab/>
        <w:t xml:space="preserve"> </w:t>
      </w:r>
      <w:r w:rsidRPr="000E3141">
        <w:rPr>
          <w:rFonts w:cstheme="minorHAnsi"/>
          <w:b/>
          <w:kern w:val="0"/>
          <w:sz w:val="22"/>
          <w:szCs w:val="20"/>
        </w:rPr>
        <w:t>if</w:t>
      </w:r>
      <w:r w:rsidRPr="000E3141">
        <w:rPr>
          <w:rFonts w:cstheme="minorHAnsi"/>
          <w:kern w:val="0"/>
          <w:sz w:val="22"/>
          <w:szCs w:val="20"/>
        </w:rPr>
        <w:t xml:space="preserve"> s = m then</w:t>
      </w:r>
    </w:p>
    <w:p w:rsidR="000E3141" w:rsidRDefault="000E3141" w:rsidP="000E3141">
      <w:pPr>
        <w:autoSpaceDE w:val="0"/>
        <w:autoSpaceDN w:val="0"/>
        <w:adjustRightInd w:val="0"/>
        <w:spacing w:line="240" w:lineRule="auto"/>
        <w:ind w:firstLine="0"/>
        <w:rPr>
          <w:rFonts w:ascii="Cambria Math" w:hAnsi="Cambria Math" w:cs="Cambria Math" w:hint="eastAsia"/>
          <w:kern w:val="0"/>
          <w:sz w:val="22"/>
          <w:szCs w:val="20"/>
        </w:rPr>
      </w:pPr>
      <w:r w:rsidRPr="000E3141">
        <w:rPr>
          <w:rFonts w:cstheme="minorHAnsi"/>
          <w:kern w:val="0"/>
          <w:sz w:val="18"/>
          <w:szCs w:val="16"/>
        </w:rPr>
        <w:t xml:space="preserve">5: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 xml:space="preserve">compute Setup’s range &amp; R </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6:</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update Support/Resistance levels</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7: </w:t>
      </w:r>
      <w:r w:rsidRPr="000E3141">
        <w:rPr>
          <w:rFonts w:cstheme="minorHAnsi"/>
          <w:kern w:val="0"/>
          <w:sz w:val="18"/>
          <w:szCs w:val="16"/>
        </w:rPr>
        <w:tab/>
      </w:r>
      <w:r w:rsidRPr="000E3141">
        <w:rPr>
          <w:rFonts w:cstheme="minorHAnsi"/>
          <w:b/>
          <w:kern w:val="0"/>
          <w:sz w:val="22"/>
          <w:szCs w:val="20"/>
        </w:rPr>
        <w:t>end 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8: </w:t>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indicator = ST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9: </w:t>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no open positions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10: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P</w:t>
      </w:r>
      <w:r w:rsidRPr="000E3141">
        <w:rPr>
          <w:rFonts w:cstheme="minorHAnsi"/>
          <w:kern w:val="0"/>
          <w:sz w:val="16"/>
          <w:szCs w:val="14"/>
        </w:rPr>
        <w:t>c</w:t>
      </w:r>
      <w:r w:rsidRPr="000E3141">
        <w:rPr>
          <w:rFonts w:cstheme="minorHAnsi"/>
          <w:kern w:val="0"/>
          <w:sz w:val="22"/>
          <w:szCs w:val="20"/>
        </w:rPr>
        <w:t>(t) &gt; res(t)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11: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open new long position at t + 1</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12: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else</w:t>
      </w:r>
      <w:r w:rsidRPr="000E3141">
        <w:rPr>
          <w:rFonts w:cstheme="minorHAnsi"/>
          <w:kern w:val="0"/>
          <w:sz w:val="22"/>
          <w:szCs w:val="20"/>
        </w:rPr>
        <w:t xml:space="preserve"> </w:t>
      </w:r>
      <w:r w:rsidRPr="000E3141">
        <w:rPr>
          <w:rFonts w:cstheme="minorHAnsi"/>
          <w:b/>
          <w:kern w:val="0"/>
          <w:sz w:val="22"/>
          <w:szCs w:val="20"/>
        </w:rPr>
        <w:t>if</w:t>
      </w:r>
      <w:r w:rsidRPr="000E3141">
        <w:rPr>
          <w:rFonts w:cstheme="minorHAnsi"/>
          <w:kern w:val="0"/>
          <w:sz w:val="22"/>
          <w:szCs w:val="20"/>
        </w:rPr>
        <w:t xml:space="preserve"> P</w:t>
      </w:r>
      <w:r w:rsidRPr="000E3141">
        <w:rPr>
          <w:rFonts w:cstheme="minorHAnsi"/>
          <w:kern w:val="0"/>
          <w:sz w:val="16"/>
          <w:szCs w:val="14"/>
        </w:rPr>
        <w:t>c</w:t>
      </w:r>
      <w:r w:rsidRPr="000E3141">
        <w:rPr>
          <w:rFonts w:cstheme="minorHAnsi"/>
          <w:kern w:val="0"/>
          <w:sz w:val="22"/>
          <w:szCs w:val="20"/>
        </w:rPr>
        <w:t>(t) &lt; sup(t)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13: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open new short position at t + 1</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14: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15: </w:t>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16: </w:t>
      </w:r>
      <w:r w:rsidRPr="000E3141">
        <w:rPr>
          <w:rFonts w:cstheme="minorHAnsi"/>
          <w:kern w:val="0"/>
          <w:sz w:val="18"/>
          <w:szCs w:val="16"/>
        </w:rPr>
        <w:tab/>
      </w:r>
      <w:r w:rsidRPr="000E3141">
        <w:rPr>
          <w:rFonts w:cstheme="minorHAnsi"/>
          <w:b/>
          <w:kern w:val="0"/>
          <w:sz w:val="22"/>
          <w:szCs w:val="20"/>
        </w:rPr>
        <w:t>else</w:t>
      </w:r>
      <w:r w:rsidRPr="000E3141">
        <w:rPr>
          <w:rFonts w:cstheme="minorHAnsi"/>
          <w:kern w:val="0"/>
          <w:sz w:val="22"/>
          <w:szCs w:val="20"/>
        </w:rPr>
        <w:t xml:space="preserve"> </w:t>
      </w:r>
      <w:r w:rsidRPr="000E3141">
        <w:rPr>
          <w:rFonts w:cstheme="minorHAnsi"/>
          <w:b/>
          <w:kern w:val="0"/>
          <w:sz w:val="22"/>
          <w:szCs w:val="20"/>
        </w:rPr>
        <w:t>if</w:t>
      </w:r>
      <w:r w:rsidRPr="000E3141">
        <w:rPr>
          <w:rFonts w:cstheme="minorHAnsi"/>
          <w:kern w:val="0"/>
          <w:sz w:val="22"/>
          <w:szCs w:val="20"/>
        </w:rPr>
        <w:t xml:space="preserve"> indicator = Sequential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17: </w:t>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s = m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18:</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no active Countdown phase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19: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activate new Countdown phase</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20: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reset Cou</w:t>
      </w:r>
      <w:r w:rsidR="007F3B12">
        <w:rPr>
          <w:rFonts w:cstheme="minorHAnsi"/>
          <w:kern w:val="0"/>
          <w:sz w:val="22"/>
          <w:szCs w:val="20"/>
        </w:rPr>
        <w:t>n</w:t>
      </w:r>
      <w:r w:rsidRPr="000E3141">
        <w:rPr>
          <w:rFonts w:cstheme="minorHAnsi"/>
          <w:kern w:val="0"/>
          <w:sz w:val="22"/>
          <w:szCs w:val="20"/>
        </w:rPr>
        <w:t>tdown’s counter (c = 0)</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21:</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22: </w:t>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23: </w:t>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active Countdown phase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24: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check recycle and ending conditions</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25: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Combo then</w:t>
      </w:r>
    </w:p>
    <w:p w:rsidR="000E3141" w:rsidRDefault="000E3141" w:rsidP="000E3141">
      <w:pPr>
        <w:autoSpaceDE w:val="0"/>
        <w:autoSpaceDN w:val="0"/>
        <w:adjustRightInd w:val="0"/>
        <w:spacing w:line="240" w:lineRule="auto"/>
        <w:ind w:firstLine="0"/>
        <w:rPr>
          <w:rFonts w:ascii="Cambria Math" w:hAnsi="Cambria Math" w:cs="Cambria Math" w:hint="eastAsia"/>
          <w:kern w:val="0"/>
          <w:sz w:val="22"/>
          <w:szCs w:val="20"/>
        </w:rPr>
      </w:pPr>
      <w:r w:rsidRPr="000E3141">
        <w:rPr>
          <w:rFonts w:cstheme="minorHAnsi"/>
          <w:kern w:val="0"/>
          <w:sz w:val="18"/>
          <w:szCs w:val="16"/>
        </w:rPr>
        <w:t xml:space="preserve">26: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 xml:space="preserve">update c </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27: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else</w:t>
      </w:r>
      <w:r w:rsidRPr="000E3141">
        <w:rPr>
          <w:rFonts w:cstheme="minorHAnsi"/>
          <w:kern w:val="0"/>
          <w:sz w:val="22"/>
          <w:szCs w:val="20"/>
        </w:rPr>
        <w:t xml:space="preserve"> (normal Countdown)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28: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 xml:space="preserve">update c </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29: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30: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if</w:t>
      </w:r>
      <w:r w:rsidRPr="000E3141">
        <w:rPr>
          <w:rFonts w:cstheme="minorHAnsi"/>
          <w:kern w:val="0"/>
          <w:sz w:val="22"/>
          <w:szCs w:val="20"/>
        </w:rPr>
        <w:t xml:space="preserve"> c = p then</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31: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kern w:val="0"/>
          <w:sz w:val="22"/>
          <w:szCs w:val="20"/>
        </w:rPr>
        <w:t xml:space="preserve">open new position </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32: </w:t>
      </w:r>
      <w:r w:rsidRPr="000E3141">
        <w:rPr>
          <w:rFonts w:cstheme="minorHAnsi"/>
          <w:kern w:val="0"/>
          <w:sz w:val="18"/>
          <w:szCs w:val="16"/>
        </w:rPr>
        <w:tab/>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33:</w:t>
      </w:r>
      <w:r w:rsidRPr="000E3141">
        <w:rPr>
          <w:rFonts w:cstheme="minorHAnsi"/>
          <w:kern w:val="0"/>
          <w:sz w:val="18"/>
          <w:szCs w:val="16"/>
        </w:rPr>
        <w:tab/>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Pr="000E3141" w:rsidRDefault="000E3141" w:rsidP="000E3141">
      <w:pPr>
        <w:autoSpaceDE w:val="0"/>
        <w:autoSpaceDN w:val="0"/>
        <w:adjustRightInd w:val="0"/>
        <w:spacing w:line="240" w:lineRule="auto"/>
        <w:ind w:firstLine="0"/>
        <w:rPr>
          <w:rFonts w:cstheme="minorHAnsi"/>
          <w:kern w:val="0"/>
          <w:sz w:val="22"/>
          <w:szCs w:val="20"/>
        </w:rPr>
      </w:pPr>
      <w:r w:rsidRPr="000E3141">
        <w:rPr>
          <w:rFonts w:cstheme="minorHAnsi"/>
          <w:kern w:val="0"/>
          <w:sz w:val="18"/>
          <w:szCs w:val="16"/>
        </w:rPr>
        <w:t xml:space="preserve">34: </w:t>
      </w:r>
      <w:r w:rsidRPr="000E3141">
        <w:rPr>
          <w:rFonts w:cstheme="minorHAnsi"/>
          <w:kern w:val="0"/>
          <w:sz w:val="18"/>
          <w:szCs w:val="16"/>
        </w:rPr>
        <w:tab/>
      </w:r>
      <w:r w:rsidRPr="000E3141">
        <w:rPr>
          <w:rFonts w:cstheme="minorHAnsi"/>
          <w:b/>
          <w:kern w:val="0"/>
          <w:sz w:val="22"/>
          <w:szCs w:val="20"/>
        </w:rPr>
        <w:t>end</w:t>
      </w:r>
      <w:r w:rsidRPr="000E3141">
        <w:rPr>
          <w:rFonts w:cstheme="minorHAnsi"/>
          <w:kern w:val="0"/>
          <w:sz w:val="22"/>
          <w:szCs w:val="20"/>
        </w:rPr>
        <w:t xml:space="preserve"> </w:t>
      </w:r>
      <w:r w:rsidRPr="000E3141">
        <w:rPr>
          <w:rFonts w:cstheme="minorHAnsi"/>
          <w:b/>
          <w:kern w:val="0"/>
          <w:sz w:val="22"/>
          <w:szCs w:val="20"/>
        </w:rPr>
        <w:t>if</w:t>
      </w:r>
    </w:p>
    <w:p w:rsidR="000E3141" w:rsidRDefault="000E3141" w:rsidP="000E3141">
      <w:pPr>
        <w:pStyle w:val="NoSpacing"/>
        <w:rPr>
          <w:rFonts w:cstheme="minorHAnsi"/>
          <w:b/>
          <w:sz w:val="22"/>
          <w:szCs w:val="20"/>
        </w:rPr>
      </w:pPr>
      <w:r w:rsidRPr="000E3141">
        <w:rPr>
          <w:rFonts w:cstheme="minorHAnsi"/>
          <w:sz w:val="18"/>
          <w:szCs w:val="16"/>
        </w:rPr>
        <w:t xml:space="preserve">35: </w:t>
      </w:r>
      <w:r w:rsidRPr="000E3141">
        <w:rPr>
          <w:rFonts w:cstheme="minorHAnsi"/>
          <w:b/>
          <w:sz w:val="22"/>
          <w:szCs w:val="20"/>
        </w:rPr>
        <w:t>end</w:t>
      </w:r>
      <w:r>
        <w:rPr>
          <w:rFonts w:cstheme="minorHAnsi"/>
          <w:sz w:val="22"/>
          <w:szCs w:val="20"/>
        </w:rPr>
        <w:t xml:space="preserve"> </w:t>
      </w:r>
      <w:r w:rsidRPr="000E3141">
        <w:rPr>
          <w:rFonts w:cstheme="minorHAnsi"/>
          <w:b/>
          <w:sz w:val="22"/>
          <w:szCs w:val="20"/>
        </w:rPr>
        <w:t>proc</w:t>
      </w:r>
    </w:p>
    <w:p w:rsidR="00427869" w:rsidRDefault="00427869" w:rsidP="000E3141">
      <w:pPr>
        <w:pStyle w:val="NoSpacing"/>
        <w:rPr>
          <w:rFonts w:cstheme="minorHAnsi"/>
          <w:b/>
          <w:sz w:val="22"/>
          <w:szCs w:val="20"/>
        </w:rPr>
      </w:pPr>
      <w:r>
        <w:rPr>
          <w:rFonts w:cstheme="minorHAnsi"/>
          <w:b/>
          <w:noProof/>
          <w:sz w:val="22"/>
          <w:szCs w:val="20"/>
          <w:lang w:val="en-IN" w:eastAsia="en-IN"/>
        </w:rPr>
        <w:lastRenderedPageBreak/>
        <w:drawing>
          <wp:inline distT="0" distB="0" distL="0" distR="0">
            <wp:extent cx="6600825" cy="3419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L Setup Countdown.png"/>
                    <pic:cNvPicPr/>
                  </pic:nvPicPr>
                  <pic:blipFill>
                    <a:blip r:embed="rId10">
                      <a:extLst>
                        <a:ext uri="{28A0092B-C50C-407E-A947-70E740481C1C}">
                          <a14:useLocalDpi xmlns:a14="http://schemas.microsoft.com/office/drawing/2010/main" val="0"/>
                        </a:ext>
                      </a:extLst>
                    </a:blip>
                    <a:stretch>
                      <a:fillRect/>
                    </a:stretch>
                  </pic:blipFill>
                  <pic:spPr>
                    <a:xfrm>
                      <a:off x="0" y="0"/>
                      <a:ext cx="6600825" cy="3419475"/>
                    </a:xfrm>
                    <a:prstGeom prst="rect">
                      <a:avLst/>
                    </a:prstGeom>
                  </pic:spPr>
                </pic:pic>
              </a:graphicData>
            </a:graphic>
          </wp:inline>
        </w:drawing>
      </w:r>
    </w:p>
    <w:p w:rsidR="00796CD3" w:rsidRDefault="00CA2373" w:rsidP="0097137A">
      <w:pPr>
        <w:pStyle w:val="NoSpacing"/>
        <w:jc w:val="center"/>
        <w:rPr>
          <w:b/>
        </w:rPr>
      </w:pPr>
      <w:r>
        <w:rPr>
          <w:b/>
        </w:rPr>
        <w:t>Example of DeMark Setup followed by Countdown Signal</w:t>
      </w:r>
      <w:r w:rsidR="0097137A">
        <w:rPr>
          <w:b/>
        </w:rPr>
        <w:t xml:space="preserve"> Generated</w:t>
      </w:r>
      <w:r>
        <w:rPr>
          <w:b/>
        </w:rPr>
        <w:t xml:space="preserve"> from code</w:t>
      </w:r>
    </w:p>
    <w:p w:rsidR="00796CD3" w:rsidRDefault="00796CD3" w:rsidP="000E3141">
      <w:pPr>
        <w:pStyle w:val="NoSpacing"/>
        <w:rPr>
          <w:b/>
        </w:rPr>
      </w:pPr>
    </w:p>
    <w:p w:rsidR="009234DA" w:rsidRPr="000E3141" w:rsidRDefault="009234DA" w:rsidP="000E3141">
      <w:pPr>
        <w:pStyle w:val="NoSpacing"/>
        <w:rPr>
          <w:rFonts w:cstheme="minorHAnsi"/>
          <w:sz w:val="28"/>
        </w:rPr>
      </w:pPr>
      <w:r w:rsidRPr="009234DA">
        <w:rPr>
          <w:b/>
        </w:rPr>
        <w:t>Momentum</w:t>
      </w:r>
      <w:r>
        <w:rPr>
          <w:rFonts w:cstheme="minorHAnsi"/>
          <w:b/>
          <w:sz w:val="22"/>
          <w:szCs w:val="20"/>
        </w:rPr>
        <w:t xml:space="preserve"> </w:t>
      </w:r>
      <w:r w:rsidR="00796CD3">
        <w:rPr>
          <w:rFonts w:cstheme="minorHAnsi"/>
          <w:b/>
          <w:sz w:val="22"/>
          <w:szCs w:val="20"/>
        </w:rPr>
        <w:t>and Relative Strength Index (MACD and RSI)</w:t>
      </w:r>
    </w:p>
    <w:p w:rsidR="00796CD3" w:rsidRDefault="00796CD3" w:rsidP="00427869">
      <w:pPr>
        <w:pStyle w:val="NoSpacing"/>
      </w:pPr>
    </w:p>
    <w:p w:rsidR="00113365" w:rsidRDefault="00427869" w:rsidP="00427869">
      <w:pPr>
        <w:pStyle w:val="NoSpacing"/>
      </w:pPr>
      <w:r>
        <w:t>Momentum based strategies, in which we group both trend</w:t>
      </w:r>
      <w:r w:rsidR="00796CD3">
        <w:t xml:space="preserve"> </w:t>
      </w:r>
      <w:r>
        <w:t>following and relative strength techniques, have been applied as investment strategies for over a century. Momentum has been one of the most widely discussed and researched investment strategies (some academics would prefer the term “anomaly”).</w:t>
      </w:r>
    </w:p>
    <w:p w:rsidR="00796CD3" w:rsidRDefault="00796CD3" w:rsidP="00427869">
      <w:pPr>
        <w:pStyle w:val="NoSpacing"/>
      </w:pPr>
    </w:p>
    <w:p w:rsidR="00796CD3" w:rsidRDefault="00796CD3" w:rsidP="00427869">
      <w:pPr>
        <w:pStyle w:val="NoSpacing"/>
      </w:pPr>
      <w:r>
        <w:t>This paper tries attempts to test the effectiveness of the strategy in combination with RSI (Relative Strength Index).</w:t>
      </w:r>
    </w:p>
    <w:p w:rsidR="004D381A" w:rsidRDefault="004D381A" w:rsidP="00427869">
      <w:pPr>
        <w:pStyle w:val="NoSpacing"/>
      </w:pPr>
    </w:p>
    <w:p w:rsidR="0097137A" w:rsidRDefault="0097137A" w:rsidP="00427869">
      <w:pPr>
        <w:pStyle w:val="NoSpacing"/>
      </w:pPr>
    </w:p>
    <w:p w:rsidR="0097137A" w:rsidRDefault="0097137A" w:rsidP="00427869">
      <w:pPr>
        <w:pStyle w:val="NoSpacing"/>
      </w:pPr>
    </w:p>
    <w:p w:rsidR="0097137A" w:rsidRDefault="0097137A" w:rsidP="00427869">
      <w:pPr>
        <w:pStyle w:val="NoSpacing"/>
      </w:pPr>
    </w:p>
    <w:p w:rsidR="00796CD3" w:rsidRDefault="00796CD3" w:rsidP="00796CD3">
      <w:pPr>
        <w:pStyle w:val="NoSpacing"/>
      </w:pPr>
      <w:r w:rsidRPr="00796CD3">
        <w:rPr>
          <w:b/>
        </w:rPr>
        <w:t>MACD Calculation</w:t>
      </w:r>
      <w:r>
        <w:t>:</w:t>
      </w:r>
    </w:p>
    <w:p w:rsidR="00796CD3" w:rsidRPr="00796CD3" w:rsidRDefault="00796CD3" w:rsidP="00796CD3">
      <w:pPr>
        <w:pStyle w:val="NoSpacing"/>
        <w:numPr>
          <w:ilvl w:val="0"/>
          <w:numId w:val="16"/>
        </w:numPr>
      </w:pPr>
      <w:r w:rsidRPr="00796CD3">
        <w:t>MACD Line: (12-day E</w:t>
      </w:r>
      <w:r>
        <w:t xml:space="preserve">xponential </w:t>
      </w:r>
      <w:r w:rsidRPr="00796CD3">
        <w:t>M</w:t>
      </w:r>
      <w:r>
        <w:t xml:space="preserve">oving </w:t>
      </w:r>
      <w:r w:rsidRPr="00796CD3">
        <w:t>A</w:t>
      </w:r>
      <w:r>
        <w:t>verage (EMA)</w:t>
      </w:r>
      <w:r w:rsidRPr="00796CD3">
        <w:t xml:space="preserve"> - 26-day EMA)</w:t>
      </w:r>
    </w:p>
    <w:p w:rsidR="00796CD3" w:rsidRDefault="00796CD3" w:rsidP="00796CD3">
      <w:pPr>
        <w:pStyle w:val="NoSpacing"/>
        <w:numPr>
          <w:ilvl w:val="0"/>
          <w:numId w:val="16"/>
        </w:numPr>
      </w:pPr>
      <w:r w:rsidRPr="00796CD3">
        <w:t>Sign</w:t>
      </w:r>
      <w:r>
        <w:t>al Line: 9-day EMA of MACD Line</w:t>
      </w:r>
    </w:p>
    <w:p w:rsidR="00796CD3" w:rsidRDefault="00796CD3" w:rsidP="00796CD3">
      <w:pPr>
        <w:pStyle w:val="NoSpacing"/>
        <w:numPr>
          <w:ilvl w:val="0"/>
          <w:numId w:val="16"/>
        </w:numPr>
      </w:pPr>
      <w:r w:rsidRPr="00796CD3">
        <w:t>MACD Histogram: MACD Line - Signal Line</w:t>
      </w:r>
    </w:p>
    <w:p w:rsidR="00796CD3" w:rsidRPr="00CB6897" w:rsidRDefault="00796CD3" w:rsidP="00CB6897">
      <w:pPr>
        <w:shd w:val="clear" w:color="auto" w:fill="FFFFFF"/>
        <w:spacing w:after="225" w:line="435" w:lineRule="atLeast"/>
        <w:ind w:right="150" w:firstLine="0"/>
        <w:rPr>
          <w:kern w:val="0"/>
        </w:rPr>
      </w:pPr>
      <w:r w:rsidRPr="00CB6897">
        <w:rPr>
          <w:kern w:val="0"/>
        </w:rPr>
        <w:t>The MACD Line is the 12-day </w:t>
      </w:r>
      <w:hyperlink r:id="rId11" w:tooltip="http://stockcharts.com/school/doku.php?id=chart_school:technical_indicators:moving_averages" w:history="1">
        <w:r w:rsidRPr="00CB6897">
          <w:rPr>
            <w:kern w:val="0"/>
          </w:rPr>
          <w:t>Exponential Moving Average</w:t>
        </w:r>
      </w:hyperlink>
      <w:r w:rsidRPr="00CB6897">
        <w:rPr>
          <w:kern w:val="0"/>
        </w:rPr>
        <w:t> (EMA) less the 26-day EMA. Closing prices are used for these moving averages. A 9-day EMA of the MACD Line is plotted with the indicator to act as a signal line and identify turns. The MACD Histogram represents the difference between MACD and its 9-day EMA, the Signal line. The histogram is positive when the MACD Line is above its Signal line and negative when the MACD Line is below its Signal line.</w:t>
      </w:r>
    </w:p>
    <w:p w:rsidR="00796CD3" w:rsidRPr="00CB6897" w:rsidRDefault="00796CD3" w:rsidP="00CB6897">
      <w:pPr>
        <w:shd w:val="clear" w:color="auto" w:fill="FFFFFF"/>
        <w:spacing w:after="225" w:line="435" w:lineRule="atLeast"/>
        <w:ind w:right="150" w:firstLine="0"/>
        <w:rPr>
          <w:kern w:val="0"/>
        </w:rPr>
      </w:pPr>
      <w:r w:rsidRPr="00CB6897">
        <w:rPr>
          <w:kern w:val="0"/>
        </w:rPr>
        <w:t>The values of 12, 26 and 9 are the typical setting used with the MACD, however other values can be substituted depending on your trading style and goals.</w:t>
      </w:r>
    </w:p>
    <w:p w:rsidR="00796CD3" w:rsidRDefault="00796CD3" w:rsidP="00597039">
      <w:pPr>
        <w:pStyle w:val="NoSpacing"/>
        <w:jc w:val="center"/>
      </w:pPr>
      <w:r>
        <w:rPr>
          <w:noProof/>
          <w:lang w:val="en-IN" w:eastAsia="en-IN"/>
        </w:rPr>
        <w:drawing>
          <wp:inline distT="0" distB="0" distL="0" distR="0">
            <wp:extent cx="5762625" cy="3867150"/>
            <wp:effectExtent l="0" t="0" r="9525" b="0"/>
            <wp:docPr id="5" name="Picture 5" descr="http://d.stockcharts.com/school/data/media/chart_school/technical_indicators_and_overlays/moving_average_convergence_divergence_macd/macd-0-qqqq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stockcharts.com/school/data/media/chart_school/technical_indicators_and_overlays/moving_average_convergence_divergence_macd/macd-0-qqqqex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867150"/>
                    </a:xfrm>
                    <a:prstGeom prst="rect">
                      <a:avLst/>
                    </a:prstGeom>
                    <a:noFill/>
                    <a:ln>
                      <a:noFill/>
                    </a:ln>
                  </pic:spPr>
                </pic:pic>
              </a:graphicData>
            </a:graphic>
          </wp:inline>
        </w:drawing>
      </w:r>
    </w:p>
    <w:p w:rsidR="00EE500E" w:rsidRDefault="00EE500E">
      <w:pPr>
        <w:pStyle w:val="NoSpacing"/>
      </w:pPr>
      <w:r>
        <w:lastRenderedPageBreak/>
        <w:t>(MACD algorithms were taken and used from the ones readily available on Python’s TA-Lib.)</w:t>
      </w:r>
    </w:p>
    <w:p w:rsidR="00EE500E" w:rsidRPr="007F3B12" w:rsidRDefault="00EE500E">
      <w:pPr>
        <w:pStyle w:val="NoSpacing"/>
        <w:rPr>
          <w:b/>
        </w:rPr>
      </w:pPr>
      <w:r w:rsidRPr="007F3B12">
        <w:rPr>
          <w:b/>
        </w:rPr>
        <w:t>RSI Calculation:</w:t>
      </w:r>
    </w:p>
    <w:p w:rsidR="00A7195C" w:rsidRDefault="00A7195C">
      <w:pPr>
        <w:pStyle w:val="NoSpacing"/>
      </w:pPr>
    </w:p>
    <w:p w:rsidR="00A7195C" w:rsidRDefault="00A7195C" w:rsidP="00A7195C">
      <w:pPr>
        <w:pStyle w:val="NoSpacing"/>
      </w:pPr>
      <w:r>
        <w:t>To simplify the calculation explanation, RSI has been broken down into its basic components: RS, Average Gain and Average Loss. This RSI calculation is based on 14 periods. Losses are expressed as positive values, not negative values.</w:t>
      </w:r>
    </w:p>
    <w:p w:rsidR="00A7195C" w:rsidRDefault="00A7195C" w:rsidP="00A7195C">
      <w:pPr>
        <w:pStyle w:val="NoSpacing"/>
      </w:pPr>
    </w:p>
    <w:p w:rsidR="00A7195C" w:rsidRDefault="00A7195C" w:rsidP="00A7195C">
      <w:pPr>
        <w:pStyle w:val="NoSpacing"/>
      </w:pPr>
      <w:r>
        <w:t>The very first calculations for average gain and average loss are simple 14 period averages.</w:t>
      </w:r>
    </w:p>
    <w:p w:rsidR="00A7195C" w:rsidRDefault="00A7195C" w:rsidP="00A7195C">
      <w:pPr>
        <w:pStyle w:val="NoSpacing"/>
        <w:ind w:left="720"/>
      </w:pPr>
      <w:r>
        <w:t>First Average Gain = Sum of Gains over the past 14 periods / 14.</w:t>
      </w:r>
    </w:p>
    <w:p w:rsidR="00A7195C" w:rsidRDefault="00A7195C" w:rsidP="00A7195C">
      <w:pPr>
        <w:pStyle w:val="NoSpacing"/>
        <w:ind w:left="720"/>
      </w:pPr>
      <w:r>
        <w:t>First Average Loss = Sum of Losses over the past 14 periods / 14</w:t>
      </w:r>
    </w:p>
    <w:p w:rsidR="00A7195C" w:rsidRDefault="00A7195C" w:rsidP="00A7195C">
      <w:pPr>
        <w:pStyle w:val="NoSpacing"/>
      </w:pPr>
      <w:r>
        <w:t>The second, and subsequent, calculations are based on the prior averages and the current gain loss:</w:t>
      </w:r>
    </w:p>
    <w:p w:rsidR="00A7195C" w:rsidRDefault="00A7195C" w:rsidP="00A7195C">
      <w:pPr>
        <w:pStyle w:val="NoSpacing"/>
        <w:ind w:left="720"/>
      </w:pPr>
      <w:r>
        <w:t>Average Gain = [(previous Average Gain) x 13 + current Gain] / 14.</w:t>
      </w:r>
    </w:p>
    <w:p w:rsidR="00A7195C" w:rsidRDefault="00A7195C" w:rsidP="00A7195C">
      <w:pPr>
        <w:pStyle w:val="NoSpacing"/>
        <w:ind w:left="720"/>
      </w:pPr>
      <w:r>
        <w:t>Average Loss = [(previous Average Loss) x 13 + current Loss] / 14.</w:t>
      </w:r>
    </w:p>
    <w:p w:rsidR="00EE500E" w:rsidRDefault="00A7195C" w:rsidP="00A7195C">
      <w:pPr>
        <w:pStyle w:val="NoSpacing"/>
        <w:jc w:val="center"/>
      </w:pPr>
      <w:r>
        <w:rPr>
          <w:noProof/>
          <w:lang w:val="en-IN" w:eastAsia="en-IN"/>
        </w:rPr>
        <w:drawing>
          <wp:inline distT="0" distB="0" distL="0" distR="0">
            <wp:extent cx="4852169" cy="3295650"/>
            <wp:effectExtent l="0" t="0" r="5715" b="0"/>
            <wp:docPr id="6" name="Picture 6" descr="Chart 3 - RSI Overbought Overs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3 - RSI Overbought Overso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130" cy="3346564"/>
                    </a:xfrm>
                    <a:prstGeom prst="rect">
                      <a:avLst/>
                    </a:prstGeom>
                    <a:noFill/>
                    <a:ln>
                      <a:noFill/>
                    </a:ln>
                  </pic:spPr>
                </pic:pic>
              </a:graphicData>
            </a:graphic>
          </wp:inline>
        </w:drawing>
      </w:r>
    </w:p>
    <w:p w:rsidR="007F3B12" w:rsidRDefault="007F3B12" w:rsidP="007F3B12">
      <w:pPr>
        <w:pStyle w:val="NoSpacing"/>
      </w:pPr>
      <w:r>
        <w:t>(RSI algorithms were taken and used from the ones readily available on Python’s TA-Lib.)</w:t>
      </w:r>
    </w:p>
    <w:p w:rsidR="00EA5EC2" w:rsidRDefault="00EA5EC2">
      <w:pPr>
        <w:pStyle w:val="NoSpacing"/>
        <w:rPr>
          <w:b/>
        </w:rPr>
      </w:pPr>
    </w:p>
    <w:p w:rsidR="002E7E77" w:rsidRPr="00C0499E" w:rsidRDefault="00C0499E">
      <w:pPr>
        <w:pStyle w:val="NoSpacing"/>
        <w:rPr>
          <w:b/>
        </w:rPr>
      </w:pPr>
      <w:r w:rsidRPr="00C0499E">
        <w:rPr>
          <w:b/>
        </w:rPr>
        <w:t xml:space="preserve">Statistical </w:t>
      </w:r>
      <w:r>
        <w:rPr>
          <w:b/>
        </w:rPr>
        <w:t>Sampling and Calculation of Returns</w:t>
      </w:r>
    </w:p>
    <w:p w:rsidR="004D381A" w:rsidRDefault="00C0499E">
      <w:pPr>
        <w:pStyle w:val="NoSpacing"/>
      </w:pPr>
      <w:r>
        <w:t>Monte Carlo and Bootstrap methods have been used to create simulations from the in comparison, smaller amounts of predictions recorded for each implementation of the trading signal.</w:t>
      </w:r>
    </w:p>
    <w:p w:rsidR="004D381A" w:rsidRPr="004D381A" w:rsidRDefault="004D381A" w:rsidP="004D381A">
      <w:pPr>
        <w:pStyle w:val="NoSpacing"/>
      </w:pPr>
      <w:r>
        <w:t>Sampling Algorithm:</w:t>
      </w:r>
    </w:p>
    <w:p w:rsidR="00C0499E" w:rsidRPr="004D381A" w:rsidRDefault="004D381A" w:rsidP="00C0499E">
      <w:pPr>
        <w:pStyle w:val="NoSpacing"/>
        <w:spacing w:line="240" w:lineRule="auto"/>
        <w:rPr>
          <w:rFonts w:ascii="Arial" w:hAnsi="Arial" w:cs="Arial"/>
          <w:color w:val="808080" w:themeColor="background1" w:themeShade="80"/>
        </w:rPr>
      </w:pPr>
      <w:r w:rsidRPr="004D381A">
        <w:rPr>
          <w:rFonts w:ascii="Arial" w:hAnsi="Arial" w:cs="Arial"/>
          <w:color w:val="808080" w:themeColor="background1" w:themeShade="80"/>
        </w:rPr>
        <w:t>#</w:t>
      </w:r>
      <w:r w:rsidR="00C0499E" w:rsidRPr="004D381A">
        <w:rPr>
          <w:rFonts w:ascii="Arial" w:hAnsi="Arial" w:cs="Arial"/>
          <w:color w:val="808080" w:themeColor="background1" w:themeShade="80"/>
        </w:rPr>
        <w:t xml:space="preserve">bootstrap: test the </w:t>
      </w:r>
      <w:r w:rsidRPr="004D381A">
        <w:rPr>
          <w:rFonts w:ascii="Arial" w:hAnsi="Arial" w:cs="Arial"/>
          <w:color w:val="808080" w:themeColor="background1" w:themeShade="80"/>
        </w:rPr>
        <w:t>confidence interval</w:t>
      </w:r>
      <w:r w:rsidR="00C0499E" w:rsidRPr="004D381A">
        <w:rPr>
          <w:rFonts w:ascii="Arial" w:hAnsi="Arial" w:cs="Arial"/>
          <w:color w:val="808080" w:themeColor="background1" w:themeShade="80"/>
        </w:rPr>
        <w:t xml:space="preserve"> of the population (with replacement)</w:t>
      </w:r>
    </w:p>
    <w:p w:rsidR="004D381A" w:rsidRDefault="004D381A" w:rsidP="00C0499E">
      <w:pPr>
        <w:pStyle w:val="NoSpacing"/>
        <w:spacing w:line="240" w:lineRule="auto"/>
        <w:rPr>
          <w:rFonts w:ascii="Arial" w:hAnsi="Arial" w:cs="Arial"/>
        </w:rPr>
      </w:pPr>
    </w:p>
    <w:p w:rsidR="00C0499E" w:rsidRPr="004D381A" w:rsidRDefault="00C0499E" w:rsidP="00C0499E">
      <w:pPr>
        <w:pStyle w:val="NoSpacing"/>
        <w:spacing w:line="240" w:lineRule="auto"/>
        <w:rPr>
          <w:rFonts w:ascii="Arial" w:hAnsi="Arial" w:cs="Arial"/>
          <w:color w:val="808080" w:themeColor="background1" w:themeShade="80"/>
        </w:rPr>
      </w:pPr>
      <w:r w:rsidRPr="004D381A">
        <w:rPr>
          <w:rFonts w:ascii="Arial" w:hAnsi="Arial" w:cs="Arial"/>
          <w:b/>
          <w:color w:val="92D050"/>
        </w:rPr>
        <w:t>def</w:t>
      </w:r>
      <w:r w:rsidRPr="004D381A">
        <w:rPr>
          <w:rFonts w:ascii="Arial" w:hAnsi="Arial" w:cs="Arial"/>
          <w:color w:val="92D050"/>
        </w:rPr>
        <w:t xml:space="preserve"> </w:t>
      </w:r>
      <w:r w:rsidRPr="004D381A">
        <w:rPr>
          <w:rFonts w:ascii="Arial" w:hAnsi="Arial" w:cs="Arial"/>
          <w:color w:val="0070C0"/>
        </w:rPr>
        <w:t>bootstrap</w:t>
      </w:r>
      <w:r w:rsidRPr="00C0499E">
        <w:rPr>
          <w:rFonts w:ascii="Arial" w:hAnsi="Arial" w:cs="Arial"/>
        </w:rPr>
        <w:t xml:space="preserve">(data, num_samples, statistic, alpha): </w:t>
      </w:r>
      <w:r w:rsidR="004D381A">
        <w:rPr>
          <w:rFonts w:ascii="Arial" w:hAnsi="Arial" w:cs="Arial"/>
          <w:color w:val="808080" w:themeColor="background1" w:themeShade="80"/>
        </w:rPr>
        <w:t># use</w:t>
      </w:r>
      <w:r w:rsidRPr="004D381A">
        <w:rPr>
          <w:rFonts w:ascii="Arial" w:hAnsi="Arial" w:cs="Arial"/>
          <w:color w:val="808080" w:themeColor="background1" w:themeShade="80"/>
        </w:rPr>
        <w:t>: bootstrap(data[</w:t>
      </w:r>
      <w:r w:rsidR="004D381A">
        <w:rPr>
          <w:rFonts w:ascii="Arial" w:hAnsi="Arial" w:cs="Arial"/>
          <w:color w:val="808080" w:themeColor="background1" w:themeShade="80"/>
        </w:rPr>
        <w:t>column</w:t>
      </w:r>
      <w:r w:rsidRPr="004D381A">
        <w:rPr>
          <w:rFonts w:ascii="Arial" w:hAnsi="Arial" w:cs="Arial"/>
          <w:color w:val="808080" w:themeColor="background1" w:themeShade="80"/>
        </w:rPr>
        <w:t>].values, 1000, np.mean, 0.05)</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"""Returns bootstrap estimate of 100.0*(1-alpha) CI for statistic."""</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n = len(data)</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w:t>
      </w:r>
      <w:r w:rsidRPr="004D381A">
        <w:rPr>
          <w:rFonts w:ascii="Arial" w:hAnsi="Arial" w:cs="Arial"/>
          <w:b/>
          <w:color w:val="92D050"/>
        </w:rPr>
        <w:t>if</w:t>
      </w:r>
      <w:r w:rsidRPr="00C0499E">
        <w:rPr>
          <w:rFonts w:ascii="Arial" w:hAnsi="Arial" w:cs="Arial"/>
        </w:rPr>
        <w:t xml:space="preserve"> (n &gt; 0):</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idx = np.random.randint(0, n, (num_samples, n))</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samples = data[idx]</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stat = np.sort(statistic(samples, 1))</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return (stat[int((alpha/2.0)*num_samples)],</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stat[int((1-alpha/2.0)*num_samples)])</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w:t>
      </w:r>
      <w:r w:rsidRPr="004D381A">
        <w:rPr>
          <w:rFonts w:ascii="Arial" w:hAnsi="Arial" w:cs="Arial"/>
          <w:b/>
          <w:color w:val="92D050"/>
        </w:rPr>
        <w:t>else</w:t>
      </w:r>
      <w:r w:rsidRPr="00C0499E">
        <w:rPr>
          <w:rFonts w:ascii="Arial" w:hAnsi="Arial" w:cs="Arial"/>
        </w:rPr>
        <w:t>:</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w:t>
      </w:r>
      <w:r w:rsidRPr="004D381A">
        <w:rPr>
          <w:rFonts w:ascii="Arial" w:hAnsi="Arial" w:cs="Arial"/>
          <w:b/>
          <w:color w:val="92D050"/>
        </w:rPr>
        <w:t>return</w:t>
      </w:r>
      <w:r w:rsidRPr="00C0499E">
        <w:rPr>
          <w:rFonts w:ascii="Arial" w:hAnsi="Arial" w:cs="Arial"/>
        </w:rPr>
        <w:t>(np.NaN, np.NaN)</w:t>
      </w:r>
    </w:p>
    <w:p w:rsidR="00C0499E" w:rsidRPr="00C0499E" w:rsidRDefault="00C0499E" w:rsidP="00C0499E">
      <w:pPr>
        <w:pStyle w:val="NoSpacing"/>
        <w:spacing w:line="240" w:lineRule="auto"/>
        <w:rPr>
          <w:rFonts w:ascii="Arial" w:hAnsi="Arial" w:cs="Arial"/>
        </w:rPr>
      </w:pPr>
    </w:p>
    <w:p w:rsidR="00C0499E" w:rsidRPr="004D381A" w:rsidRDefault="004D381A" w:rsidP="00C0499E">
      <w:pPr>
        <w:pStyle w:val="NoSpacing"/>
        <w:spacing w:line="240" w:lineRule="auto"/>
        <w:rPr>
          <w:rFonts w:ascii="Arial" w:hAnsi="Arial" w:cs="Arial"/>
          <w:color w:val="808080" w:themeColor="background1" w:themeShade="80"/>
        </w:rPr>
      </w:pPr>
      <w:r w:rsidRPr="004D381A">
        <w:rPr>
          <w:rFonts w:ascii="Arial" w:hAnsi="Arial" w:cs="Arial"/>
          <w:color w:val="808080" w:themeColor="background1" w:themeShade="80"/>
        </w:rPr>
        <w:t>#</w:t>
      </w:r>
      <w:r w:rsidR="00C0499E" w:rsidRPr="004D381A">
        <w:rPr>
          <w:rFonts w:ascii="Arial" w:hAnsi="Arial" w:cs="Arial"/>
          <w:color w:val="808080" w:themeColor="background1" w:themeShade="80"/>
        </w:rPr>
        <w:t>monte_carlo: test the bounds of a selected population (selection without replacement)</w:t>
      </w:r>
    </w:p>
    <w:p w:rsidR="004D381A" w:rsidRDefault="004D381A" w:rsidP="00C0499E">
      <w:pPr>
        <w:pStyle w:val="NoSpacing"/>
        <w:spacing w:line="240" w:lineRule="auto"/>
        <w:rPr>
          <w:rFonts w:ascii="Arial" w:hAnsi="Arial" w:cs="Arial"/>
        </w:rPr>
      </w:pPr>
    </w:p>
    <w:p w:rsidR="00C0499E" w:rsidRPr="00C0499E" w:rsidRDefault="00C0499E" w:rsidP="00C0499E">
      <w:pPr>
        <w:pStyle w:val="NoSpacing"/>
        <w:spacing w:line="240" w:lineRule="auto"/>
        <w:rPr>
          <w:rFonts w:ascii="Arial" w:hAnsi="Arial" w:cs="Arial"/>
        </w:rPr>
      </w:pPr>
      <w:r w:rsidRPr="004D381A">
        <w:rPr>
          <w:rFonts w:ascii="Arial" w:hAnsi="Arial" w:cs="Arial"/>
          <w:b/>
          <w:color w:val="92D050"/>
        </w:rPr>
        <w:t>def</w:t>
      </w:r>
      <w:r w:rsidRPr="00C0499E">
        <w:rPr>
          <w:rFonts w:ascii="Arial" w:hAnsi="Arial" w:cs="Arial"/>
        </w:rPr>
        <w:t xml:space="preserve"> </w:t>
      </w:r>
      <w:r w:rsidRPr="00E920E3">
        <w:rPr>
          <w:rFonts w:ascii="Arial" w:hAnsi="Arial" w:cs="Arial"/>
          <w:color w:val="0070C0"/>
        </w:rPr>
        <w:t>monte_carlo</w:t>
      </w:r>
      <w:r w:rsidRPr="00C0499E">
        <w:rPr>
          <w:rFonts w:ascii="Arial" w:hAnsi="Arial" w:cs="Arial"/>
        </w:rPr>
        <w:t>(data, n,</w:t>
      </w:r>
      <w:r>
        <w:rPr>
          <w:rFonts w:ascii="Arial" w:hAnsi="Arial" w:cs="Arial"/>
        </w:rPr>
        <w:t xml:space="preserve"> </w:t>
      </w:r>
      <w:r w:rsidRPr="00C0499E">
        <w:rPr>
          <w:rFonts w:ascii="Arial" w:hAnsi="Arial" w:cs="Arial"/>
        </w:rPr>
        <w:t>num_samples, statistic, alpha):</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w:t>
      </w:r>
      <w:r w:rsidR="004D381A" w:rsidRPr="004D381A">
        <w:rPr>
          <w:rFonts w:ascii="Arial" w:hAnsi="Arial" w:cs="Arial"/>
          <w:color w:val="808080" w:themeColor="background1" w:themeShade="80"/>
        </w:rPr>
        <w:t>#</w:t>
      </w:r>
      <w:r w:rsidRPr="004D381A">
        <w:rPr>
          <w:rFonts w:ascii="Arial" w:hAnsi="Arial" w:cs="Arial"/>
          <w:color w:val="808080" w:themeColor="background1" w:themeShade="80"/>
        </w:rPr>
        <w:t>Returns monte carlo simulation estimate of 100.0*(1-alpha) CI for statistic</w:t>
      </w:r>
      <w:r w:rsidR="004D381A" w:rsidRPr="004D381A">
        <w:rPr>
          <w:rFonts w:ascii="Arial" w:hAnsi="Arial" w:cs="Arial"/>
          <w:color w:val="808080" w:themeColor="background1" w:themeShade="80"/>
        </w:rPr>
        <w:t>.</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w:t>
      </w:r>
      <w:r w:rsidRPr="004D381A">
        <w:rPr>
          <w:rFonts w:ascii="Arial" w:hAnsi="Arial" w:cs="Arial"/>
          <w:b/>
          <w:color w:val="92D050"/>
        </w:rPr>
        <w:t>if</w:t>
      </w:r>
      <w:r w:rsidRPr="00C0499E">
        <w:rPr>
          <w:rFonts w:ascii="Arial" w:hAnsi="Arial" w:cs="Arial"/>
        </w:rPr>
        <w:t xml:space="preserve"> (len(data)):</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stat = np.sort(np.array([np.mean(np.random.choice(data,</w:t>
      </w:r>
      <w:r>
        <w:rPr>
          <w:rFonts w:ascii="Arial" w:hAnsi="Arial" w:cs="Arial"/>
        </w:rPr>
        <w:t xml:space="preserve"> </w:t>
      </w:r>
      <w:r w:rsidRPr="00C0499E">
        <w:rPr>
          <w:rFonts w:ascii="Arial" w:hAnsi="Arial" w:cs="Arial"/>
        </w:rPr>
        <w:t>size = n,</w:t>
      </w:r>
      <w:r>
        <w:rPr>
          <w:rFonts w:ascii="Arial" w:hAnsi="Arial" w:cs="Arial"/>
        </w:rPr>
        <w:t xml:space="preserve"> </w:t>
      </w:r>
      <w:r w:rsidRPr="00C0499E">
        <w:rPr>
          <w:rFonts w:ascii="Arial" w:hAnsi="Arial" w:cs="Arial"/>
        </w:rPr>
        <w:t xml:space="preserve">replace=False)) </w:t>
      </w:r>
      <w:r w:rsidRPr="004D381A">
        <w:rPr>
          <w:rFonts w:ascii="Arial" w:hAnsi="Arial" w:cs="Arial"/>
          <w:b/>
          <w:color w:val="92D050"/>
        </w:rPr>
        <w:t>for</w:t>
      </w:r>
      <w:r w:rsidRPr="00C0499E">
        <w:rPr>
          <w:rFonts w:ascii="Arial" w:hAnsi="Arial" w:cs="Arial"/>
        </w:rPr>
        <w:t xml:space="preserve"> i in range (0, num_samples)]))</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return (stat[int((alpha/2.0)*num_samples)],</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stat[int((1-alpha/2.0)*num_samples)])</w:t>
      </w:r>
    </w:p>
    <w:p w:rsidR="00C0499E" w:rsidRPr="00C0499E" w:rsidRDefault="00C0499E" w:rsidP="00C0499E">
      <w:pPr>
        <w:pStyle w:val="NoSpacing"/>
        <w:spacing w:line="240" w:lineRule="auto"/>
        <w:rPr>
          <w:rFonts w:ascii="Arial" w:hAnsi="Arial" w:cs="Arial"/>
        </w:rPr>
      </w:pPr>
      <w:r w:rsidRPr="00C0499E">
        <w:rPr>
          <w:rFonts w:ascii="Arial" w:hAnsi="Arial" w:cs="Arial"/>
        </w:rPr>
        <w:t xml:space="preserve">    </w:t>
      </w:r>
      <w:r w:rsidRPr="004D381A">
        <w:rPr>
          <w:rFonts w:ascii="Arial" w:hAnsi="Arial" w:cs="Arial"/>
          <w:b/>
          <w:color w:val="92D050"/>
        </w:rPr>
        <w:t>else</w:t>
      </w:r>
      <w:r w:rsidRPr="00C0499E">
        <w:rPr>
          <w:rFonts w:ascii="Arial" w:hAnsi="Arial" w:cs="Arial"/>
        </w:rPr>
        <w:t>:</w:t>
      </w:r>
    </w:p>
    <w:p w:rsidR="002E7E77" w:rsidRDefault="00C0499E" w:rsidP="00C0499E">
      <w:pPr>
        <w:pStyle w:val="NoSpacing"/>
        <w:spacing w:line="240" w:lineRule="auto"/>
        <w:rPr>
          <w:rFonts w:ascii="Arial" w:hAnsi="Arial" w:cs="Arial"/>
        </w:rPr>
      </w:pPr>
      <w:r w:rsidRPr="00C0499E">
        <w:rPr>
          <w:rFonts w:ascii="Arial" w:hAnsi="Arial" w:cs="Arial"/>
        </w:rPr>
        <w:t xml:space="preserve">        </w:t>
      </w:r>
      <w:r w:rsidRPr="004D381A">
        <w:rPr>
          <w:rFonts w:ascii="Arial" w:hAnsi="Arial" w:cs="Arial"/>
          <w:b/>
          <w:color w:val="92D050"/>
        </w:rPr>
        <w:t>return</w:t>
      </w:r>
      <w:r w:rsidRPr="00C0499E">
        <w:rPr>
          <w:rFonts w:ascii="Arial" w:hAnsi="Arial" w:cs="Arial"/>
        </w:rPr>
        <w:t>(np.NaN, np.NaN)</w:t>
      </w:r>
    </w:p>
    <w:p w:rsidR="00C0499E" w:rsidRDefault="00C0499E" w:rsidP="00C0499E">
      <w:pPr>
        <w:pStyle w:val="NoSpacing"/>
        <w:spacing w:line="240" w:lineRule="auto"/>
        <w:rPr>
          <w:rFonts w:ascii="Arial" w:hAnsi="Arial" w:cs="Arial"/>
        </w:rPr>
      </w:pPr>
    </w:p>
    <w:p w:rsidR="00C0499E" w:rsidRDefault="00C0499E" w:rsidP="00C0499E">
      <w:pPr>
        <w:pStyle w:val="NoSpacing"/>
        <w:spacing w:line="240" w:lineRule="auto"/>
        <w:rPr>
          <w:rFonts w:ascii="Arial" w:hAnsi="Arial" w:cs="Arial"/>
        </w:rPr>
      </w:pPr>
    </w:p>
    <w:p w:rsidR="00C0499E" w:rsidRPr="004D381A" w:rsidRDefault="004D381A" w:rsidP="003D712F">
      <w:pPr>
        <w:pStyle w:val="NoSpacing"/>
      </w:pPr>
      <w:r>
        <w:t xml:space="preserve">Since both Monte Carlo and Bootstrap need to be applied to the same set of data, they have been rolled into one convenient function </w:t>
      </w:r>
      <w:r w:rsidRPr="00E920E3">
        <w:rPr>
          <w:rFonts w:ascii="Arial" w:hAnsi="Arial" w:cs="Arial"/>
          <w:color w:val="0070C0"/>
        </w:rPr>
        <w:t>get_stats()</w:t>
      </w:r>
      <w:r w:rsidRPr="003D712F">
        <w:rPr>
          <w:color w:val="0070C0"/>
        </w:rPr>
        <w:t xml:space="preserve"> </w:t>
      </w:r>
      <w:r>
        <w:t>which returns the confidence interval for both statistics, as well as generates Hit-Rate, Lift and Excess Returns.</w:t>
      </w:r>
    </w:p>
    <w:p w:rsidR="00C0499E" w:rsidRDefault="00C0499E" w:rsidP="00C0499E">
      <w:pPr>
        <w:pStyle w:val="NoSpacing"/>
        <w:spacing w:line="240" w:lineRule="auto"/>
        <w:rPr>
          <w:rFonts w:ascii="Arial" w:hAnsi="Arial" w:cs="Arial"/>
        </w:rPr>
      </w:pPr>
    </w:p>
    <w:p w:rsidR="00EA5EC2" w:rsidRDefault="00EA5EC2" w:rsidP="00C0499E">
      <w:pPr>
        <w:pStyle w:val="NoSpacing"/>
        <w:spacing w:line="240" w:lineRule="auto"/>
        <w:rPr>
          <w:rFonts w:ascii="Arial" w:hAnsi="Arial" w:cs="Arial"/>
        </w:rPr>
      </w:pPr>
    </w:p>
    <w:p w:rsidR="00EA5EC2" w:rsidRDefault="00EA5EC2" w:rsidP="00C0499E">
      <w:pPr>
        <w:pStyle w:val="NoSpacing"/>
        <w:spacing w:line="240" w:lineRule="auto"/>
        <w:rPr>
          <w:rFonts w:ascii="Arial" w:hAnsi="Arial" w:cs="Arial"/>
        </w:rPr>
      </w:pPr>
    </w:p>
    <w:p w:rsidR="00EA5EC2" w:rsidRDefault="00EA5EC2" w:rsidP="00EA5EC2">
      <w:pPr>
        <w:pStyle w:val="NoSpacing"/>
        <w:rPr>
          <w:b/>
        </w:rPr>
      </w:pPr>
      <w:r w:rsidRPr="00EA5EC2">
        <w:rPr>
          <w:b/>
        </w:rPr>
        <w:t>Portfolio Optimization</w:t>
      </w:r>
    </w:p>
    <w:p w:rsidR="00EA5EC2" w:rsidRPr="004E2056" w:rsidRDefault="00EA5EC2" w:rsidP="00EA5EC2">
      <w:pPr>
        <w:jc w:val="both"/>
        <w:rPr>
          <w:rFonts w:ascii="Times New Roman" w:hAnsi="Times New Roman" w:cs="Times New Roman"/>
        </w:rPr>
      </w:pPr>
      <w:r w:rsidRPr="004E2056">
        <w:rPr>
          <w:rFonts w:ascii="Times New Roman" w:hAnsi="Times New Roman" w:cs="Times New Roman"/>
        </w:rPr>
        <w:t>The portfolio optimization considered in this project is a convex quadratic optimization problem based on the following constraints:</w:t>
      </w:r>
    </w:p>
    <w:p w:rsidR="00EA5EC2" w:rsidRPr="004E2056" w:rsidRDefault="0037133F" w:rsidP="00EA5EC2">
      <w:pPr>
        <w:pStyle w:val="ListParagraph"/>
        <w:numPr>
          <w:ilvl w:val="0"/>
          <w:numId w:val="17"/>
        </w:numPr>
        <w:spacing w:after="160" w:line="259" w:lineRule="auto"/>
        <w:jc w:val="both"/>
        <w:rPr>
          <w:rFonts w:ascii="Times New Roman" w:hAnsi="Times New Roman" w:cs="Times New Roman"/>
        </w:rPr>
      </w:pPr>
      <w:r>
        <w:rPr>
          <w:rFonts w:ascii="Times New Roman" w:hAnsi="Times New Roman" w:cs="Times New Roman"/>
        </w:rPr>
        <w:t>Strategies are L</w:t>
      </w:r>
      <w:r w:rsidR="00EA5EC2" w:rsidRPr="004E2056">
        <w:rPr>
          <w:rFonts w:ascii="Times New Roman" w:hAnsi="Times New Roman" w:cs="Times New Roman"/>
        </w:rPr>
        <w:t>ong only (All weights are non-negative)</w:t>
      </w:r>
    </w:p>
    <w:p w:rsidR="00EA5EC2" w:rsidRPr="004E2056" w:rsidRDefault="0037133F" w:rsidP="00EA5EC2">
      <w:pPr>
        <w:pStyle w:val="ListParagraph"/>
        <w:numPr>
          <w:ilvl w:val="0"/>
          <w:numId w:val="17"/>
        </w:numPr>
        <w:spacing w:after="160" w:line="259" w:lineRule="auto"/>
        <w:jc w:val="both"/>
        <w:rPr>
          <w:rFonts w:ascii="Times New Roman" w:hAnsi="Times New Roman" w:cs="Times New Roman"/>
        </w:rPr>
      </w:pPr>
      <w:r>
        <w:rPr>
          <w:rFonts w:ascii="Times New Roman" w:hAnsi="Times New Roman" w:cs="Times New Roman"/>
        </w:rPr>
        <w:t xml:space="preserve">Portfolio is consigned to be </w:t>
      </w:r>
      <w:r w:rsidR="00EA5EC2" w:rsidRPr="004E2056">
        <w:rPr>
          <w:rFonts w:ascii="Times New Roman" w:hAnsi="Times New Roman" w:cs="Times New Roman"/>
        </w:rPr>
        <w:t xml:space="preserve">Beta neutral </w:t>
      </w:r>
    </w:p>
    <w:p w:rsidR="00EA5EC2" w:rsidRPr="004E2056" w:rsidRDefault="00EA5EC2" w:rsidP="00EA5EC2">
      <w:pPr>
        <w:pStyle w:val="ListParagraph"/>
        <w:numPr>
          <w:ilvl w:val="0"/>
          <w:numId w:val="17"/>
        </w:numPr>
        <w:spacing w:after="160" w:line="259" w:lineRule="auto"/>
        <w:jc w:val="both"/>
        <w:rPr>
          <w:rFonts w:ascii="Times New Roman" w:hAnsi="Times New Roman" w:cs="Times New Roman"/>
        </w:rPr>
      </w:pPr>
      <w:r w:rsidRPr="004E2056">
        <w:rPr>
          <w:rFonts w:ascii="Times New Roman" w:hAnsi="Times New Roman" w:cs="Times New Roman"/>
        </w:rPr>
        <w:t>Full investment</w:t>
      </w:r>
      <w:r w:rsidR="0037133F">
        <w:rPr>
          <w:rFonts w:ascii="Times New Roman" w:hAnsi="Times New Roman" w:cs="Times New Roman"/>
        </w:rPr>
        <w:t xml:space="preserve"> should have taken place</w:t>
      </w:r>
      <w:r w:rsidRPr="004E2056">
        <w:rPr>
          <w:rFonts w:ascii="Times New Roman" w:hAnsi="Times New Roman" w:cs="Times New Roman"/>
        </w:rPr>
        <w:t xml:space="preserve"> (All the money is invested)</w:t>
      </w:r>
    </w:p>
    <w:p w:rsidR="00EA5EC2" w:rsidRPr="00AA13A1" w:rsidRDefault="00EA5EC2" w:rsidP="00EA5EC2">
      <w:pPr>
        <w:ind w:left="360"/>
        <w:jc w:val="both"/>
        <w:rPr>
          <w:rFonts w:ascii="Times New Roman" w:hAnsi="Times New Roman" w:cs="Times New Roman"/>
        </w:rPr>
      </w:pPr>
    </w:p>
    <w:p w:rsidR="00EA5EC2" w:rsidRPr="004E2056" w:rsidRDefault="00EA5EC2" w:rsidP="00EA5EC2">
      <w:pPr>
        <w:jc w:val="both"/>
        <w:rPr>
          <w:rFonts w:ascii="Times New Roman" w:hAnsi="Times New Roman" w:cs="Times New Roman"/>
        </w:rPr>
      </w:pPr>
      <w:r w:rsidRPr="004E2056">
        <w:rPr>
          <w:rFonts w:ascii="Times New Roman" w:hAnsi="Times New Roman" w:cs="Times New Roman"/>
        </w:rPr>
        <w:t>The objective function for this optimization problem is given by</w:t>
      </w:r>
    </w:p>
    <w:p w:rsidR="00EA5EC2" w:rsidRPr="009D0404" w:rsidRDefault="00EA5EC2" w:rsidP="00EA5EC2">
      <w:pPr>
        <w:ind w:left="2160"/>
        <w:jc w:val="both"/>
        <w:rPr>
          <w:rFonts w:ascii="Times New Roman" w:hAnsi="Times New Roman" w:cs="Times New Roman"/>
        </w:rPr>
      </w:pPr>
      <m:oMathPara>
        <m:oMathParaPr>
          <m:jc m:val="left"/>
        </m:oMathParaPr>
        <m:oMath>
          <m:r>
            <w:rPr>
              <w:rFonts w:ascii="Cambria Math" w:hAnsi="Cambria Math" w:cs="Times New Roman"/>
            </w:rPr>
            <m:t>Objective function=</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A</m:t>
              </m:r>
            </m:sub>
            <m:sup>
              <m:r>
                <w:rPr>
                  <w:rFonts w:ascii="Cambria Math" w:hAnsi="Cambria Math" w:cs="Times New Roman"/>
                </w:rPr>
                <m:t>'</m:t>
              </m:r>
            </m:sup>
          </m:sSubSup>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2</m:t>
              </m:r>
            </m:den>
          </m:f>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A</m:t>
              </m:r>
            </m:sub>
            <m:sup>
              <m:r>
                <w:rPr>
                  <w:rFonts w:ascii="Cambria Math" w:hAnsi="Cambria Math" w:cs="Times New Roman"/>
                </w:rPr>
                <m:t>'</m:t>
              </m:r>
            </m:sup>
          </m:sSubSup>
          <m:r>
            <m:rPr>
              <m:sty m:val="p"/>
            </m:rPr>
            <w:rPr>
              <w:rFonts w:ascii="Cambria Math" w:hAnsi="Cambria Math"/>
            </w:rPr>
            <m:t>Σ</m:t>
          </m:r>
          <m:sSub>
            <m:sSubPr>
              <m:ctrlPr>
                <w:rPr>
                  <w:rFonts w:ascii="Cambria Math" w:hAnsi="Cambria Math"/>
                </w:rPr>
              </m:ctrlPr>
            </m:sSubPr>
            <m:e>
              <m:r>
                <m:rPr>
                  <m:sty m:val="p"/>
                </m:rPr>
                <w:rPr>
                  <w:rFonts w:ascii="Cambria Math"/>
                </w:rPr>
                <m:t>w</m:t>
              </m:r>
            </m:e>
            <m:sub>
              <m:r>
                <m:rPr>
                  <m:sty m:val="p"/>
                </m:rPr>
                <w:rPr>
                  <w:rFonts w:ascii="Cambria Math"/>
                </w:rPr>
                <m:t>A</m:t>
              </m:r>
            </m:sub>
          </m:sSub>
        </m:oMath>
      </m:oMathPara>
    </w:p>
    <w:p w:rsidR="00EA5EC2" w:rsidRPr="009F69B7" w:rsidRDefault="00EA5EC2" w:rsidP="00EA5EC2">
      <w:pPr>
        <w:ind w:left="2880"/>
        <w:jc w:val="both"/>
      </w:pPr>
      <m:oMathPara>
        <m:oMathParaPr>
          <m:jc m:val="left"/>
        </m:oMathParaPr>
        <m:oMath>
          <m:r>
            <w:rPr>
              <w:rFonts w:ascii="Cambria Math" w:hAnsi="Cambria Math" w:cs="Times New Roman"/>
            </w:rPr>
            <m:t>s</m:t>
          </m:r>
          <m:r>
            <w:rPr>
              <w:rFonts w:ascii="Cambria Math" w:hAnsi="Cambria Math" w:cs="Cambria Math"/>
            </w:rPr>
            <m:t>u</m:t>
          </m:r>
          <m:r>
            <w:rPr>
              <w:rFonts w:ascii="Cambria Math" w:hAnsi="Cambria Math" w:cs="Times New Roman"/>
            </w:rPr>
            <m:t xml:space="preserve">bject to </m:t>
          </m:r>
        </m:oMath>
      </m:oMathPara>
    </w:p>
    <w:p w:rsidR="00EA5EC2" w:rsidRDefault="00AC5798" w:rsidP="00EA5EC2">
      <w:pPr>
        <w:ind w:left="216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m:rPr>
            <m:sty m:val="bi"/>
          </m:rPr>
          <w:rPr>
            <w:rFonts w:ascii="Cambria Math" w:hAnsi="Cambria Math" w:cs="Times New Roman"/>
          </w:rPr>
          <m:t>≥</m:t>
        </m:r>
        <m:r>
          <w:rPr>
            <w:rFonts w:ascii="Cambria Math" w:hAnsi="Cambria Math" w:cs="Times New Roman"/>
          </w:rPr>
          <m:t>0</m:t>
        </m:r>
      </m:oMath>
      <w:r w:rsidR="00EA5EC2">
        <w:rPr>
          <w:rFonts w:ascii="Times New Roman" w:hAnsi="Times New Roman" w:cs="Times New Roman"/>
        </w:rPr>
        <w:tab/>
      </w:r>
      <w:r w:rsidR="00EA5EC2">
        <w:rPr>
          <w:rFonts w:ascii="Times New Roman" w:hAnsi="Times New Roman" w:cs="Times New Roman"/>
        </w:rPr>
        <w:tab/>
      </w:r>
      <w:r w:rsidR="00EA5EC2">
        <w:rPr>
          <w:rFonts w:ascii="Times New Roman" w:hAnsi="Times New Roman" w:cs="Times New Roman"/>
        </w:rPr>
        <w:tab/>
        <w:t>Non-negative weights</w:t>
      </w:r>
    </w:p>
    <w:p w:rsidR="00EA5EC2" w:rsidRDefault="00AC5798" w:rsidP="00EA5EC2">
      <w:pPr>
        <w:ind w:left="216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A</m:t>
            </m:r>
          </m:sub>
          <m:sup>
            <m:r>
              <w:rPr>
                <w:rFonts w:ascii="Cambria Math" w:hAnsi="Cambria Math" w:cs="Times New Roman"/>
              </w:rPr>
              <m:t>'</m:t>
            </m:r>
          </m:sup>
        </m:sSubSup>
        <m:r>
          <w:rPr>
            <w:rFonts w:ascii="Cambria Math" w:hAnsi="Cambria Math" w:cs="Times New Roman"/>
          </w:rPr>
          <m:t>β</m:t>
        </m:r>
        <m:r>
          <m:rPr>
            <m:sty m:val="bi"/>
          </m:rPr>
          <w:rPr>
            <w:rFonts w:ascii="Cambria Math" w:hAnsi="Cambria Math" w:cs="Times New Roman"/>
          </w:rPr>
          <m:t>=</m:t>
        </m:r>
        <m:r>
          <w:rPr>
            <w:rFonts w:ascii="Cambria Math" w:hAnsi="Cambria Math" w:cs="Times New Roman"/>
          </w:rPr>
          <m:t>0</m:t>
        </m:r>
      </m:oMath>
      <w:r w:rsidR="00EA5EC2">
        <w:rPr>
          <w:rFonts w:ascii="Times New Roman" w:hAnsi="Times New Roman" w:cs="Times New Roman"/>
        </w:rPr>
        <w:tab/>
      </w:r>
      <w:r w:rsidR="00EA5EC2">
        <w:rPr>
          <w:rFonts w:ascii="Times New Roman" w:hAnsi="Times New Roman" w:cs="Times New Roman"/>
        </w:rPr>
        <w:tab/>
        <w:t>Beta neutrality</w:t>
      </w:r>
    </w:p>
    <w:p w:rsidR="00EA5EC2" w:rsidRPr="009F6375" w:rsidRDefault="00AC5798" w:rsidP="00EA5EC2">
      <w:pPr>
        <w:ind w:left="216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A</m:t>
            </m:r>
          </m:sub>
          <m:sup>
            <m:r>
              <w:rPr>
                <w:rFonts w:ascii="Cambria Math" w:hAnsi="Cambria Math" w:cs="Times New Roman"/>
              </w:rPr>
              <m:t>'</m:t>
            </m:r>
          </m:sup>
        </m:sSubSup>
        <m:r>
          <m:rPr>
            <m:sty m:val="bi"/>
          </m:rPr>
          <w:rPr>
            <w:rFonts w:ascii="Cambria Math" w:hAnsi="Cambria Math" w:cs="Times New Roman"/>
          </w:rPr>
          <m:t>1=</m:t>
        </m:r>
        <m:r>
          <w:rPr>
            <w:rFonts w:ascii="Cambria Math" w:hAnsi="Cambria Math" w:cs="Times New Roman"/>
          </w:rPr>
          <m:t>0</m:t>
        </m:r>
      </m:oMath>
      <w:r w:rsidR="00EA5EC2">
        <w:rPr>
          <w:rFonts w:ascii="Times New Roman" w:hAnsi="Times New Roman" w:cs="Times New Roman"/>
        </w:rPr>
        <w:tab/>
      </w:r>
      <w:r w:rsidR="00EA5EC2">
        <w:rPr>
          <w:rFonts w:ascii="Times New Roman" w:hAnsi="Times New Roman" w:cs="Times New Roman"/>
        </w:rPr>
        <w:tab/>
        <w:t>Full investment</w:t>
      </w:r>
    </w:p>
    <w:p w:rsidR="00EA5EC2" w:rsidRPr="004E2056" w:rsidRDefault="00EA5EC2" w:rsidP="00EA5EC2">
      <w:pPr>
        <w:jc w:val="both"/>
        <w:rPr>
          <w:rFonts w:ascii="Times New Roman" w:hAnsi="Times New Roman" w:cs="Times New Roman"/>
        </w:rPr>
      </w:pPr>
      <w:r w:rsidRPr="004E2056">
        <w:rPr>
          <w:rFonts w:ascii="Times New Roman" w:hAnsi="Times New Roman" w:cs="Times New Roman"/>
        </w:rPr>
        <w:t xml:space="preserve">Here, </w:t>
      </w:r>
      <w:r w:rsidRPr="004E2056">
        <w:rPr>
          <w:rFonts w:ascii="Times New Roman" w:hAnsi="Times New Roman" w:cs="Times New Roman"/>
          <w:i/>
        </w:rPr>
        <w:t xml:space="preserve">lambda </w:t>
      </w:r>
      <m:oMath>
        <m:r>
          <w:rPr>
            <w:rFonts w:ascii="Cambria Math" w:hAnsi="Cambria Math" w:cs="Times New Roman"/>
          </w:rPr>
          <m:t>(λ)</m:t>
        </m:r>
      </m:oMath>
      <w:r w:rsidR="0037133F">
        <w:rPr>
          <w:rFonts w:ascii="Times New Roman" w:hAnsi="Times New Roman" w:cs="Times New Roman"/>
        </w:rPr>
        <w:t xml:space="preserve"> is a risk</w:t>
      </w:r>
      <w:r w:rsidRPr="004E2056">
        <w:rPr>
          <w:rFonts w:ascii="Times New Roman" w:hAnsi="Times New Roman" w:cs="Times New Roman"/>
        </w:rPr>
        <w:t xml:space="preserve"> aversion </w:t>
      </w:r>
      <w:r w:rsidR="0037133F">
        <w:rPr>
          <w:rFonts w:ascii="Times New Roman" w:hAnsi="Times New Roman" w:cs="Times New Roman"/>
        </w:rPr>
        <w:t xml:space="preserve">free </w:t>
      </w:r>
      <w:r w:rsidRPr="004E2056">
        <w:rPr>
          <w:rFonts w:ascii="Times New Roman" w:hAnsi="Times New Roman" w:cs="Times New Roman"/>
        </w:rPr>
        <w:t xml:space="preserve">parameter. As per the problem construction </w:t>
      </w:r>
      <w:r w:rsidRPr="004E2056">
        <w:rPr>
          <w:rFonts w:ascii="Times New Roman" w:hAnsi="Times New Roman" w:cs="Times New Roman"/>
          <w:i/>
        </w:rPr>
        <w:t>lambda</w:t>
      </w:r>
      <w:r w:rsidRPr="004E2056">
        <w:rPr>
          <w:rFonts w:ascii="Times New Roman" w:hAnsi="Times New Roman" w:cs="Times New Roman"/>
        </w:rPr>
        <w:t xml:space="preserve"> is chosen to limit the Tracking Error (TE) </w:t>
      </w:r>
      <w:r w:rsidR="0037133F">
        <w:rPr>
          <w:rFonts w:ascii="Times New Roman" w:hAnsi="Times New Roman" w:cs="Times New Roman"/>
        </w:rPr>
        <w:t>to under</w:t>
      </w:r>
      <w:r w:rsidRPr="004E2056">
        <w:rPr>
          <w:rFonts w:ascii="Times New Roman" w:hAnsi="Times New Roman" w:cs="Times New Roman"/>
        </w:rPr>
        <w:t xml:space="preserve"> 3%.</w:t>
      </w:r>
    </w:p>
    <w:p w:rsidR="00EA5EC2" w:rsidRPr="00790852" w:rsidRDefault="00EA5EC2" w:rsidP="00EA5EC2">
      <w:pPr>
        <w:jc w:val="both"/>
        <w:rPr>
          <w:rFonts w:ascii="Times New Roman" w:hAnsi="Times New Roman" w:cs="Times New Roman"/>
        </w:rPr>
      </w:pPr>
      <m:oMathPara>
        <m:oMath>
          <m:r>
            <w:rPr>
              <w:rFonts w:ascii="Cambria Math" w:hAnsi="Cambria Math" w:cs="Times New Roman"/>
            </w:rPr>
            <m:t xml:space="preserve">Tracking Error≤ </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A</m:t>
                  </m:r>
                </m:sub>
                <m:sup>
                  <m:r>
                    <w:rPr>
                      <w:rFonts w:ascii="Cambria Math" w:hAnsi="Cambria Math" w:cs="Times New Roman"/>
                    </w:rPr>
                    <m:t>'</m:t>
                  </m:r>
                </m:sup>
              </m:sSubSup>
              <m:r>
                <m:rPr>
                  <m:sty m:val="p"/>
                </m:rPr>
                <w:rPr>
                  <w:rFonts w:ascii="Cambria Math" w:hAnsi="Cambria Math"/>
                </w:rPr>
                <m:t>Σ</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e>
          </m:rad>
          <m:r>
            <w:rPr>
              <w:rFonts w:ascii="Cambria Math" w:hAnsi="Cambria Math" w:cs="Times New Roman"/>
            </w:rPr>
            <m:t>≤0.03 (3%)</m:t>
          </m:r>
        </m:oMath>
      </m:oMathPara>
    </w:p>
    <w:p w:rsidR="00EA5EC2" w:rsidRPr="004E2056" w:rsidRDefault="00EA5EC2" w:rsidP="00EA5EC2">
      <w:pPr>
        <w:jc w:val="both"/>
        <w:rPr>
          <w:rFonts w:ascii="Times New Roman" w:hAnsi="Times New Roman" w:cs="Times New Roman"/>
        </w:rPr>
      </w:pPr>
      <w:r w:rsidRPr="004E2056">
        <w:rPr>
          <w:rFonts w:ascii="Times New Roman" w:hAnsi="Times New Roman" w:cs="Times New Roman"/>
          <w:i/>
        </w:rPr>
        <w:t xml:space="preserve">Alpha </w:t>
      </w:r>
      <m:oMath>
        <m:d>
          <m:dPr>
            <m:ctrlPr>
              <w:rPr>
                <w:rFonts w:ascii="Cambria Math" w:hAnsi="Cambria Math" w:cs="Times New Roman"/>
                <w:i/>
              </w:rPr>
            </m:ctrlPr>
          </m:dPr>
          <m:e>
            <m:r>
              <w:rPr>
                <w:rFonts w:ascii="Cambria Math" w:hAnsi="Cambria Math" w:cs="Times New Roman"/>
              </w:rPr>
              <m:t>α</m:t>
            </m:r>
          </m:e>
        </m:d>
      </m:oMath>
      <w:r w:rsidRPr="004E2056">
        <w:rPr>
          <w:rFonts w:ascii="Times New Roman" w:hAnsi="Times New Roman" w:cs="Times New Roman"/>
        </w:rPr>
        <w:t xml:space="preserve"> is the forecast of return value for each </w:t>
      </w:r>
      <w:r w:rsidR="0037133F">
        <w:rPr>
          <w:rFonts w:ascii="Times New Roman" w:hAnsi="Times New Roman" w:cs="Times New Roman"/>
        </w:rPr>
        <w:t>strategy</w:t>
      </w:r>
      <w:r w:rsidRPr="004E2056">
        <w:rPr>
          <w:rFonts w:ascii="Times New Roman" w:hAnsi="Times New Roman" w:cs="Times New Roman"/>
        </w:rPr>
        <w:t>.</w:t>
      </w:r>
    </w:p>
    <w:p w:rsidR="00EA5EC2" w:rsidRPr="004E2056" w:rsidRDefault="00EA5EC2" w:rsidP="00EA5EC2">
      <w:pPr>
        <w:jc w:val="both"/>
        <w:rPr>
          <w:rFonts w:ascii="Times New Roman" w:hAnsi="Times New Roman" w:cs="Times New Roman"/>
        </w:rPr>
      </w:pPr>
      <w:r w:rsidRPr="004E2056">
        <w:rPr>
          <w:rFonts w:ascii="Times New Roman" w:hAnsi="Times New Roman" w:cs="Times New Roman"/>
          <w:i/>
        </w:rPr>
        <w:t xml:space="preserve">Beta </w:t>
      </w:r>
      <m:oMath>
        <m:r>
          <w:rPr>
            <w:rFonts w:ascii="Cambria Math" w:hAnsi="Cambria Math" w:cs="Times New Roman"/>
          </w:rPr>
          <m:t>(β)</m:t>
        </m:r>
      </m:oMath>
      <w:r w:rsidRPr="004E2056">
        <w:rPr>
          <w:rFonts w:ascii="Times New Roman" w:hAnsi="Times New Roman" w:cs="Times New Roman"/>
        </w:rPr>
        <w:t xml:space="preserve"> is the value of regression coefficient.</w:t>
      </w:r>
    </w:p>
    <w:p w:rsidR="00EA5EC2" w:rsidRPr="004E2056" w:rsidRDefault="00EA5EC2" w:rsidP="00EA5EC2">
      <w:pPr>
        <w:jc w:val="both"/>
        <w:rPr>
          <w:rFonts w:ascii="Times New Roman" w:hAnsi="Times New Roman" w:cs="Times New Roman"/>
        </w:rPr>
      </w:pPr>
      <w:r w:rsidRPr="004E2056">
        <w:rPr>
          <w:rFonts w:ascii="Times New Roman" w:hAnsi="Times New Roman" w:cs="Times New Roman"/>
        </w:rPr>
        <w:t xml:space="preserve">Sigma </w:t>
      </w:r>
      <m:oMath>
        <m:r>
          <w:rPr>
            <w:rFonts w:ascii="Cambria Math" w:hAnsi="Cambria Math" w:cs="Times New Roman"/>
          </w:rPr>
          <m:t>(</m:t>
        </m:r>
        <m:r>
          <m:rPr>
            <m:sty m:val="p"/>
          </m:rPr>
          <w:rPr>
            <w:rFonts w:ascii="Cambria Math" w:hAnsi="Cambria Math" w:cs="Times New Roman"/>
          </w:rPr>
          <m:t>Σ</m:t>
        </m:r>
        <m:r>
          <w:rPr>
            <w:rFonts w:ascii="Cambria Math" w:hAnsi="Cambria Math" w:cs="Times New Roman"/>
          </w:rPr>
          <m:t>)</m:t>
        </m:r>
      </m:oMath>
      <w:r w:rsidRPr="004E2056">
        <w:rPr>
          <w:rFonts w:ascii="Times New Roman" w:hAnsi="Times New Roman" w:cs="Times New Roman"/>
        </w:rPr>
        <w:t xml:space="preserve"> is the variance-covariance matrix for </w:t>
      </w:r>
      <w:r w:rsidR="0037133F">
        <w:rPr>
          <w:rFonts w:ascii="Times New Roman" w:hAnsi="Times New Roman" w:cs="Times New Roman"/>
        </w:rPr>
        <w:t>stock</w:t>
      </w:r>
      <w:r w:rsidRPr="004E2056">
        <w:rPr>
          <w:rFonts w:ascii="Times New Roman" w:hAnsi="Times New Roman" w:cs="Times New Roman"/>
        </w:rPr>
        <w:t xml:space="preserve"> returns</w:t>
      </w:r>
    </w:p>
    <w:p w:rsidR="00EA5EC2" w:rsidRPr="004E2056" w:rsidRDefault="00EA5EC2" w:rsidP="00EA5EC2">
      <w:pPr>
        <w:rPr>
          <w:rFonts w:ascii="Times New Roman" w:hAnsi="Times New Roman" w:cs="Times New Roman"/>
        </w:rPr>
      </w:pPr>
      <w:r w:rsidRPr="004E2056">
        <w:rPr>
          <w:rFonts w:ascii="Times New Roman" w:hAnsi="Times New Roman" w:cs="Times New Roman"/>
          <w:i/>
        </w:rPr>
        <w:t xml:space="preserve">Weights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w:rPr>
            <w:rFonts w:ascii="Cambria Math" w:hAnsi="Cambria Math" w:cs="Times New Roman"/>
          </w:rPr>
          <m:t>)</m:t>
        </m:r>
      </m:oMath>
      <w:r w:rsidRPr="004E2056">
        <w:rPr>
          <w:rFonts w:ascii="Times New Roman" w:hAnsi="Times New Roman" w:cs="Times New Roman"/>
        </w:rPr>
        <w:t xml:space="preserve"> are the active weights for each </w:t>
      </w:r>
      <w:r w:rsidR="0037133F">
        <w:rPr>
          <w:rFonts w:ascii="Times New Roman" w:hAnsi="Times New Roman" w:cs="Times New Roman"/>
        </w:rPr>
        <w:t>stock</w:t>
      </w:r>
      <w:r w:rsidRPr="004E2056">
        <w:rPr>
          <w:rFonts w:ascii="Times New Roman" w:hAnsi="Times New Roman" w:cs="Times New Roman"/>
        </w:rPr>
        <w:t xml:space="preserve"> in the portfolio</w:t>
      </w:r>
    </w:p>
    <w:p w:rsidR="00EA5EC2" w:rsidRPr="00EA5EC2" w:rsidRDefault="00EA5EC2" w:rsidP="00EA5EC2">
      <w:pPr>
        <w:pStyle w:val="NoSpacing"/>
        <w:rPr>
          <w:b/>
        </w:rPr>
      </w:pPr>
    </w:p>
    <w:p w:rsidR="00CA2373" w:rsidRDefault="00CA2373" w:rsidP="00DD4BB6">
      <w:pPr>
        <w:pStyle w:val="Heading3"/>
      </w:pPr>
    </w:p>
    <w:p w:rsidR="00DD4BB6" w:rsidRDefault="00DD4BB6" w:rsidP="00DD4BB6">
      <w:pPr>
        <w:pStyle w:val="Heading3"/>
      </w:pPr>
      <w:r>
        <w:t>RESULTS</w:t>
      </w:r>
      <w:r w:rsidR="00CA2373">
        <w:t xml:space="preserve"> AND DISCUSSION</w:t>
      </w:r>
    </w:p>
    <w:p w:rsidR="00F558A2" w:rsidRDefault="00F558A2" w:rsidP="00F558A2">
      <w:r>
        <w:t>The Strategies Tested:</w:t>
      </w:r>
    </w:p>
    <w:p w:rsidR="00F558A2" w:rsidRDefault="00F558A2" w:rsidP="00F558A2">
      <w:pPr>
        <w:pStyle w:val="ListParagraph"/>
        <w:numPr>
          <w:ilvl w:val="0"/>
          <w:numId w:val="18"/>
        </w:numPr>
      </w:pPr>
      <w:r>
        <w:t>RSI+MACD buy signal within a 10 day window. (Individually, not satisfactory)</w:t>
      </w:r>
    </w:p>
    <w:p w:rsidR="00F558A2" w:rsidRDefault="00F558A2" w:rsidP="00F558A2">
      <w:pPr>
        <w:pStyle w:val="ListParagraph"/>
        <w:numPr>
          <w:ilvl w:val="0"/>
          <w:numId w:val="18"/>
        </w:numPr>
      </w:pPr>
      <w:r>
        <w:t>DeMark Sequential buy signal (Setup + Countdown day 13)</w:t>
      </w:r>
    </w:p>
    <w:p w:rsidR="00F558A2" w:rsidRDefault="00F558A2" w:rsidP="00F558A2">
      <w:pPr>
        <w:pStyle w:val="ListParagraph"/>
        <w:numPr>
          <w:ilvl w:val="0"/>
          <w:numId w:val="18"/>
        </w:numPr>
      </w:pPr>
      <w:r>
        <w:t>DeMark Setup Day 6 buy signal</w:t>
      </w:r>
    </w:p>
    <w:p w:rsidR="00F558A2" w:rsidRDefault="00F558A2" w:rsidP="00F558A2">
      <w:pPr>
        <w:pStyle w:val="ListParagraph"/>
        <w:numPr>
          <w:ilvl w:val="0"/>
          <w:numId w:val="18"/>
        </w:numPr>
      </w:pPr>
      <w:r>
        <w:t>DeMark Setup day 9 buy signal</w:t>
      </w:r>
    </w:p>
    <w:p w:rsidR="00F558A2" w:rsidRDefault="00F558A2" w:rsidP="00F558A2">
      <w:pPr>
        <w:pStyle w:val="ListParagraph"/>
        <w:numPr>
          <w:ilvl w:val="0"/>
          <w:numId w:val="18"/>
        </w:numPr>
      </w:pPr>
      <w:r>
        <w:t>DeMark Countdown Day 5 buy signal</w:t>
      </w:r>
    </w:p>
    <w:p w:rsidR="00F558A2" w:rsidRDefault="00F558A2" w:rsidP="00F558A2">
      <w:pPr>
        <w:pStyle w:val="ListParagraph"/>
        <w:numPr>
          <w:ilvl w:val="0"/>
          <w:numId w:val="18"/>
        </w:numPr>
      </w:pPr>
      <w:r>
        <w:t>DeMark Countdown Day 8 buy signal</w:t>
      </w:r>
    </w:p>
    <w:p w:rsidR="00F558A2" w:rsidRDefault="00F558A2" w:rsidP="00F558A2">
      <w:pPr>
        <w:pStyle w:val="ListParagraph"/>
        <w:numPr>
          <w:ilvl w:val="0"/>
          <w:numId w:val="18"/>
        </w:numPr>
      </w:pPr>
      <w:r>
        <w:t>DeMark Countdown Day 11 buy signal</w:t>
      </w:r>
    </w:p>
    <w:p w:rsidR="00F558A2" w:rsidRPr="00F558A2" w:rsidRDefault="00F558A2" w:rsidP="00F558A2">
      <w:r>
        <w:t xml:space="preserve">The ones that are shown are primarily the ones I wanted to highlight, since the other did not perform up to expectation. </w:t>
      </w:r>
    </w:p>
    <w:p w:rsidR="00DD4BB6" w:rsidRDefault="00DD4BB6" w:rsidP="00DD4BB6">
      <w:pPr>
        <w:rPr>
          <w:b/>
          <w:bCs/>
        </w:rPr>
      </w:pPr>
      <w:r>
        <w:rPr>
          <w:noProof/>
          <w:lang w:val="en-IN" w:eastAsia="en-IN"/>
        </w:rPr>
        <w:drawing>
          <wp:inline distT="0" distB="0" distL="0" distR="0" wp14:anchorId="3D0A0755" wp14:editId="53862AA5">
            <wp:extent cx="5943600" cy="39814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92233" w:rsidRDefault="008206E8" w:rsidP="00DD4BB6">
      <w:pPr>
        <w:rPr>
          <w:bCs/>
        </w:rPr>
      </w:pPr>
      <w:r>
        <w:rPr>
          <w:bCs/>
        </w:rPr>
        <w:lastRenderedPageBreak/>
        <w:t xml:space="preserve">As can be seen in the graph, DeMark slightly outperforms a random strategy, even as you increase the holding period. But, the difference is slight, and will erode as one starts including Transaction Costs (which have been assumed to be zero in this model).                      </w:t>
      </w:r>
    </w:p>
    <w:p w:rsidR="00F558A2" w:rsidRDefault="00F558A2" w:rsidP="00DD4BB6">
      <w:pPr>
        <w:rPr>
          <w:bCs/>
        </w:rPr>
      </w:pPr>
    </w:p>
    <w:p w:rsidR="008206E8" w:rsidRDefault="00192233" w:rsidP="00DD4BB6">
      <w:pPr>
        <w:rPr>
          <w:bCs/>
        </w:rPr>
      </w:pPr>
      <w:r>
        <w:rPr>
          <w:bCs/>
        </w:rPr>
        <w:t xml:space="preserve">The </w:t>
      </w:r>
      <w:r w:rsidRPr="00F558A2">
        <w:rPr>
          <w:b/>
          <w:bCs/>
        </w:rPr>
        <w:t>best performing strategies</w:t>
      </w:r>
      <w:r>
        <w:rPr>
          <w:bCs/>
        </w:rPr>
        <w:t xml:space="preserve"> are given below, sorted by greatest out_mean (strategy mean returns). When annualized, these returns can go up to as much as 30% (in the case of Setup day 6 buy, for 2 weeks). But gain, it must be kept in mind that transaction costs may hamper these numbers quite a bit. </w:t>
      </w:r>
    </w:p>
    <w:p w:rsidR="00F558A2" w:rsidRDefault="00F558A2" w:rsidP="00DD4BB6">
      <w:pPr>
        <w:rPr>
          <w:bCs/>
        </w:rPr>
      </w:pPr>
    </w:p>
    <w:p w:rsidR="0097137A" w:rsidRDefault="0097137A" w:rsidP="00D966FA">
      <w:pPr>
        <w:jc w:val="both"/>
        <w:rPr>
          <w:bCs/>
        </w:rPr>
      </w:pPr>
    </w:p>
    <w:p w:rsidR="0097137A" w:rsidRDefault="0097137A" w:rsidP="00D966FA">
      <w:pPr>
        <w:jc w:val="both"/>
        <w:rPr>
          <w:bCs/>
        </w:rPr>
      </w:pPr>
    </w:p>
    <w:p w:rsidR="00D966FA" w:rsidRDefault="00D966FA" w:rsidP="00D966FA">
      <w:pPr>
        <w:jc w:val="both"/>
        <w:rPr>
          <w:bCs/>
        </w:rPr>
      </w:pPr>
      <w:r w:rsidRPr="008206E8">
        <w:rPr>
          <w:noProof/>
          <w:lang w:val="en-IN" w:eastAsia="en-IN"/>
        </w:rPr>
        <w:drawing>
          <wp:inline distT="0" distB="0" distL="0" distR="0" wp14:anchorId="77BB776D" wp14:editId="6DE1779F">
            <wp:extent cx="6220806" cy="1457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7357" cy="1494000"/>
                    </a:xfrm>
                    <a:prstGeom prst="rect">
                      <a:avLst/>
                    </a:prstGeom>
                    <a:noFill/>
                    <a:ln>
                      <a:noFill/>
                    </a:ln>
                  </pic:spPr>
                </pic:pic>
              </a:graphicData>
            </a:graphic>
          </wp:inline>
        </w:drawing>
      </w:r>
    </w:p>
    <w:p w:rsidR="00D966FA" w:rsidRDefault="00D966FA" w:rsidP="00F558A2">
      <w:pPr>
        <w:ind w:firstLine="0"/>
        <w:jc w:val="both"/>
        <w:rPr>
          <w:bCs/>
        </w:rPr>
      </w:pPr>
    </w:p>
    <w:p w:rsidR="00D966FA" w:rsidRDefault="00D966FA" w:rsidP="00D966FA">
      <w:pPr>
        <w:jc w:val="both"/>
        <w:rPr>
          <w:bCs/>
        </w:rPr>
      </w:pPr>
    </w:p>
    <w:p w:rsidR="00D966FA" w:rsidRDefault="00D966FA" w:rsidP="00D966FA">
      <w:pPr>
        <w:jc w:val="both"/>
        <w:rPr>
          <w:bCs/>
        </w:rPr>
      </w:pPr>
      <w:r>
        <w:rPr>
          <w:bCs/>
        </w:rPr>
        <w:t xml:space="preserve">The </w:t>
      </w:r>
      <w:r w:rsidRPr="00D966FA">
        <w:rPr>
          <w:b/>
          <w:bCs/>
        </w:rPr>
        <w:t>Portfolio Optimization results</w:t>
      </w:r>
      <w:r>
        <w:rPr>
          <w:bCs/>
        </w:rPr>
        <w:t xml:space="preserve"> for the strategies taken in conjunction, were as follows:</w:t>
      </w:r>
    </w:p>
    <w:p w:rsidR="00D966FA" w:rsidRDefault="00D966FA" w:rsidP="00D966FA">
      <w:pPr>
        <w:jc w:val="both"/>
        <w:rPr>
          <w:bCs/>
        </w:rPr>
      </w:pPr>
      <w:r w:rsidRPr="00D966FA">
        <w:rPr>
          <w:b/>
          <w:bCs/>
        </w:rPr>
        <w:t>Tracking Error</w:t>
      </w:r>
      <w:r>
        <w:rPr>
          <w:bCs/>
        </w:rPr>
        <w:t>: 0.7%</w:t>
      </w:r>
    </w:p>
    <w:p w:rsidR="00D966FA" w:rsidRDefault="00D966FA" w:rsidP="00D966FA">
      <w:pPr>
        <w:jc w:val="both"/>
        <w:rPr>
          <w:bCs/>
        </w:rPr>
      </w:pPr>
      <w:r w:rsidRPr="00D966FA">
        <w:rPr>
          <w:b/>
          <w:bCs/>
        </w:rPr>
        <w:t>Information Ratio</w:t>
      </w:r>
      <w:r>
        <w:rPr>
          <w:bCs/>
        </w:rPr>
        <w:t>: -8.7%</w:t>
      </w:r>
    </w:p>
    <w:p w:rsidR="00D966FA" w:rsidRDefault="00D966FA" w:rsidP="00D966FA">
      <w:pPr>
        <w:jc w:val="both"/>
        <w:rPr>
          <w:bCs/>
        </w:rPr>
      </w:pPr>
      <w:r>
        <w:rPr>
          <w:bCs/>
        </w:rPr>
        <w:t xml:space="preserve">However, it must be mentioned, on optimization, the Active weights came out to be nearly zero, save for 2 stocks - Home Depot and IBM - with close to 25% and 75% respectively. This shows that the </w:t>
      </w:r>
      <w:r>
        <w:rPr>
          <w:bCs/>
        </w:rPr>
        <w:lastRenderedPageBreak/>
        <w:t xml:space="preserve">strategy perhaps wasn’t successful after all, since the eventual Portfolio weights came out to be approximately equal to Equally Weighted Portfolio weights. </w:t>
      </w:r>
    </w:p>
    <w:p w:rsidR="00D966FA" w:rsidRDefault="00D966FA" w:rsidP="00D966FA">
      <w:pPr>
        <w:jc w:val="both"/>
        <w:rPr>
          <w:bCs/>
        </w:rPr>
      </w:pPr>
      <w:r>
        <w:rPr>
          <w:bCs/>
        </w:rPr>
        <w:t>The Alphas were taken to be the (daily) excess returns, as calculated for each strategy through Bootstrap.</w:t>
      </w:r>
    </w:p>
    <w:p w:rsidR="00EA5EC2" w:rsidRDefault="0097137A" w:rsidP="00DD4BB6">
      <w:pPr>
        <w:rPr>
          <w:bCs/>
        </w:rPr>
      </w:pPr>
      <w:r>
        <w:rPr>
          <w:bCs/>
        </w:rPr>
        <w:t>The B</w:t>
      </w:r>
      <w:r w:rsidR="00D966FA">
        <w:rPr>
          <w:bCs/>
        </w:rPr>
        <w:t>etas were calculated with a 4-year window on daily returns</w:t>
      </w:r>
      <w:r>
        <w:rPr>
          <w:bCs/>
        </w:rPr>
        <w:t xml:space="preserve"> (2011-2014)</w:t>
      </w:r>
      <w:r w:rsidR="00D966FA">
        <w:rPr>
          <w:bCs/>
        </w:rPr>
        <w:t>.</w:t>
      </w:r>
    </w:p>
    <w:p w:rsidR="00D966FA" w:rsidRDefault="00D966FA" w:rsidP="00DD4BB6">
      <w:pPr>
        <w:rPr>
          <w:bCs/>
        </w:rPr>
      </w:pPr>
      <w:r>
        <w:rPr>
          <w:bCs/>
        </w:rPr>
        <w:t xml:space="preserve">The </w:t>
      </w:r>
      <w:r w:rsidR="0097137A">
        <w:rPr>
          <w:bCs/>
        </w:rPr>
        <w:t>Variance-C</w:t>
      </w:r>
      <w:r>
        <w:rPr>
          <w:bCs/>
        </w:rPr>
        <w:t>ovariance matrix was taken for daily returns.</w:t>
      </w:r>
    </w:p>
    <w:p w:rsidR="00D966FA" w:rsidRDefault="00D966FA" w:rsidP="00DD4BB6">
      <w:pPr>
        <w:rPr>
          <w:bCs/>
        </w:rPr>
      </w:pPr>
      <w:r>
        <w:rPr>
          <w:bCs/>
        </w:rPr>
        <w:t xml:space="preserve">It must be noted that since daily returns were not sufficiently </w:t>
      </w:r>
      <w:r w:rsidR="00351E4D">
        <w:rPr>
          <w:bCs/>
        </w:rPr>
        <w:t>better for any strategy, the results also followed suit, with portfolio optimization not showing promise in the strategy. However, it may well happen that the better (longer held) strategies perform better on optimization.</w:t>
      </w:r>
    </w:p>
    <w:p w:rsidR="0097137A" w:rsidRDefault="0097137A" w:rsidP="00DD4BB6">
      <w:pPr>
        <w:rPr>
          <w:bCs/>
        </w:rPr>
      </w:pPr>
    </w:p>
    <w:p w:rsidR="00351E4D" w:rsidRDefault="00351E4D" w:rsidP="00DD4BB6">
      <w:pPr>
        <w:rPr>
          <w:bCs/>
        </w:rPr>
      </w:pPr>
      <w:r>
        <w:rPr>
          <w:bCs/>
        </w:rPr>
        <w:t>Due to the limitations of technology (my laptop’s limited capability) the study could not be justifiably performed, but as a direction for future studies in this topic, it might be helpful to keep that in mind.</w:t>
      </w:r>
    </w:p>
    <w:p w:rsidR="00351E4D" w:rsidRDefault="00351E4D" w:rsidP="00DD4BB6">
      <w:pPr>
        <w:rPr>
          <w:bCs/>
        </w:rPr>
      </w:pPr>
      <w:r>
        <w:rPr>
          <w:noProof/>
          <w:lang w:val="en-IN" w:eastAsia="en-IN"/>
        </w:rPr>
        <w:drawing>
          <wp:inline distT="0" distB="0" distL="0" distR="0" wp14:anchorId="13273540" wp14:editId="4A0A1A84">
            <wp:extent cx="5800725" cy="342900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481A" w:rsidRDefault="00351E4D" w:rsidP="00F558A2">
      <w:pPr>
        <w:ind w:firstLine="0"/>
        <w:jc w:val="center"/>
        <w:rPr>
          <w:bCs/>
        </w:rPr>
      </w:pPr>
      <w:r>
        <w:rPr>
          <w:noProof/>
          <w:lang w:val="en-IN" w:eastAsia="en-IN"/>
        </w:rPr>
        <w:lastRenderedPageBreak/>
        <w:drawing>
          <wp:inline distT="0" distB="0" distL="0" distR="0" wp14:anchorId="3C7EA0BD" wp14:editId="67DEA46C">
            <wp:extent cx="5610225" cy="43338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F481A" w:rsidRDefault="00F558A2" w:rsidP="00CA2373">
      <w:pPr>
        <w:rPr>
          <w:bCs/>
        </w:rPr>
      </w:pPr>
      <w:r>
        <w:rPr>
          <w:bCs/>
        </w:rPr>
        <w:t>As you can see, in Setup Day 6 vs Random, the Red distribution is comfortably above the random strategy, making it the best performing strategy out of the ones tested.</w:t>
      </w:r>
    </w:p>
    <w:p w:rsidR="00EA5EC2" w:rsidRDefault="00F558A2" w:rsidP="00CA2373">
      <w:pPr>
        <w:ind w:firstLine="0"/>
        <w:rPr>
          <w:bCs/>
        </w:rPr>
      </w:pPr>
      <w:r>
        <w:rPr>
          <w:noProof/>
          <w:lang w:val="en-IN" w:eastAsia="en-IN"/>
        </w:rPr>
        <w:lastRenderedPageBreak/>
        <w:drawing>
          <wp:inline distT="0" distB="0" distL="0" distR="0" wp14:anchorId="2B2162E4" wp14:editId="50059117">
            <wp:extent cx="6210300" cy="420052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06E8" w:rsidRDefault="008206E8" w:rsidP="008206E8">
      <w:pPr>
        <w:jc w:val="both"/>
        <w:rPr>
          <w:bCs/>
        </w:rPr>
      </w:pPr>
    </w:p>
    <w:p w:rsidR="0037133F" w:rsidRDefault="0037133F" w:rsidP="008206E8">
      <w:pPr>
        <w:jc w:val="both"/>
        <w:rPr>
          <w:bCs/>
        </w:rPr>
      </w:pPr>
    </w:p>
    <w:p w:rsidR="00CA2373" w:rsidRDefault="00CA2373" w:rsidP="008206E8">
      <w:pPr>
        <w:jc w:val="both"/>
        <w:rPr>
          <w:bCs/>
        </w:rPr>
      </w:pPr>
    </w:p>
    <w:p w:rsidR="00CA2373" w:rsidRDefault="00CA2373" w:rsidP="008206E8">
      <w:pPr>
        <w:jc w:val="both"/>
        <w:rPr>
          <w:bCs/>
        </w:rPr>
      </w:pPr>
    </w:p>
    <w:p w:rsidR="00CA2373" w:rsidRDefault="00CA2373" w:rsidP="008206E8">
      <w:pPr>
        <w:jc w:val="both"/>
        <w:rPr>
          <w:bCs/>
        </w:rPr>
      </w:pPr>
    </w:p>
    <w:p w:rsidR="00CA2373" w:rsidRDefault="00CA2373" w:rsidP="008206E8">
      <w:pPr>
        <w:jc w:val="both"/>
        <w:rPr>
          <w:bCs/>
        </w:rPr>
      </w:pPr>
    </w:p>
    <w:p w:rsidR="00CA2373" w:rsidRDefault="00CA2373" w:rsidP="008206E8">
      <w:pPr>
        <w:jc w:val="both"/>
        <w:rPr>
          <w:bCs/>
        </w:rPr>
      </w:pPr>
    </w:p>
    <w:p w:rsidR="00CA2373" w:rsidRDefault="00CA2373" w:rsidP="008206E8">
      <w:pPr>
        <w:jc w:val="both"/>
        <w:rPr>
          <w:bCs/>
        </w:rPr>
      </w:pPr>
    </w:p>
    <w:p w:rsidR="0037133F" w:rsidRDefault="0037133F" w:rsidP="008206E8">
      <w:pPr>
        <w:jc w:val="both"/>
        <w:rPr>
          <w:bCs/>
        </w:rPr>
      </w:pPr>
    </w:p>
    <w:p w:rsidR="00CA2373" w:rsidRPr="008206E8" w:rsidRDefault="00CA2373" w:rsidP="008206E8">
      <w:pPr>
        <w:jc w:val="both"/>
        <w:rPr>
          <w:bCs/>
        </w:rPr>
      </w:pPr>
    </w:p>
    <w:p w:rsidR="00355DCA" w:rsidRDefault="00351E4D" w:rsidP="00C31D30">
      <w:pPr>
        <w:pStyle w:val="Heading4"/>
      </w:pPr>
      <w:r>
        <w:lastRenderedPageBreak/>
        <w:t>Appendix</w:t>
      </w:r>
    </w:p>
    <w:p w:rsidR="00220C87" w:rsidRPr="00220C87" w:rsidRDefault="00220C87" w:rsidP="00220C87">
      <w:r>
        <w:t>Instructions on how to use the code/files:</w:t>
      </w:r>
    </w:p>
    <w:p w:rsidR="00CA2373" w:rsidRDefault="00CA2373" w:rsidP="00CA2373">
      <w:pPr>
        <w:pStyle w:val="ListParagraph"/>
        <w:numPr>
          <w:ilvl w:val="0"/>
          <w:numId w:val="20"/>
        </w:numPr>
        <w:rPr>
          <w:bCs/>
        </w:rPr>
      </w:pPr>
      <w:r>
        <w:rPr>
          <w:bCs/>
        </w:rPr>
        <w:t>There are 2</w:t>
      </w:r>
      <w:r w:rsidRPr="00CA2373">
        <w:rPr>
          <w:bCs/>
        </w:rPr>
        <w:t xml:space="preserve"> excel files</w:t>
      </w:r>
      <w:r>
        <w:rPr>
          <w:bCs/>
        </w:rPr>
        <w:t xml:space="preserve"> that are read in</w:t>
      </w:r>
      <w:r w:rsidR="001C0CDA">
        <w:rPr>
          <w:bCs/>
        </w:rPr>
        <w:t>to</w:t>
      </w:r>
      <w:r>
        <w:rPr>
          <w:bCs/>
        </w:rPr>
        <w:t xml:space="preserve"> the code: </w:t>
      </w:r>
    </w:p>
    <w:p w:rsidR="00CA2373" w:rsidRDefault="00CA2373" w:rsidP="00CA2373">
      <w:pPr>
        <w:pStyle w:val="ListParagraph"/>
        <w:numPr>
          <w:ilvl w:val="1"/>
          <w:numId w:val="20"/>
        </w:numPr>
        <w:rPr>
          <w:bCs/>
        </w:rPr>
      </w:pPr>
      <w:r>
        <w:rPr>
          <w:bCs/>
        </w:rPr>
        <w:t>Daily Prices (D</w:t>
      </w:r>
      <w:r w:rsidR="001C0CDA">
        <w:rPr>
          <w:bCs/>
        </w:rPr>
        <w:t>ataTwentyEight.xlsx) for signal generation</w:t>
      </w:r>
      <w:r>
        <w:rPr>
          <w:bCs/>
        </w:rPr>
        <w:t xml:space="preserve"> </w:t>
      </w:r>
    </w:p>
    <w:p w:rsidR="00E81978" w:rsidRDefault="00CA2373" w:rsidP="00CA2373">
      <w:pPr>
        <w:pStyle w:val="ListParagraph"/>
        <w:numPr>
          <w:ilvl w:val="1"/>
          <w:numId w:val="20"/>
        </w:numPr>
        <w:rPr>
          <w:bCs/>
        </w:rPr>
      </w:pPr>
      <w:r>
        <w:rPr>
          <w:bCs/>
        </w:rPr>
        <w:t>Daily Returns Matrix (PTP Returns.csv)</w:t>
      </w:r>
      <w:r w:rsidR="001C0CDA">
        <w:rPr>
          <w:bCs/>
        </w:rPr>
        <w:t xml:space="preserve"> for Portfolio Optimization</w:t>
      </w:r>
    </w:p>
    <w:p w:rsidR="001C0CDA" w:rsidRDefault="001C0CDA" w:rsidP="001C0CDA">
      <w:pPr>
        <w:pStyle w:val="ListParagraph"/>
        <w:numPr>
          <w:ilvl w:val="0"/>
          <w:numId w:val="20"/>
        </w:numPr>
        <w:rPr>
          <w:bCs/>
        </w:rPr>
      </w:pPr>
      <w:r>
        <w:rPr>
          <w:bCs/>
        </w:rPr>
        <w:t>The Signal Generation Code can be found on the Python file PTP</w:t>
      </w:r>
      <w:r w:rsidR="00A84D7A">
        <w:rPr>
          <w:bCs/>
        </w:rPr>
        <w:t>_</w:t>
      </w:r>
      <w:r>
        <w:rPr>
          <w:bCs/>
        </w:rPr>
        <w:t>Signal</w:t>
      </w:r>
      <w:r w:rsidR="00A84D7A">
        <w:rPr>
          <w:bCs/>
        </w:rPr>
        <w:t>s</w:t>
      </w:r>
      <w:r>
        <w:rPr>
          <w:bCs/>
        </w:rPr>
        <w:t>.py</w:t>
      </w:r>
      <w:r w:rsidR="00A84D7A">
        <w:rPr>
          <w:bCs/>
        </w:rPr>
        <w:t xml:space="preserve"> (or .ipynb if that is preferred)</w:t>
      </w:r>
      <w:r>
        <w:rPr>
          <w:bCs/>
        </w:rPr>
        <w:t>. This code generates the following files:</w:t>
      </w:r>
    </w:p>
    <w:p w:rsidR="001C0CDA" w:rsidRDefault="001C0CDA" w:rsidP="001C0CDA">
      <w:pPr>
        <w:pStyle w:val="ListParagraph"/>
        <w:numPr>
          <w:ilvl w:val="1"/>
          <w:numId w:val="20"/>
        </w:numPr>
        <w:rPr>
          <w:bCs/>
        </w:rPr>
      </w:pPr>
      <w:r>
        <w:rPr>
          <w:bCs/>
        </w:rPr>
        <w:t>AllSignals.xlsx with the RSI, MACD and DeMark Buy Signals added (as 1 or 0)</w:t>
      </w:r>
    </w:p>
    <w:p w:rsidR="001C0CDA" w:rsidRDefault="001C0CDA" w:rsidP="001C0CDA">
      <w:pPr>
        <w:pStyle w:val="ListParagraph"/>
        <w:numPr>
          <w:ilvl w:val="1"/>
          <w:numId w:val="20"/>
        </w:numPr>
        <w:rPr>
          <w:bCs/>
        </w:rPr>
      </w:pPr>
      <w:r>
        <w:rPr>
          <w:bCs/>
        </w:rPr>
        <w:t>PTP_results_demark.csv, with the calculated returns distributions for all strategies. This Excel was later modified to generate charts that are used in the paper.</w:t>
      </w:r>
    </w:p>
    <w:p w:rsidR="001C0CDA" w:rsidRDefault="001C0CDA" w:rsidP="001C0CDA">
      <w:pPr>
        <w:pStyle w:val="ListParagraph"/>
        <w:numPr>
          <w:ilvl w:val="0"/>
          <w:numId w:val="20"/>
        </w:numPr>
        <w:rPr>
          <w:bCs/>
        </w:rPr>
      </w:pPr>
      <w:r>
        <w:rPr>
          <w:bCs/>
        </w:rPr>
        <w:t>Since Python doesn’t have a Quadratic Programming element to it, the TE, IR calculation was done on R. The R file is named ‘Optimization and Tracking Error.r’. This file needs the following files to be present in the directory:</w:t>
      </w:r>
    </w:p>
    <w:p w:rsidR="001C0CDA" w:rsidRDefault="001C0CDA" w:rsidP="001C0CDA">
      <w:pPr>
        <w:pStyle w:val="ListParagraph"/>
        <w:numPr>
          <w:ilvl w:val="1"/>
          <w:numId w:val="20"/>
        </w:numPr>
        <w:rPr>
          <w:bCs/>
        </w:rPr>
      </w:pPr>
      <w:r>
        <w:rPr>
          <w:bCs/>
        </w:rPr>
        <w:t xml:space="preserve">A_T.csv </w:t>
      </w:r>
    </w:p>
    <w:p w:rsidR="001C0CDA" w:rsidRDefault="001C0CDA" w:rsidP="001C0CDA">
      <w:pPr>
        <w:pStyle w:val="ListParagraph"/>
        <w:numPr>
          <w:ilvl w:val="1"/>
          <w:numId w:val="20"/>
        </w:numPr>
        <w:rPr>
          <w:bCs/>
        </w:rPr>
      </w:pPr>
      <w:r>
        <w:rPr>
          <w:bCs/>
        </w:rPr>
        <w:t>Mean.csv</w:t>
      </w:r>
    </w:p>
    <w:p w:rsidR="001C0CDA" w:rsidRDefault="001C0CDA" w:rsidP="001C0CDA">
      <w:pPr>
        <w:pStyle w:val="ListParagraph"/>
        <w:numPr>
          <w:ilvl w:val="1"/>
          <w:numId w:val="20"/>
        </w:numPr>
        <w:rPr>
          <w:bCs/>
        </w:rPr>
      </w:pPr>
      <w:r>
        <w:rPr>
          <w:bCs/>
        </w:rPr>
        <w:t>Beta.csv</w:t>
      </w:r>
    </w:p>
    <w:p w:rsidR="001C0CDA" w:rsidRDefault="001C0CDA" w:rsidP="001C0CDA">
      <w:pPr>
        <w:pStyle w:val="ListParagraph"/>
        <w:numPr>
          <w:ilvl w:val="1"/>
          <w:numId w:val="20"/>
        </w:numPr>
        <w:rPr>
          <w:bCs/>
        </w:rPr>
      </w:pPr>
      <w:r>
        <w:rPr>
          <w:bCs/>
        </w:rPr>
        <w:t>Cov_Mat.csv</w:t>
      </w:r>
    </w:p>
    <w:p w:rsidR="001C0CDA" w:rsidRDefault="001C0CDA" w:rsidP="001C0CDA">
      <w:pPr>
        <w:pStyle w:val="ListParagraph"/>
        <w:ind w:left="1440"/>
        <w:rPr>
          <w:bCs/>
        </w:rPr>
      </w:pPr>
      <w:r>
        <w:rPr>
          <w:bCs/>
        </w:rPr>
        <w:t>All these file</w:t>
      </w:r>
      <w:r w:rsidR="00472C26">
        <w:rPr>
          <w:bCs/>
        </w:rPr>
        <w:t>s are generated by the other Py</w:t>
      </w:r>
      <w:r>
        <w:rPr>
          <w:bCs/>
        </w:rPr>
        <w:t>t</w:t>
      </w:r>
      <w:r w:rsidR="00472C26">
        <w:rPr>
          <w:bCs/>
        </w:rPr>
        <w:t>h</w:t>
      </w:r>
      <w:r>
        <w:rPr>
          <w:bCs/>
        </w:rPr>
        <w:t>on File, PTP_Computations.py.</w:t>
      </w:r>
      <w:r w:rsidR="00A84D7A">
        <w:rPr>
          <w:bCs/>
        </w:rPr>
        <w:t xml:space="preserve"> (or .ipynb if that is preferred)</w:t>
      </w:r>
    </w:p>
    <w:p w:rsidR="001C0CDA" w:rsidRDefault="001C0CDA" w:rsidP="00A84D7A">
      <w:pPr>
        <w:rPr>
          <w:bCs/>
        </w:rPr>
      </w:pPr>
    </w:p>
    <w:p w:rsidR="00472C26" w:rsidRPr="00A84D7A" w:rsidRDefault="00472C26" w:rsidP="00A84D7A">
      <w:pPr>
        <w:rPr>
          <w:bCs/>
        </w:rPr>
      </w:pPr>
    </w:p>
    <w:p w:rsidR="00CA2373" w:rsidRPr="001C0CDA" w:rsidRDefault="00CA2373" w:rsidP="001C0CDA">
      <w:pPr>
        <w:rPr>
          <w:bCs/>
        </w:rPr>
      </w:pPr>
    </w:p>
    <w:sdt>
      <w:sdtPr>
        <w:id w:val="62297111"/>
        <w:docPartObj>
          <w:docPartGallery w:val="Bibliographies"/>
          <w:docPartUnique/>
        </w:docPartObj>
      </w:sdtPr>
      <w:sdtEndPr>
        <w:rPr>
          <w:rFonts w:asciiTheme="majorHAnsi" w:hAnsiTheme="majorHAnsi" w:cstheme="majorHAnsi"/>
          <w:sz w:val="32"/>
        </w:rPr>
      </w:sdtEndPr>
      <w:sdtContent>
        <w:p w:rsidR="00E81978" w:rsidRPr="00472C26" w:rsidRDefault="005D3A03" w:rsidP="00472C26">
          <w:pPr>
            <w:pStyle w:val="Bibliography"/>
            <w:jc w:val="center"/>
            <w:rPr>
              <w:b/>
            </w:rPr>
          </w:pPr>
          <w:r w:rsidRPr="00472C26">
            <w:rPr>
              <w:b/>
            </w:rPr>
            <w:t>References</w:t>
          </w:r>
        </w:p>
        <w:p w:rsidR="00472C26" w:rsidRDefault="00472C26" w:rsidP="003C20AC">
          <w:pPr>
            <w:pStyle w:val="Bibliography"/>
          </w:pPr>
          <w:r w:rsidRPr="00472C26">
            <w:t xml:space="preserve">Perl, J., 2008. </w:t>
          </w:r>
          <w:r w:rsidRPr="00472C26">
            <w:rPr>
              <w:i/>
            </w:rPr>
            <w:t>DeMark Indicators. Bloomberg Market Essentials, Wiley</w:t>
          </w:r>
          <w:r w:rsidRPr="00472C26">
            <w:t>.</w:t>
          </w:r>
        </w:p>
        <w:p w:rsidR="00C31D30" w:rsidRDefault="00C31D30" w:rsidP="003C20AC">
          <w:pPr>
            <w:pStyle w:val="Bibliography"/>
          </w:pPr>
          <w:r>
            <w:fldChar w:fldCharType="begin"/>
          </w:r>
          <w:r>
            <w:instrText xml:space="preserve"> BIBLIOGRAPHY </w:instrText>
          </w:r>
          <w:r>
            <w:fldChar w:fldCharType="separate"/>
          </w:r>
          <w:r w:rsidR="003C20AC">
            <w:t>Lissandrin, M., Daly, D., Sornette, D</w:t>
          </w:r>
          <w:r>
            <w:t>. (</w:t>
          </w:r>
          <w:r w:rsidR="003C20AC">
            <w:t>2015</w:t>
          </w:r>
          <w:r>
            <w:t xml:space="preserve">). </w:t>
          </w:r>
          <w:r w:rsidR="003C20AC" w:rsidRPr="00472C26">
            <w:rPr>
              <w:i/>
            </w:rPr>
            <w:t>Statistical Testing of DeMark Technical Indicators on Commodity Futures</w:t>
          </w:r>
          <w:r w:rsidRPr="00472C26">
            <w:rPr>
              <w:i/>
            </w:rPr>
            <w:t xml:space="preserve">. </w:t>
          </w:r>
          <w:r w:rsidR="003C20AC" w:rsidRPr="00472C26">
            <w:rPr>
              <w:i/>
            </w:rPr>
            <w:t>International Journal of Forecasting</w:t>
          </w:r>
          <w:r>
            <w:t>.</w:t>
          </w:r>
        </w:p>
        <w:p w:rsidR="003C20AC" w:rsidRPr="00472C26" w:rsidRDefault="003C20AC" w:rsidP="003C20AC">
          <w:pPr>
            <w:pStyle w:val="Bibliography"/>
          </w:pPr>
          <w:r>
            <w:t>Bikhchandani, S.</w:t>
          </w:r>
          <w:r w:rsidR="00C31D30">
            <w:t xml:space="preserve"> (</w:t>
          </w:r>
          <w:r>
            <w:t>2001</w:t>
          </w:r>
          <w:r w:rsidR="00C31D30">
            <w:t xml:space="preserve">). </w:t>
          </w:r>
          <w:r w:rsidRPr="00472C26">
            <w:rPr>
              <w:i/>
            </w:rPr>
            <w:t>Herd behavior</w:t>
          </w:r>
          <w:r w:rsidRPr="00472C26">
            <w:rPr>
              <w:i/>
            </w:rPr>
            <w:t xml:space="preserve"> </w:t>
          </w:r>
          <w:r w:rsidRPr="00472C26">
            <w:rPr>
              <w:i/>
            </w:rPr>
            <w:t>in financial markets. IMF Staff Papers Vol. 47</w:t>
          </w:r>
          <w:r w:rsidR="00C31D30" w:rsidRPr="00472C26">
            <w:fldChar w:fldCharType="end"/>
          </w:r>
          <w:r w:rsidRPr="00472C26">
            <w:t>.</w:t>
          </w:r>
        </w:p>
        <w:p w:rsidR="003C20AC" w:rsidRDefault="003C20AC" w:rsidP="003C20AC">
          <w:pPr>
            <w:pStyle w:val="Bibliography"/>
          </w:pPr>
          <w:r>
            <w:t xml:space="preserve">Welch, I., 1996. </w:t>
          </w:r>
          <w:r w:rsidRPr="00472C26">
            <w:rPr>
              <w:i/>
            </w:rPr>
            <w:t>Rational herding in</w:t>
          </w:r>
          <w:r w:rsidRPr="00472C26">
            <w:rPr>
              <w:i/>
            </w:rPr>
            <w:t xml:space="preserve"> </w:t>
          </w:r>
          <w:r w:rsidRPr="00472C26">
            <w:rPr>
              <w:i/>
            </w:rPr>
            <w:t>financial economics. European Economic Review</w:t>
          </w:r>
          <w:r w:rsidR="00472C26">
            <w:rPr>
              <w:i/>
            </w:rPr>
            <w:t>.</w:t>
          </w:r>
        </w:p>
        <w:p w:rsidR="003C20AC" w:rsidRPr="00472C26" w:rsidRDefault="003C20AC" w:rsidP="003C20AC">
          <w:pPr>
            <w:pStyle w:val="Bibliography"/>
            <w:rPr>
              <w:i/>
            </w:rPr>
          </w:pPr>
          <w:r>
            <w:t xml:space="preserve">Vayanos, D., 2010. </w:t>
          </w:r>
          <w:r w:rsidRPr="00472C26">
            <w:rPr>
              <w:i/>
            </w:rPr>
            <w:t>Limits of arbitrage.</w:t>
          </w:r>
          <w:r w:rsidRPr="00472C26">
            <w:rPr>
              <w:i/>
            </w:rPr>
            <w:t xml:space="preserve"> </w:t>
          </w:r>
          <w:r w:rsidRPr="00472C26">
            <w:rPr>
              <w:i/>
            </w:rPr>
            <w:t>Annual Review of Financial Economics Vol. 2:1</w:t>
          </w:r>
          <w:r w:rsidR="00472C26">
            <w:rPr>
              <w:i/>
            </w:rPr>
            <w:t>.</w:t>
          </w:r>
        </w:p>
        <w:p w:rsidR="003C20AC" w:rsidRDefault="003C20AC" w:rsidP="003C20AC">
          <w:pPr>
            <w:pStyle w:val="Bibliography"/>
          </w:pPr>
          <w:r>
            <w:t xml:space="preserve">Gilbert, C., 2010. </w:t>
          </w:r>
          <w:r w:rsidRPr="00472C26">
            <w:rPr>
              <w:i/>
            </w:rPr>
            <w:t>Speculative influences on commodity</w:t>
          </w:r>
          <w:r w:rsidRPr="00472C26">
            <w:rPr>
              <w:i/>
            </w:rPr>
            <w:t xml:space="preserve"> </w:t>
          </w:r>
          <w:r w:rsidRPr="00472C26">
            <w:rPr>
              <w:i/>
            </w:rPr>
            <w:t>futures prices</w:t>
          </w:r>
          <w:r w:rsidR="00472C26">
            <w:rPr>
              <w:i/>
            </w:rPr>
            <w:t>.</w:t>
          </w:r>
        </w:p>
        <w:p w:rsidR="00472C26" w:rsidRPr="00472C26" w:rsidRDefault="003C20AC" w:rsidP="00472C26">
          <w:pPr>
            <w:pStyle w:val="Bibliography"/>
            <w:rPr>
              <w:i/>
            </w:rPr>
          </w:pPr>
          <w:r w:rsidRPr="00472C26">
            <w:t xml:space="preserve">Gorton, G., Hayashi, F., Rouwenhorst, K., 2007. </w:t>
          </w:r>
          <w:r w:rsidRPr="00472C26">
            <w:rPr>
              <w:i/>
            </w:rPr>
            <w:t>The</w:t>
          </w:r>
          <w:r w:rsidRPr="00472C26">
            <w:rPr>
              <w:i/>
            </w:rPr>
            <w:t xml:space="preserve"> </w:t>
          </w:r>
          <w:r w:rsidRPr="00472C26">
            <w:rPr>
              <w:i/>
            </w:rPr>
            <w:t>fundamentals of commodity</w:t>
          </w:r>
          <w:r w:rsidR="00472C26" w:rsidRPr="00472C26">
            <w:rPr>
              <w:i/>
            </w:rPr>
            <w:t xml:space="preserve"> futures returns. W</w:t>
          </w:r>
          <w:r w:rsidRPr="00472C26">
            <w:rPr>
              <w:i/>
            </w:rPr>
            <w:t>orking</w:t>
          </w:r>
          <w:r w:rsidR="00472C26" w:rsidRPr="00472C26">
            <w:rPr>
              <w:i/>
            </w:rPr>
            <w:t xml:space="preserve"> </w:t>
          </w:r>
          <w:r w:rsidRPr="00472C26">
            <w:rPr>
              <w:i/>
            </w:rPr>
            <w:t>paper no. 13249. Tech. rep., National Bureau</w:t>
          </w:r>
          <w:r w:rsidR="00472C26" w:rsidRPr="00472C26">
            <w:rPr>
              <w:i/>
            </w:rPr>
            <w:t xml:space="preserve"> o</w:t>
          </w:r>
          <w:r w:rsidRPr="00472C26">
            <w:rPr>
              <w:i/>
            </w:rPr>
            <w:t>f Economic Research (NBER).</w:t>
          </w:r>
        </w:p>
        <w:p w:rsidR="00472C26" w:rsidRDefault="00472C26" w:rsidP="00472C26">
          <w:pPr>
            <w:autoSpaceDE w:val="0"/>
            <w:autoSpaceDN w:val="0"/>
            <w:adjustRightInd w:val="0"/>
            <w:spacing w:line="240" w:lineRule="auto"/>
            <w:ind w:firstLine="0"/>
            <w:rPr>
              <w:rFonts w:asciiTheme="majorHAnsi" w:hAnsiTheme="majorHAnsi" w:cstheme="majorHAnsi"/>
              <w:kern w:val="0"/>
              <w:szCs w:val="20"/>
              <w:lang w:val="en-IN"/>
            </w:rPr>
          </w:pPr>
          <w:r w:rsidRPr="00472C26">
            <w:rPr>
              <w:rFonts w:asciiTheme="majorHAnsi" w:hAnsiTheme="majorHAnsi" w:cstheme="majorHAnsi"/>
              <w:kern w:val="0"/>
              <w:szCs w:val="20"/>
              <w:lang w:val="en-IN"/>
            </w:rPr>
            <w:t xml:space="preserve">Khan, M., 2009. </w:t>
          </w:r>
          <w:r w:rsidRPr="00472C26">
            <w:rPr>
              <w:rFonts w:asciiTheme="majorHAnsi" w:hAnsiTheme="majorHAnsi" w:cstheme="majorHAnsi"/>
              <w:i/>
              <w:kern w:val="0"/>
              <w:szCs w:val="20"/>
              <w:lang w:val="en-IN"/>
            </w:rPr>
            <w:t xml:space="preserve">The 2008 oil price "bubble". </w:t>
          </w:r>
          <w:r w:rsidRPr="00472C26">
            <w:rPr>
              <w:rFonts w:asciiTheme="majorHAnsi" w:hAnsiTheme="majorHAnsi" w:cstheme="majorHAnsi"/>
              <w:i/>
              <w:kern w:val="0"/>
              <w:szCs w:val="20"/>
              <w:lang w:val="en-IN"/>
            </w:rPr>
            <w:t>P</w:t>
          </w:r>
          <w:r w:rsidRPr="00472C26">
            <w:rPr>
              <w:rFonts w:asciiTheme="majorHAnsi" w:hAnsiTheme="majorHAnsi" w:cstheme="majorHAnsi"/>
              <w:i/>
              <w:kern w:val="0"/>
              <w:szCs w:val="20"/>
              <w:lang w:val="en-IN"/>
            </w:rPr>
            <w:t>olicy</w:t>
          </w:r>
          <w:r w:rsidRPr="00472C26">
            <w:rPr>
              <w:rFonts w:asciiTheme="majorHAnsi" w:hAnsiTheme="majorHAnsi" w:cstheme="majorHAnsi"/>
              <w:i/>
              <w:kern w:val="0"/>
              <w:szCs w:val="20"/>
              <w:lang w:val="en-IN"/>
            </w:rPr>
            <w:t xml:space="preserve"> </w:t>
          </w:r>
          <w:r w:rsidRPr="00472C26">
            <w:rPr>
              <w:rFonts w:asciiTheme="majorHAnsi" w:hAnsiTheme="majorHAnsi" w:cstheme="majorHAnsi"/>
              <w:i/>
              <w:kern w:val="0"/>
              <w:szCs w:val="20"/>
              <w:lang w:val="en-IN"/>
            </w:rPr>
            <w:t>brief 09/19. Tech. rep., Pete</w:t>
          </w:r>
          <w:r w:rsidRPr="00472C26">
            <w:rPr>
              <w:rFonts w:asciiTheme="majorHAnsi" w:hAnsiTheme="majorHAnsi" w:cstheme="majorHAnsi"/>
              <w:i/>
              <w:kern w:val="0"/>
              <w:szCs w:val="20"/>
              <w:lang w:val="en-IN"/>
            </w:rPr>
            <w:t xml:space="preserve">rson Institute of International </w:t>
          </w:r>
          <w:r w:rsidRPr="00472C26">
            <w:rPr>
              <w:rFonts w:asciiTheme="majorHAnsi" w:hAnsiTheme="majorHAnsi" w:cstheme="majorHAnsi"/>
              <w:i/>
              <w:kern w:val="0"/>
              <w:szCs w:val="20"/>
              <w:lang w:val="en-IN"/>
            </w:rPr>
            <w:t>Economics, Washington DC.</w:t>
          </w:r>
        </w:p>
        <w:p w:rsidR="00472C26" w:rsidRDefault="00472C26" w:rsidP="00472C26">
          <w:pPr>
            <w:autoSpaceDE w:val="0"/>
            <w:autoSpaceDN w:val="0"/>
            <w:adjustRightInd w:val="0"/>
            <w:spacing w:line="240" w:lineRule="auto"/>
            <w:ind w:firstLine="0"/>
            <w:rPr>
              <w:rFonts w:asciiTheme="majorHAnsi" w:hAnsiTheme="majorHAnsi" w:cstheme="majorHAnsi"/>
              <w:kern w:val="0"/>
              <w:szCs w:val="20"/>
              <w:lang w:val="en-IN"/>
            </w:rPr>
          </w:pPr>
        </w:p>
        <w:p w:rsidR="00E81978" w:rsidRPr="00472C26" w:rsidRDefault="00472C26" w:rsidP="00472C26">
          <w:pPr>
            <w:autoSpaceDE w:val="0"/>
            <w:autoSpaceDN w:val="0"/>
            <w:adjustRightInd w:val="0"/>
            <w:spacing w:line="240" w:lineRule="auto"/>
            <w:ind w:firstLine="0"/>
            <w:rPr>
              <w:rFonts w:asciiTheme="majorHAnsi" w:hAnsiTheme="majorHAnsi" w:cstheme="majorHAnsi"/>
              <w:kern w:val="0"/>
              <w:szCs w:val="20"/>
              <w:lang w:val="en-IN"/>
            </w:rPr>
          </w:pPr>
          <w:r w:rsidRPr="00472C26">
            <w:rPr>
              <w:rFonts w:asciiTheme="majorHAnsi" w:hAnsiTheme="majorHAnsi" w:cstheme="majorHAnsi"/>
              <w:kern w:val="0"/>
              <w:szCs w:val="20"/>
              <w:lang w:val="en-IN"/>
            </w:rPr>
            <w:t>Shleifer, A., Vishny, R., 1997</w:t>
          </w:r>
          <w:r w:rsidRPr="00472C26">
            <w:rPr>
              <w:rFonts w:asciiTheme="majorHAnsi" w:hAnsiTheme="majorHAnsi" w:cstheme="majorHAnsi"/>
              <w:i/>
              <w:kern w:val="0"/>
              <w:szCs w:val="20"/>
              <w:lang w:val="en-IN"/>
            </w:rPr>
            <w:t>. The limits of arbitrage.</w:t>
          </w:r>
          <w:r w:rsidRPr="00472C26">
            <w:rPr>
              <w:rFonts w:asciiTheme="majorHAnsi" w:hAnsiTheme="majorHAnsi" w:cstheme="majorHAnsi"/>
              <w:i/>
              <w:kern w:val="0"/>
              <w:szCs w:val="20"/>
              <w:lang w:val="en-IN"/>
            </w:rPr>
            <w:t xml:space="preserve"> </w:t>
          </w:r>
          <w:r w:rsidRPr="00472C26">
            <w:rPr>
              <w:rFonts w:asciiTheme="majorHAnsi" w:hAnsiTheme="majorHAnsi" w:cstheme="majorHAnsi"/>
              <w:i/>
              <w:kern w:val="0"/>
              <w:szCs w:val="20"/>
              <w:lang w:val="en-IN"/>
            </w:rPr>
            <w:t>Journal of Finance Vol. 52:2, 737–783</w:t>
          </w:r>
          <w:r w:rsidRPr="00472C26">
            <w:rPr>
              <w:rFonts w:asciiTheme="majorHAnsi" w:hAnsiTheme="majorHAnsi" w:cstheme="majorHAnsi"/>
              <w:kern w:val="0"/>
              <w:szCs w:val="20"/>
              <w:lang w:val="en-IN"/>
            </w:rPr>
            <w:t>.</w:t>
          </w:r>
        </w:p>
      </w:sdtContent>
    </w:sdt>
    <w:sectPr w:rsidR="00E81978" w:rsidRPr="00472C26" w:rsidSect="0097137A">
      <w:headerReference w:type="default" r:id="rId19"/>
      <w:headerReference w:type="first" r:id="rId20"/>
      <w:footnotePr>
        <w:pos w:val="beneathText"/>
      </w:footnotePr>
      <w:pgSz w:w="12240" w:h="15840"/>
      <w:pgMar w:top="1440" w:right="1080" w:bottom="1440" w:left="108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98" w:rsidRDefault="00AC5798">
      <w:pPr>
        <w:spacing w:line="240" w:lineRule="auto"/>
      </w:pPr>
      <w:r>
        <w:separator/>
      </w:r>
    </w:p>
    <w:p w:rsidR="00AC5798" w:rsidRDefault="00AC5798"/>
  </w:endnote>
  <w:endnote w:type="continuationSeparator" w:id="0">
    <w:p w:rsidR="00AC5798" w:rsidRDefault="00AC5798">
      <w:pPr>
        <w:spacing w:line="240" w:lineRule="auto"/>
      </w:pPr>
      <w:r>
        <w:continuationSeparator/>
      </w:r>
    </w:p>
    <w:p w:rsidR="00AC5798" w:rsidRDefault="00AC5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FBX10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98" w:rsidRDefault="00AC5798">
      <w:pPr>
        <w:spacing w:line="240" w:lineRule="auto"/>
      </w:pPr>
      <w:r>
        <w:separator/>
      </w:r>
    </w:p>
    <w:p w:rsidR="00AC5798" w:rsidRDefault="00AC5798"/>
  </w:footnote>
  <w:footnote w:type="continuationSeparator" w:id="0">
    <w:p w:rsidR="00AC5798" w:rsidRDefault="00AC5798">
      <w:pPr>
        <w:spacing w:line="240" w:lineRule="auto"/>
      </w:pPr>
      <w:r>
        <w:continuationSeparator/>
      </w:r>
    </w:p>
    <w:p w:rsidR="00AC5798" w:rsidRDefault="00AC57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7A" w:rsidRDefault="00AC5798">
    <w:pPr>
      <w:pStyle w:val="Header"/>
    </w:pPr>
    <w:sdt>
      <w:sdtPr>
        <w:rPr>
          <w:rStyle w:val="Strong"/>
        </w:rPr>
        <w:alias w:val="Running head"/>
        <w:tag w:val=""/>
        <w:id w:val="12739865"/>
        <w:placeholder>
          <w:docPart w:val="21EBCD7A70EE4CA78649EB96CFBDA5BC"/>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A84D7A" w:rsidRPr="00A84D7A">
          <w:rPr>
            <w:rStyle w:val="Strong"/>
          </w:rPr>
          <w:t>Market Timing Portfolio Performance</w:t>
        </w:r>
      </w:sdtContent>
    </w:sdt>
    <w:r w:rsidR="0097137A">
      <w:rPr>
        <w:rStyle w:val="Strong"/>
      </w:rPr>
      <w:ptab w:relativeTo="margin" w:alignment="right" w:leader="none"/>
    </w:r>
    <w:r w:rsidR="0097137A">
      <w:rPr>
        <w:rStyle w:val="Strong"/>
      </w:rPr>
      <w:fldChar w:fldCharType="begin"/>
    </w:r>
    <w:r w:rsidR="0097137A">
      <w:rPr>
        <w:rStyle w:val="Strong"/>
      </w:rPr>
      <w:instrText xml:space="preserve"> PAGE   \* MERGEFORMAT </w:instrText>
    </w:r>
    <w:r w:rsidR="0097137A">
      <w:rPr>
        <w:rStyle w:val="Strong"/>
      </w:rPr>
      <w:fldChar w:fldCharType="separate"/>
    </w:r>
    <w:r w:rsidR="0046087B">
      <w:rPr>
        <w:rStyle w:val="Strong"/>
        <w:noProof/>
      </w:rPr>
      <w:t>2</w:t>
    </w:r>
    <w:r w:rsidR="0097137A">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7A" w:rsidRPr="0084048F" w:rsidRDefault="0097137A">
    <w:pPr>
      <w:pStyle w:val="Header"/>
      <w:rPr>
        <w:rStyle w:val="Strong"/>
        <w:caps w:val="0"/>
      </w:rPr>
    </w:pPr>
    <w:r>
      <w:t>Market Timing Portfolio Performance</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6087B">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550C00"/>
    <w:multiLevelType w:val="hybridMultilevel"/>
    <w:tmpl w:val="3570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562C9"/>
    <w:multiLevelType w:val="hybridMultilevel"/>
    <w:tmpl w:val="DF183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1477A"/>
    <w:multiLevelType w:val="hybridMultilevel"/>
    <w:tmpl w:val="A7C6C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680DA1"/>
    <w:multiLevelType w:val="hybridMultilevel"/>
    <w:tmpl w:val="26E69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DE850EF"/>
    <w:multiLevelType w:val="hybridMultilevel"/>
    <w:tmpl w:val="475E60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2C079E"/>
    <w:multiLevelType w:val="hybridMultilevel"/>
    <w:tmpl w:val="FF8A08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1"/>
  </w:num>
  <w:num w:numId="17">
    <w:abstractNumId w:val="19"/>
  </w:num>
  <w:num w:numId="18">
    <w:abstractNumId w:val="14"/>
  </w:num>
  <w:num w:numId="19">
    <w:abstractNumId w:val="1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n-IN" w:vendorID="64" w:dllVersion="131078"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5"/>
    <w:rsid w:val="000866A1"/>
    <w:rsid w:val="000D3F41"/>
    <w:rsid w:val="000E3141"/>
    <w:rsid w:val="00113365"/>
    <w:rsid w:val="00162326"/>
    <w:rsid w:val="00185E4C"/>
    <w:rsid w:val="00192233"/>
    <w:rsid w:val="001A5D47"/>
    <w:rsid w:val="001C0CDA"/>
    <w:rsid w:val="00220C87"/>
    <w:rsid w:val="0025230B"/>
    <w:rsid w:val="00274256"/>
    <w:rsid w:val="002A71B1"/>
    <w:rsid w:val="002E7E77"/>
    <w:rsid w:val="00324E81"/>
    <w:rsid w:val="00351E4D"/>
    <w:rsid w:val="00355DCA"/>
    <w:rsid w:val="0037133F"/>
    <w:rsid w:val="003C20AC"/>
    <w:rsid w:val="003D712F"/>
    <w:rsid w:val="00427869"/>
    <w:rsid w:val="0046087B"/>
    <w:rsid w:val="00472C26"/>
    <w:rsid w:val="004D381A"/>
    <w:rsid w:val="00551A02"/>
    <w:rsid w:val="005534FA"/>
    <w:rsid w:val="0059298D"/>
    <w:rsid w:val="00597039"/>
    <w:rsid w:val="005C27A3"/>
    <w:rsid w:val="005D3A03"/>
    <w:rsid w:val="00637BBE"/>
    <w:rsid w:val="00777179"/>
    <w:rsid w:val="00796CD3"/>
    <w:rsid w:val="007F3B12"/>
    <w:rsid w:val="008002C0"/>
    <w:rsid w:val="008206E8"/>
    <w:rsid w:val="0084048F"/>
    <w:rsid w:val="00842861"/>
    <w:rsid w:val="008C5323"/>
    <w:rsid w:val="009234DA"/>
    <w:rsid w:val="0097137A"/>
    <w:rsid w:val="009A6A3B"/>
    <w:rsid w:val="009C6D23"/>
    <w:rsid w:val="00A17F97"/>
    <w:rsid w:val="00A33752"/>
    <w:rsid w:val="00A5390A"/>
    <w:rsid w:val="00A7195C"/>
    <w:rsid w:val="00A84D7A"/>
    <w:rsid w:val="00AC5798"/>
    <w:rsid w:val="00B5014E"/>
    <w:rsid w:val="00B65DDC"/>
    <w:rsid w:val="00B823AA"/>
    <w:rsid w:val="00B93405"/>
    <w:rsid w:val="00BA45DB"/>
    <w:rsid w:val="00BE6A78"/>
    <w:rsid w:val="00BF4184"/>
    <w:rsid w:val="00C0499E"/>
    <w:rsid w:val="00C0601E"/>
    <w:rsid w:val="00C31D30"/>
    <w:rsid w:val="00CA2373"/>
    <w:rsid w:val="00CB6897"/>
    <w:rsid w:val="00CD6E39"/>
    <w:rsid w:val="00CF6E91"/>
    <w:rsid w:val="00D85B68"/>
    <w:rsid w:val="00D966FA"/>
    <w:rsid w:val="00DD4BB6"/>
    <w:rsid w:val="00E0012A"/>
    <w:rsid w:val="00E14BC7"/>
    <w:rsid w:val="00E6004D"/>
    <w:rsid w:val="00E81978"/>
    <w:rsid w:val="00E920E3"/>
    <w:rsid w:val="00EA5EC2"/>
    <w:rsid w:val="00ED7E9F"/>
    <w:rsid w:val="00EE500E"/>
    <w:rsid w:val="00F379B7"/>
    <w:rsid w:val="00F525FA"/>
    <w:rsid w:val="00F558A2"/>
    <w:rsid w:val="00FF2002"/>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2A4485-FD02-4573-AA15-BB26CE7C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apple-converted-space">
    <w:name w:val="apple-converted-space"/>
    <w:basedOn w:val="DefaultParagraphFont"/>
    <w:rsid w:val="00796CD3"/>
  </w:style>
  <w:style w:type="character" w:styleId="Hyperlink">
    <w:name w:val="Hyperlink"/>
    <w:basedOn w:val="DefaultParagraphFont"/>
    <w:uiPriority w:val="99"/>
    <w:semiHidden/>
    <w:unhideWhenUsed/>
    <w:rsid w:val="00796C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209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7198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5244605">
      <w:bodyDiv w:val="1"/>
      <w:marLeft w:val="0"/>
      <w:marRight w:val="0"/>
      <w:marTop w:val="0"/>
      <w:marBottom w:val="0"/>
      <w:divBdr>
        <w:top w:val="none" w:sz="0" w:space="0" w:color="auto"/>
        <w:left w:val="none" w:sz="0" w:space="0" w:color="auto"/>
        <w:bottom w:val="none" w:sz="0" w:space="0" w:color="auto"/>
        <w:right w:val="none" w:sz="0" w:space="0" w:color="auto"/>
      </w:divBdr>
    </w:div>
    <w:div w:id="926692703">
      <w:bodyDiv w:val="1"/>
      <w:marLeft w:val="0"/>
      <w:marRight w:val="0"/>
      <w:marTop w:val="0"/>
      <w:marBottom w:val="0"/>
      <w:divBdr>
        <w:top w:val="none" w:sz="0" w:space="0" w:color="auto"/>
        <w:left w:val="none" w:sz="0" w:space="0" w:color="auto"/>
        <w:bottom w:val="none" w:sz="0" w:space="0" w:color="auto"/>
        <w:right w:val="none" w:sz="0" w:space="0" w:color="auto"/>
      </w:divBdr>
      <w:divsChild>
        <w:div w:id="2145927444">
          <w:marLeft w:val="0"/>
          <w:marRight w:val="0"/>
          <w:marTop w:val="0"/>
          <w:marBottom w:val="0"/>
          <w:divBdr>
            <w:top w:val="none" w:sz="0" w:space="0" w:color="auto"/>
            <w:left w:val="none" w:sz="0" w:space="0" w:color="auto"/>
            <w:bottom w:val="none" w:sz="0" w:space="0" w:color="auto"/>
            <w:right w:val="none" w:sz="0" w:space="0" w:color="auto"/>
          </w:divBdr>
        </w:div>
        <w:div w:id="839124813">
          <w:marLeft w:val="0"/>
          <w:marRight w:val="0"/>
          <w:marTop w:val="0"/>
          <w:marBottom w:val="0"/>
          <w:divBdr>
            <w:top w:val="none" w:sz="0" w:space="0" w:color="auto"/>
            <w:left w:val="none" w:sz="0" w:space="0" w:color="auto"/>
            <w:bottom w:val="none" w:sz="0" w:space="0" w:color="auto"/>
            <w:right w:val="none" w:sz="0" w:space="0" w:color="auto"/>
          </w:divBdr>
        </w:div>
        <w:div w:id="1833177548">
          <w:marLeft w:val="0"/>
          <w:marRight w:val="0"/>
          <w:marTop w:val="0"/>
          <w:marBottom w:val="0"/>
          <w:divBdr>
            <w:top w:val="none" w:sz="0" w:space="0" w:color="auto"/>
            <w:left w:val="none" w:sz="0" w:space="0" w:color="auto"/>
            <w:bottom w:val="none" w:sz="0" w:space="0" w:color="auto"/>
            <w:right w:val="none" w:sz="0" w:space="0" w:color="auto"/>
          </w:divBdr>
        </w:div>
        <w:div w:id="1322856740">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81702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045676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662686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97721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ckcharts.com/school/doku.php?id=chart_school:technical_indicators:moving_averages"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p1325\Downloads\PT_result_demark_2011-01-01%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p1325\Downloads\PT_result_de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p1325\Downloads\PT_result_demark.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p1325\Downloads\PT_result_de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DeMark Sequential</a:t>
            </a:r>
            <a:r>
              <a:rPr lang="en-US"/>
              <a:t> vs </a:t>
            </a:r>
            <a:r>
              <a:rPr lang="en-US">
                <a:solidFill>
                  <a:srgbClr val="0070C0"/>
                </a:solidFill>
              </a:rPr>
              <a:t>Random</a:t>
            </a:r>
            <a:r>
              <a:rPr lang="en-US"/>
              <a:t> Returns Distributions </a:t>
            </a:r>
          </a:p>
          <a:p>
            <a:pPr>
              <a:defRPr/>
            </a:pPr>
            <a:r>
              <a:rPr lang="en-US"/>
              <a:t>with Increasing</a:t>
            </a:r>
            <a:r>
              <a:rPr lang="en-US" baseline="0"/>
              <a:t> Holding Period</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'PT_result_demark_2011-01-01 (1)'!$G$1</c:f>
              <c:strCache>
                <c:ptCount val="1"/>
                <c:pt idx="0">
                  <c:v>rand_low</c:v>
                </c:pt>
              </c:strCache>
            </c:strRef>
          </c:tx>
          <c:spPr>
            <a:ln w="28575" cap="rnd">
              <a:solidFill>
                <a:srgbClr val="00B0F0"/>
              </a:solidFill>
              <a:round/>
            </a:ln>
            <a:effectLst/>
          </c:spPr>
          <c:marker>
            <c:symbol val="none"/>
          </c:marker>
          <c:cat>
            <c:numRef>
              <c:f>'PT_result_demark_2011-01-01 (1)'!$B$2:$B$6</c:f>
              <c:numCache>
                <c:formatCode>General</c:formatCode>
                <c:ptCount val="5"/>
                <c:pt idx="0">
                  <c:v>2</c:v>
                </c:pt>
                <c:pt idx="1">
                  <c:v>3</c:v>
                </c:pt>
                <c:pt idx="2">
                  <c:v>5</c:v>
                </c:pt>
                <c:pt idx="3">
                  <c:v>10</c:v>
                </c:pt>
                <c:pt idx="4">
                  <c:v>20</c:v>
                </c:pt>
              </c:numCache>
            </c:numRef>
          </c:cat>
          <c:val>
            <c:numRef>
              <c:f>'PT_result_demark_2011-01-01 (1)'!$G$2:$G$6</c:f>
              <c:numCache>
                <c:formatCode>0.0%</c:formatCode>
                <c:ptCount val="5"/>
                <c:pt idx="0">
                  <c:v>-2.07504811251426E-3</c:v>
                </c:pt>
                <c:pt idx="1">
                  <c:v>-2.4686731321454602E-3</c:v>
                </c:pt>
                <c:pt idx="2">
                  <c:v>-2.4683411747179599E-3</c:v>
                </c:pt>
                <c:pt idx="3">
                  <c:v>-1.67932325305441E-3</c:v>
                </c:pt>
                <c:pt idx="4">
                  <c:v>-6.3970972943310899E-4</c:v>
                </c:pt>
              </c:numCache>
            </c:numRef>
          </c:val>
          <c:smooth val="0"/>
          <c:extLst xmlns:c16r2="http://schemas.microsoft.com/office/drawing/2015/06/chart">
            <c:ext xmlns:c16="http://schemas.microsoft.com/office/drawing/2014/chart" uri="{C3380CC4-5D6E-409C-BE32-E72D297353CC}">
              <c16:uniqueId val="{00000000-73D7-47D2-B802-D975AE13680E}"/>
            </c:ext>
          </c:extLst>
        </c:ser>
        <c:ser>
          <c:idx val="1"/>
          <c:order val="1"/>
          <c:tx>
            <c:strRef>
              <c:f>'PT_result_demark_2011-01-01 (1)'!$H$1</c:f>
              <c:strCache>
                <c:ptCount val="1"/>
                <c:pt idx="0">
                  <c:v>rand_mean</c:v>
                </c:pt>
              </c:strCache>
            </c:strRef>
          </c:tx>
          <c:spPr>
            <a:ln w="28575" cap="rnd">
              <a:solidFill>
                <a:srgbClr val="00B0F0"/>
              </a:solidFill>
              <a:round/>
            </a:ln>
            <a:effectLst/>
          </c:spPr>
          <c:marker>
            <c:symbol val="none"/>
          </c:marker>
          <c:cat>
            <c:numRef>
              <c:f>'PT_result_demark_2011-01-01 (1)'!$B$2:$B$6</c:f>
              <c:numCache>
                <c:formatCode>General</c:formatCode>
                <c:ptCount val="5"/>
                <c:pt idx="0">
                  <c:v>2</c:v>
                </c:pt>
                <c:pt idx="1">
                  <c:v>3</c:v>
                </c:pt>
                <c:pt idx="2">
                  <c:v>5</c:v>
                </c:pt>
                <c:pt idx="3">
                  <c:v>10</c:v>
                </c:pt>
                <c:pt idx="4">
                  <c:v>20</c:v>
                </c:pt>
              </c:numCache>
            </c:numRef>
          </c:cat>
          <c:val>
            <c:numRef>
              <c:f>'PT_result_demark_2011-01-01 (1)'!$H$2:$H$6</c:f>
              <c:numCache>
                <c:formatCode>0.0%</c:formatCode>
                <c:ptCount val="5"/>
                <c:pt idx="0">
                  <c:v>8.0944818016646296E-4</c:v>
                </c:pt>
                <c:pt idx="1">
                  <c:v>1.2209376800772799E-3</c:v>
                </c:pt>
                <c:pt idx="2">
                  <c:v>2.02155571353059E-3</c:v>
                </c:pt>
                <c:pt idx="3">
                  <c:v>3.9211577186629796E-3</c:v>
                </c:pt>
                <c:pt idx="4">
                  <c:v>7.8025858145981102E-3</c:v>
                </c:pt>
              </c:numCache>
            </c:numRef>
          </c:val>
          <c:smooth val="0"/>
          <c:extLst xmlns:c16r2="http://schemas.microsoft.com/office/drawing/2015/06/chart">
            <c:ext xmlns:c16="http://schemas.microsoft.com/office/drawing/2014/chart" uri="{C3380CC4-5D6E-409C-BE32-E72D297353CC}">
              <c16:uniqueId val="{00000001-73D7-47D2-B802-D975AE13680E}"/>
            </c:ext>
          </c:extLst>
        </c:ser>
        <c:ser>
          <c:idx val="2"/>
          <c:order val="2"/>
          <c:tx>
            <c:strRef>
              <c:f>'PT_result_demark_2011-01-01 (1)'!$I$1</c:f>
              <c:strCache>
                <c:ptCount val="1"/>
                <c:pt idx="0">
                  <c:v>rand_high</c:v>
                </c:pt>
              </c:strCache>
            </c:strRef>
          </c:tx>
          <c:spPr>
            <a:ln w="28575" cap="rnd">
              <a:solidFill>
                <a:srgbClr val="00B0F0"/>
              </a:solidFill>
              <a:round/>
            </a:ln>
            <a:effectLst/>
          </c:spPr>
          <c:marker>
            <c:symbol val="none"/>
          </c:marker>
          <c:cat>
            <c:numRef>
              <c:f>'PT_result_demark_2011-01-01 (1)'!$B$2:$B$6</c:f>
              <c:numCache>
                <c:formatCode>General</c:formatCode>
                <c:ptCount val="5"/>
                <c:pt idx="0">
                  <c:v>2</c:v>
                </c:pt>
                <c:pt idx="1">
                  <c:v>3</c:v>
                </c:pt>
                <c:pt idx="2">
                  <c:v>5</c:v>
                </c:pt>
                <c:pt idx="3">
                  <c:v>10</c:v>
                </c:pt>
                <c:pt idx="4">
                  <c:v>20</c:v>
                </c:pt>
              </c:numCache>
            </c:numRef>
          </c:cat>
          <c:val>
            <c:numRef>
              <c:f>'PT_result_demark_2011-01-01 (1)'!$I$2:$I$6</c:f>
              <c:numCache>
                <c:formatCode>0.0%</c:formatCode>
                <c:ptCount val="5"/>
                <c:pt idx="0">
                  <c:v>3.5839780241719902E-3</c:v>
                </c:pt>
                <c:pt idx="1">
                  <c:v>4.4199209828574403E-3</c:v>
                </c:pt>
                <c:pt idx="2">
                  <c:v>6.364593780913E-3</c:v>
                </c:pt>
                <c:pt idx="3">
                  <c:v>1.0128785120377E-2</c:v>
                </c:pt>
                <c:pt idx="4">
                  <c:v>1.6194490576534701E-2</c:v>
                </c:pt>
              </c:numCache>
            </c:numRef>
          </c:val>
          <c:smooth val="0"/>
          <c:extLst xmlns:c16r2="http://schemas.microsoft.com/office/drawing/2015/06/chart">
            <c:ext xmlns:c16="http://schemas.microsoft.com/office/drawing/2014/chart" uri="{C3380CC4-5D6E-409C-BE32-E72D297353CC}">
              <c16:uniqueId val="{00000002-73D7-47D2-B802-D975AE13680E}"/>
            </c:ext>
          </c:extLst>
        </c:ser>
        <c:ser>
          <c:idx val="3"/>
          <c:order val="3"/>
          <c:tx>
            <c:strRef>
              <c:f>'PT_result_demark_2011-01-01 (1)'!$J$1</c:f>
              <c:strCache>
                <c:ptCount val="1"/>
                <c:pt idx="0">
                  <c:v>strat_low</c:v>
                </c:pt>
              </c:strCache>
            </c:strRef>
          </c:tx>
          <c:spPr>
            <a:ln w="28575" cap="rnd">
              <a:solidFill>
                <a:srgbClr val="FF0000"/>
              </a:solidFill>
              <a:round/>
            </a:ln>
            <a:effectLst/>
          </c:spPr>
          <c:marker>
            <c:symbol val="none"/>
          </c:marker>
          <c:cat>
            <c:numRef>
              <c:f>'PT_result_demark_2011-01-01 (1)'!$B$2:$B$6</c:f>
              <c:numCache>
                <c:formatCode>General</c:formatCode>
                <c:ptCount val="5"/>
                <c:pt idx="0">
                  <c:v>2</c:v>
                </c:pt>
                <c:pt idx="1">
                  <c:v>3</c:v>
                </c:pt>
                <c:pt idx="2">
                  <c:v>5</c:v>
                </c:pt>
                <c:pt idx="3">
                  <c:v>10</c:v>
                </c:pt>
                <c:pt idx="4">
                  <c:v>20</c:v>
                </c:pt>
              </c:numCache>
            </c:numRef>
          </c:cat>
          <c:val>
            <c:numRef>
              <c:f>'PT_result_demark_2011-01-01 (1)'!$J$2:$J$6</c:f>
              <c:numCache>
                <c:formatCode>0.0%</c:formatCode>
                <c:ptCount val="5"/>
                <c:pt idx="0">
                  <c:v>-3.7323015447464302E-3</c:v>
                </c:pt>
                <c:pt idx="1">
                  <c:v>-3.7675985238667499E-3</c:v>
                </c:pt>
                <c:pt idx="2">
                  <c:v>-3.2642902648563898E-3</c:v>
                </c:pt>
                <c:pt idx="3">
                  <c:v>-5.55451000331675E-4</c:v>
                </c:pt>
                <c:pt idx="4">
                  <c:v>-1.6570815418405201E-3</c:v>
                </c:pt>
              </c:numCache>
            </c:numRef>
          </c:val>
          <c:smooth val="0"/>
          <c:extLst xmlns:c16r2="http://schemas.microsoft.com/office/drawing/2015/06/chart">
            <c:ext xmlns:c16="http://schemas.microsoft.com/office/drawing/2014/chart" uri="{C3380CC4-5D6E-409C-BE32-E72D297353CC}">
              <c16:uniqueId val="{00000003-73D7-47D2-B802-D975AE13680E}"/>
            </c:ext>
          </c:extLst>
        </c:ser>
        <c:ser>
          <c:idx val="4"/>
          <c:order val="4"/>
          <c:tx>
            <c:strRef>
              <c:f>'PT_result_demark_2011-01-01 (1)'!$K$1</c:f>
              <c:strCache>
                <c:ptCount val="1"/>
                <c:pt idx="0">
                  <c:v>strat_mean</c:v>
                </c:pt>
              </c:strCache>
            </c:strRef>
          </c:tx>
          <c:spPr>
            <a:ln w="28575" cap="rnd">
              <a:solidFill>
                <a:srgbClr val="FF0000"/>
              </a:solidFill>
              <a:round/>
            </a:ln>
            <a:effectLst/>
          </c:spPr>
          <c:marker>
            <c:symbol val="none"/>
          </c:marker>
          <c:cat>
            <c:numRef>
              <c:f>'PT_result_demark_2011-01-01 (1)'!$B$2:$B$6</c:f>
              <c:numCache>
                <c:formatCode>General</c:formatCode>
                <c:ptCount val="5"/>
                <c:pt idx="0">
                  <c:v>2</c:v>
                </c:pt>
                <c:pt idx="1">
                  <c:v>3</c:v>
                </c:pt>
                <c:pt idx="2">
                  <c:v>5</c:v>
                </c:pt>
                <c:pt idx="3">
                  <c:v>10</c:v>
                </c:pt>
                <c:pt idx="4">
                  <c:v>20</c:v>
                </c:pt>
              </c:numCache>
            </c:numRef>
          </c:cat>
          <c:val>
            <c:numRef>
              <c:f>'PT_result_demark_2011-01-01 (1)'!$K$2:$K$6</c:f>
              <c:numCache>
                <c:formatCode>0.0%</c:formatCode>
                <c:ptCount val="5"/>
                <c:pt idx="0">
                  <c:v>-5.02498169866972E-5</c:v>
                </c:pt>
                <c:pt idx="1">
                  <c:v>9.0927865890887203E-4</c:v>
                </c:pt>
                <c:pt idx="2">
                  <c:v>2.6243395750694199E-3</c:v>
                </c:pt>
                <c:pt idx="3">
                  <c:v>8.2709900152831001E-3</c:v>
                </c:pt>
                <c:pt idx="4">
                  <c:v>8.7619108531774292E-3</c:v>
                </c:pt>
              </c:numCache>
            </c:numRef>
          </c:val>
          <c:smooth val="0"/>
          <c:extLst xmlns:c16r2="http://schemas.microsoft.com/office/drawing/2015/06/chart">
            <c:ext xmlns:c16="http://schemas.microsoft.com/office/drawing/2014/chart" uri="{C3380CC4-5D6E-409C-BE32-E72D297353CC}">
              <c16:uniqueId val="{00000004-73D7-47D2-B802-D975AE13680E}"/>
            </c:ext>
          </c:extLst>
        </c:ser>
        <c:ser>
          <c:idx val="5"/>
          <c:order val="5"/>
          <c:tx>
            <c:strRef>
              <c:f>'PT_result_demark_2011-01-01 (1)'!$L$1</c:f>
              <c:strCache>
                <c:ptCount val="1"/>
                <c:pt idx="0">
                  <c:v>strat_high</c:v>
                </c:pt>
              </c:strCache>
            </c:strRef>
          </c:tx>
          <c:spPr>
            <a:ln w="28575" cap="rnd">
              <a:solidFill>
                <a:srgbClr val="FF0000"/>
              </a:solidFill>
              <a:round/>
            </a:ln>
            <a:effectLst/>
          </c:spPr>
          <c:marker>
            <c:symbol val="none"/>
          </c:marker>
          <c:cat>
            <c:numRef>
              <c:f>'PT_result_demark_2011-01-01 (1)'!$B$2:$B$6</c:f>
              <c:numCache>
                <c:formatCode>General</c:formatCode>
                <c:ptCount val="5"/>
                <c:pt idx="0">
                  <c:v>2</c:v>
                </c:pt>
                <c:pt idx="1">
                  <c:v>3</c:v>
                </c:pt>
                <c:pt idx="2">
                  <c:v>5</c:v>
                </c:pt>
                <c:pt idx="3">
                  <c:v>10</c:v>
                </c:pt>
                <c:pt idx="4">
                  <c:v>20</c:v>
                </c:pt>
              </c:numCache>
            </c:numRef>
          </c:cat>
          <c:val>
            <c:numRef>
              <c:f>'PT_result_demark_2011-01-01 (1)'!$L$2:$L$6</c:f>
              <c:numCache>
                <c:formatCode>0.0%</c:formatCode>
                <c:ptCount val="5"/>
                <c:pt idx="0">
                  <c:v>3.13837328267073E-3</c:v>
                </c:pt>
                <c:pt idx="1">
                  <c:v>5.5960055642223696E-3</c:v>
                </c:pt>
                <c:pt idx="2">
                  <c:v>8.1996665414607092E-3</c:v>
                </c:pt>
                <c:pt idx="3">
                  <c:v>1.5520690847021E-2</c:v>
                </c:pt>
                <c:pt idx="4">
                  <c:v>1.91875424856532E-2</c:v>
                </c:pt>
              </c:numCache>
            </c:numRef>
          </c:val>
          <c:smooth val="0"/>
          <c:extLst xmlns:c16r2="http://schemas.microsoft.com/office/drawing/2015/06/chart">
            <c:ext xmlns:c16="http://schemas.microsoft.com/office/drawing/2014/chart" uri="{C3380CC4-5D6E-409C-BE32-E72D297353CC}">
              <c16:uniqueId val="{00000005-73D7-47D2-B802-D975AE13680E}"/>
            </c:ext>
          </c:extLst>
        </c:ser>
        <c:dLbls>
          <c:showLegendKey val="0"/>
          <c:showVal val="0"/>
          <c:showCatName val="0"/>
          <c:showSerName val="0"/>
          <c:showPercent val="0"/>
          <c:showBubbleSize val="0"/>
        </c:dLbls>
        <c:smooth val="0"/>
        <c:axId val="41409664"/>
        <c:axId val="354217208"/>
      </c:lineChart>
      <c:catAx>
        <c:axId val="41409664"/>
        <c:scaling>
          <c:orientation val="minMax"/>
        </c:scaling>
        <c:delete val="0"/>
        <c:axPos val="b"/>
        <c:numFmt formatCode="General" sourceLinked="1"/>
        <c:majorTickMark val="none"/>
        <c:minorTickMark val="none"/>
        <c:tickLblPos val="nextTo"/>
        <c:spPr>
          <a:noFill/>
          <a:ln w="9525" cap="flat" cmpd="sng" algn="ctr">
            <a:solidFill>
              <a:schemeClr val="tx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17208"/>
        <c:crosses val="autoZero"/>
        <c:auto val="1"/>
        <c:lblAlgn val="ctr"/>
        <c:lblOffset val="100"/>
        <c:noMultiLvlLbl val="0"/>
      </c:catAx>
      <c:valAx>
        <c:axId val="354217208"/>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9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RSI+MACD</a:t>
            </a:r>
            <a:r>
              <a:rPr lang="en-US" baseline="0"/>
              <a:t> vs </a:t>
            </a:r>
            <a:r>
              <a:rPr lang="en-US" baseline="0">
                <a:solidFill>
                  <a:srgbClr val="0070C0"/>
                </a:solidFill>
              </a:rPr>
              <a:t>Random</a:t>
            </a:r>
            <a:r>
              <a:rPr lang="en-US" baseline="0"/>
              <a:t> Returns Distributions with Increasing Holding Period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 low</c:v>
          </c:tx>
          <c:spPr>
            <a:ln w="19050" cap="rnd">
              <a:solidFill>
                <a:srgbClr val="0070C0"/>
              </a:solidFill>
              <a:round/>
            </a:ln>
            <a:effectLst/>
          </c:spPr>
          <c:marker>
            <c:symbol val="circle"/>
            <c:size val="5"/>
            <c:spPr>
              <a:solidFill>
                <a:srgbClr val="0070C0"/>
              </a:solidFill>
              <a:ln w="9525">
                <a:solidFill>
                  <a:srgbClr val="0070C0"/>
                </a:solidFill>
              </a:ln>
              <a:effectLst/>
            </c:spPr>
          </c:marker>
          <c:xVal>
            <c:numRef>
              <c:f>PT_result_demark!$B$2:$B$6</c:f>
              <c:numCache>
                <c:formatCode>General</c:formatCode>
                <c:ptCount val="5"/>
                <c:pt idx="0">
                  <c:v>1</c:v>
                </c:pt>
                <c:pt idx="1">
                  <c:v>2</c:v>
                </c:pt>
                <c:pt idx="2">
                  <c:v>5</c:v>
                </c:pt>
                <c:pt idx="3">
                  <c:v>10</c:v>
                </c:pt>
                <c:pt idx="4">
                  <c:v>20</c:v>
                </c:pt>
              </c:numCache>
            </c:numRef>
          </c:xVal>
          <c:yVal>
            <c:numRef>
              <c:f>PT_result_demark!$G$2:$G$6</c:f>
              <c:numCache>
                <c:formatCode>0.0%</c:formatCode>
                <c:ptCount val="5"/>
                <c:pt idx="0">
                  <c:v>-4.5209686673378899E-4</c:v>
                </c:pt>
                <c:pt idx="1">
                  <c:v>-2.6071926197356401E-4</c:v>
                </c:pt>
                <c:pt idx="2">
                  <c:v>3.0868970943774798E-4</c:v>
                </c:pt>
                <c:pt idx="3">
                  <c:v>1.5584937575083601E-3</c:v>
                </c:pt>
                <c:pt idx="4">
                  <c:v>4.69641292558167E-3</c:v>
                </c:pt>
              </c:numCache>
            </c:numRef>
          </c:yVal>
          <c:smooth val="0"/>
          <c:extLst xmlns:c16r2="http://schemas.microsoft.com/office/drawing/2015/06/chart">
            <c:ext xmlns:c16="http://schemas.microsoft.com/office/drawing/2014/chart" uri="{C3380CC4-5D6E-409C-BE32-E72D297353CC}">
              <c16:uniqueId val="{00000000-7A41-4066-AE2A-91E0509883C1}"/>
            </c:ext>
          </c:extLst>
        </c:ser>
        <c:ser>
          <c:idx val="1"/>
          <c:order val="1"/>
          <c:tx>
            <c:v>rand mean</c:v>
          </c:tx>
          <c:spPr>
            <a:ln w="19050" cap="rnd">
              <a:solidFill>
                <a:srgbClr val="0070C0"/>
              </a:solidFill>
              <a:round/>
            </a:ln>
            <a:effectLst/>
          </c:spPr>
          <c:marker>
            <c:symbol val="circle"/>
            <c:size val="5"/>
            <c:spPr>
              <a:solidFill>
                <a:srgbClr val="0070C0"/>
              </a:solidFill>
              <a:ln w="9525">
                <a:solidFill>
                  <a:srgbClr val="0070C0"/>
                </a:solidFill>
              </a:ln>
              <a:effectLst/>
            </c:spPr>
          </c:marker>
          <c:xVal>
            <c:numRef>
              <c:f>PT_result_demark!$B$2:$B$6</c:f>
              <c:numCache>
                <c:formatCode>General</c:formatCode>
                <c:ptCount val="5"/>
                <c:pt idx="0">
                  <c:v>1</c:v>
                </c:pt>
                <c:pt idx="1">
                  <c:v>2</c:v>
                </c:pt>
                <c:pt idx="2">
                  <c:v>5</c:v>
                </c:pt>
                <c:pt idx="3">
                  <c:v>10</c:v>
                </c:pt>
                <c:pt idx="4">
                  <c:v>20</c:v>
                </c:pt>
              </c:numCache>
            </c:numRef>
          </c:xVal>
          <c:yVal>
            <c:numRef>
              <c:f>PT_result_demark!$H$2:$H$6</c:f>
              <c:numCache>
                <c:formatCode>0.0%</c:formatCode>
                <c:ptCount val="5"/>
                <c:pt idx="0">
                  <c:v>4.4370890349859198E-4</c:v>
                </c:pt>
                <c:pt idx="1">
                  <c:v>8.8631540442365097E-4</c:v>
                </c:pt>
                <c:pt idx="2">
                  <c:v>2.1708217895718002E-3</c:v>
                </c:pt>
                <c:pt idx="3">
                  <c:v>4.1211041262304302E-3</c:v>
                </c:pt>
                <c:pt idx="4">
                  <c:v>8.0811886185311703E-3</c:v>
                </c:pt>
              </c:numCache>
            </c:numRef>
          </c:yVal>
          <c:smooth val="0"/>
          <c:extLst xmlns:c16r2="http://schemas.microsoft.com/office/drawing/2015/06/chart">
            <c:ext xmlns:c16="http://schemas.microsoft.com/office/drawing/2014/chart" uri="{C3380CC4-5D6E-409C-BE32-E72D297353CC}">
              <c16:uniqueId val="{00000001-7A41-4066-AE2A-91E0509883C1}"/>
            </c:ext>
          </c:extLst>
        </c:ser>
        <c:ser>
          <c:idx val="2"/>
          <c:order val="2"/>
          <c:tx>
            <c:v>rand high</c:v>
          </c:tx>
          <c:spPr>
            <a:ln w="19050" cap="rnd">
              <a:solidFill>
                <a:srgbClr val="0070C0"/>
              </a:solidFill>
              <a:round/>
            </a:ln>
            <a:effectLst/>
          </c:spPr>
          <c:marker>
            <c:symbol val="circle"/>
            <c:size val="5"/>
            <c:spPr>
              <a:solidFill>
                <a:srgbClr val="0070C0"/>
              </a:solidFill>
              <a:ln w="9525">
                <a:solidFill>
                  <a:srgbClr val="0070C0"/>
                </a:solidFill>
              </a:ln>
              <a:effectLst/>
            </c:spPr>
          </c:marker>
          <c:xVal>
            <c:numRef>
              <c:f>PT_result_demark!$B$2:$B$6</c:f>
              <c:numCache>
                <c:formatCode>General</c:formatCode>
                <c:ptCount val="5"/>
                <c:pt idx="0">
                  <c:v>1</c:v>
                </c:pt>
                <c:pt idx="1">
                  <c:v>2</c:v>
                </c:pt>
                <c:pt idx="2">
                  <c:v>5</c:v>
                </c:pt>
                <c:pt idx="3">
                  <c:v>10</c:v>
                </c:pt>
                <c:pt idx="4">
                  <c:v>20</c:v>
                </c:pt>
              </c:numCache>
            </c:numRef>
          </c:xVal>
          <c:yVal>
            <c:numRef>
              <c:f>PT_result_demark!$I$2:$I$6</c:f>
              <c:numCache>
                <c:formatCode>0.0%</c:formatCode>
                <c:ptCount val="5"/>
                <c:pt idx="0">
                  <c:v>1.29109931849231E-3</c:v>
                </c:pt>
                <c:pt idx="1">
                  <c:v>1.96822503647165E-3</c:v>
                </c:pt>
                <c:pt idx="2">
                  <c:v>4.1095084574293804E-3</c:v>
                </c:pt>
                <c:pt idx="3">
                  <c:v>7.2906794446991703E-3</c:v>
                </c:pt>
                <c:pt idx="4">
                  <c:v>1.17942253957055E-2</c:v>
                </c:pt>
              </c:numCache>
            </c:numRef>
          </c:yVal>
          <c:smooth val="0"/>
          <c:extLst xmlns:c16r2="http://schemas.microsoft.com/office/drawing/2015/06/chart">
            <c:ext xmlns:c16="http://schemas.microsoft.com/office/drawing/2014/chart" uri="{C3380CC4-5D6E-409C-BE32-E72D297353CC}">
              <c16:uniqueId val="{00000002-7A41-4066-AE2A-91E0509883C1}"/>
            </c:ext>
          </c:extLst>
        </c:ser>
        <c:ser>
          <c:idx val="3"/>
          <c:order val="3"/>
          <c:tx>
            <c:v>RSI MACD low</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PT_result_demark!$B$2:$B$6</c:f>
              <c:numCache>
                <c:formatCode>General</c:formatCode>
                <c:ptCount val="5"/>
                <c:pt idx="0">
                  <c:v>1</c:v>
                </c:pt>
                <c:pt idx="1">
                  <c:v>2</c:v>
                </c:pt>
                <c:pt idx="2">
                  <c:v>5</c:v>
                </c:pt>
                <c:pt idx="3">
                  <c:v>10</c:v>
                </c:pt>
                <c:pt idx="4">
                  <c:v>20</c:v>
                </c:pt>
              </c:numCache>
            </c:numRef>
          </c:xVal>
          <c:yVal>
            <c:numRef>
              <c:f>PT_result_demark!$J$2:$J$6</c:f>
              <c:numCache>
                <c:formatCode>0.0%</c:formatCode>
                <c:ptCount val="5"/>
                <c:pt idx="0">
                  <c:v>-4.1450650795969398E-4</c:v>
                </c:pt>
                <c:pt idx="1">
                  <c:v>-3.1181516319065701E-4</c:v>
                </c:pt>
                <c:pt idx="2">
                  <c:v>1.29555815210436E-3</c:v>
                </c:pt>
                <c:pt idx="3">
                  <c:v>1.89191782785352E-3</c:v>
                </c:pt>
                <c:pt idx="4">
                  <c:v>6.7461807743029603E-3</c:v>
                </c:pt>
              </c:numCache>
            </c:numRef>
          </c:yVal>
          <c:smooth val="0"/>
          <c:extLst xmlns:c16r2="http://schemas.microsoft.com/office/drawing/2015/06/chart">
            <c:ext xmlns:c16="http://schemas.microsoft.com/office/drawing/2014/chart" uri="{C3380CC4-5D6E-409C-BE32-E72D297353CC}">
              <c16:uniqueId val="{00000003-7A41-4066-AE2A-91E0509883C1}"/>
            </c:ext>
          </c:extLst>
        </c:ser>
        <c:ser>
          <c:idx val="4"/>
          <c:order val="4"/>
          <c:tx>
            <c:v>RSI MACD mean</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PT_result_demark!$B$2:$B$6</c:f>
              <c:numCache>
                <c:formatCode>General</c:formatCode>
                <c:ptCount val="5"/>
                <c:pt idx="0">
                  <c:v>1</c:v>
                </c:pt>
                <c:pt idx="1">
                  <c:v>2</c:v>
                </c:pt>
                <c:pt idx="2">
                  <c:v>5</c:v>
                </c:pt>
                <c:pt idx="3">
                  <c:v>10</c:v>
                </c:pt>
                <c:pt idx="4">
                  <c:v>20</c:v>
                </c:pt>
              </c:numCache>
            </c:numRef>
          </c:xVal>
          <c:yVal>
            <c:numRef>
              <c:f>PT_result_demark!$K$2:$K$6</c:f>
              <c:numCache>
                <c:formatCode>0.0%</c:formatCode>
                <c:ptCount val="5"/>
                <c:pt idx="0">
                  <c:v>2.7977635420924898E-4</c:v>
                </c:pt>
                <c:pt idx="1">
                  <c:v>9.9256297151092596E-4</c:v>
                </c:pt>
                <c:pt idx="2">
                  <c:v>3.23853050195399E-3</c:v>
                </c:pt>
                <c:pt idx="3">
                  <c:v>4.8707483414562203E-3</c:v>
                </c:pt>
                <c:pt idx="4">
                  <c:v>1.0655771594573499E-2</c:v>
                </c:pt>
              </c:numCache>
            </c:numRef>
          </c:yVal>
          <c:smooth val="0"/>
          <c:extLst xmlns:c16r2="http://schemas.microsoft.com/office/drawing/2015/06/chart">
            <c:ext xmlns:c16="http://schemas.microsoft.com/office/drawing/2014/chart" uri="{C3380CC4-5D6E-409C-BE32-E72D297353CC}">
              <c16:uniqueId val="{00000004-7A41-4066-AE2A-91E0509883C1}"/>
            </c:ext>
          </c:extLst>
        </c:ser>
        <c:ser>
          <c:idx val="5"/>
          <c:order val="5"/>
          <c:tx>
            <c:v>RSI MACD high</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PT_result_demark!$B$2:$B$6</c:f>
              <c:numCache>
                <c:formatCode>General</c:formatCode>
                <c:ptCount val="5"/>
                <c:pt idx="0">
                  <c:v>1</c:v>
                </c:pt>
                <c:pt idx="1">
                  <c:v>2</c:v>
                </c:pt>
                <c:pt idx="2">
                  <c:v>5</c:v>
                </c:pt>
                <c:pt idx="3">
                  <c:v>10</c:v>
                </c:pt>
                <c:pt idx="4">
                  <c:v>20</c:v>
                </c:pt>
              </c:numCache>
            </c:numRef>
          </c:xVal>
          <c:yVal>
            <c:numRef>
              <c:f>PT_result_demark!$L$2:$L$6</c:f>
              <c:numCache>
                <c:formatCode>0.0%</c:formatCode>
                <c:ptCount val="5"/>
                <c:pt idx="0">
                  <c:v>1.1737048806624E-3</c:v>
                </c:pt>
                <c:pt idx="1">
                  <c:v>2.0904321381741801E-3</c:v>
                </c:pt>
                <c:pt idx="2">
                  <c:v>5.23234307292628E-3</c:v>
                </c:pt>
                <c:pt idx="3">
                  <c:v>7.5178868424674097E-3</c:v>
                </c:pt>
                <c:pt idx="4">
                  <c:v>1.41219215471212E-2</c:v>
                </c:pt>
              </c:numCache>
            </c:numRef>
          </c:yVal>
          <c:smooth val="0"/>
          <c:extLst xmlns:c16r2="http://schemas.microsoft.com/office/drawing/2015/06/chart">
            <c:ext xmlns:c16="http://schemas.microsoft.com/office/drawing/2014/chart" uri="{C3380CC4-5D6E-409C-BE32-E72D297353CC}">
              <c16:uniqueId val="{00000005-7A41-4066-AE2A-91E0509883C1}"/>
            </c:ext>
          </c:extLst>
        </c:ser>
        <c:dLbls>
          <c:showLegendKey val="0"/>
          <c:showVal val="0"/>
          <c:showCatName val="0"/>
          <c:showSerName val="0"/>
          <c:showPercent val="0"/>
          <c:showBubbleSize val="0"/>
        </c:dLbls>
        <c:axId val="354218384"/>
        <c:axId val="176901224"/>
      </c:scatterChart>
      <c:valAx>
        <c:axId val="35421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01224"/>
        <c:crosses val="autoZero"/>
        <c:crossBetween val="midCat"/>
      </c:valAx>
      <c:valAx>
        <c:axId val="1769012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18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DeMark Setup Day 6</a:t>
            </a:r>
            <a:r>
              <a:rPr lang="en-US" baseline="0">
                <a:solidFill>
                  <a:srgbClr val="FF0000"/>
                </a:solidFill>
              </a:rPr>
              <a:t> </a:t>
            </a:r>
            <a:r>
              <a:rPr lang="en-US" baseline="0"/>
              <a:t>vs </a:t>
            </a:r>
            <a:r>
              <a:rPr lang="en-US" baseline="0">
                <a:solidFill>
                  <a:srgbClr val="0070C0"/>
                </a:solidFill>
              </a:rPr>
              <a:t>Random Returns </a:t>
            </a:r>
            <a:r>
              <a:rPr lang="en-US" baseline="0"/>
              <a:t>Distributions with Increasing Holding period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58059930008749"/>
          <c:y val="0.1787085514834206"/>
          <c:w val="0.77363845144356957"/>
          <c:h val="0.47686605928185677"/>
        </c:manualLayout>
      </c:layout>
      <c:lineChart>
        <c:grouping val="standard"/>
        <c:varyColors val="0"/>
        <c:ser>
          <c:idx val="1"/>
          <c:order val="1"/>
          <c:tx>
            <c:v>rand_low</c:v>
          </c:tx>
          <c:spPr>
            <a:ln w="28575" cap="rnd">
              <a:solidFill>
                <a:srgbClr val="00B0F0"/>
              </a:solidFill>
              <a:round/>
            </a:ln>
            <a:effectLst/>
          </c:spPr>
          <c:marker>
            <c:symbol val="none"/>
          </c:marker>
          <c:cat>
            <c:numRef>
              <c:f>PT_result_demark!$B$32:$B$36</c:f>
              <c:numCache>
                <c:formatCode>General</c:formatCode>
                <c:ptCount val="5"/>
                <c:pt idx="0">
                  <c:v>1</c:v>
                </c:pt>
                <c:pt idx="1">
                  <c:v>2</c:v>
                </c:pt>
                <c:pt idx="2">
                  <c:v>5</c:v>
                </c:pt>
                <c:pt idx="3">
                  <c:v>10</c:v>
                </c:pt>
                <c:pt idx="4">
                  <c:v>20</c:v>
                </c:pt>
              </c:numCache>
            </c:numRef>
          </c:cat>
          <c:val>
            <c:numRef>
              <c:f>PT_result_demark!$G$32:$G$36</c:f>
              <c:numCache>
                <c:formatCode>0.0%</c:formatCode>
                <c:ptCount val="5"/>
                <c:pt idx="0">
                  <c:v>-5.1105142134212395E-4</c:v>
                </c:pt>
                <c:pt idx="1">
                  <c:v>-3.6427027248146299E-4</c:v>
                </c:pt>
                <c:pt idx="2">
                  <c:v>2.0405917412114099E-4</c:v>
                </c:pt>
                <c:pt idx="3">
                  <c:v>1.4495557049489501E-3</c:v>
                </c:pt>
                <c:pt idx="4">
                  <c:v>4.3285096071647997E-3</c:v>
                </c:pt>
              </c:numCache>
            </c:numRef>
          </c:val>
          <c:smooth val="0"/>
          <c:extLst xmlns:c16r2="http://schemas.microsoft.com/office/drawing/2015/06/chart">
            <c:ext xmlns:c16="http://schemas.microsoft.com/office/drawing/2014/chart" uri="{C3380CC4-5D6E-409C-BE32-E72D297353CC}">
              <c16:uniqueId val="{00000000-1AE2-45EF-8B8B-7562D8FFF31B}"/>
            </c:ext>
          </c:extLst>
        </c:ser>
        <c:ser>
          <c:idx val="2"/>
          <c:order val="2"/>
          <c:tx>
            <c:v>rand_mean</c:v>
          </c:tx>
          <c:spPr>
            <a:ln w="28575" cap="rnd">
              <a:solidFill>
                <a:srgbClr val="00B0F0"/>
              </a:solidFill>
              <a:round/>
            </a:ln>
            <a:effectLst/>
          </c:spPr>
          <c:marker>
            <c:symbol val="none"/>
          </c:marker>
          <c:cat>
            <c:numRef>
              <c:f>PT_result_demark!$B$32:$B$36</c:f>
              <c:numCache>
                <c:formatCode>General</c:formatCode>
                <c:ptCount val="5"/>
                <c:pt idx="0">
                  <c:v>1</c:v>
                </c:pt>
                <c:pt idx="1">
                  <c:v>2</c:v>
                </c:pt>
                <c:pt idx="2">
                  <c:v>5</c:v>
                </c:pt>
                <c:pt idx="3">
                  <c:v>10</c:v>
                </c:pt>
                <c:pt idx="4">
                  <c:v>20</c:v>
                </c:pt>
              </c:numCache>
            </c:numRef>
          </c:cat>
          <c:val>
            <c:numRef>
              <c:f>PT_result_demark!$H$32:$H$36</c:f>
              <c:numCache>
                <c:formatCode>0.0%</c:formatCode>
                <c:ptCount val="5"/>
                <c:pt idx="0">
                  <c:v>4.0181924877392999E-4</c:v>
                </c:pt>
                <c:pt idx="1">
                  <c:v>8.0944818016646296E-4</c:v>
                </c:pt>
                <c:pt idx="2">
                  <c:v>2.02155571353059E-3</c:v>
                </c:pt>
                <c:pt idx="3">
                  <c:v>3.9211577186629796E-3</c:v>
                </c:pt>
                <c:pt idx="4">
                  <c:v>7.8025858145981102E-3</c:v>
                </c:pt>
              </c:numCache>
            </c:numRef>
          </c:val>
          <c:smooth val="0"/>
          <c:extLst xmlns:c16r2="http://schemas.microsoft.com/office/drawing/2015/06/chart">
            <c:ext xmlns:c16="http://schemas.microsoft.com/office/drawing/2014/chart" uri="{C3380CC4-5D6E-409C-BE32-E72D297353CC}">
              <c16:uniqueId val="{00000001-1AE2-45EF-8B8B-7562D8FFF31B}"/>
            </c:ext>
          </c:extLst>
        </c:ser>
        <c:ser>
          <c:idx val="3"/>
          <c:order val="3"/>
          <c:tx>
            <c:v>rand_high</c:v>
          </c:tx>
          <c:spPr>
            <a:ln w="28575" cap="rnd">
              <a:solidFill>
                <a:srgbClr val="00B0F0"/>
              </a:solidFill>
              <a:round/>
            </a:ln>
            <a:effectLst/>
          </c:spPr>
          <c:marker>
            <c:symbol val="none"/>
          </c:marker>
          <c:cat>
            <c:numRef>
              <c:f>PT_result_demark!$B$32:$B$36</c:f>
              <c:numCache>
                <c:formatCode>General</c:formatCode>
                <c:ptCount val="5"/>
                <c:pt idx="0">
                  <c:v>1</c:v>
                </c:pt>
                <c:pt idx="1">
                  <c:v>2</c:v>
                </c:pt>
                <c:pt idx="2">
                  <c:v>5</c:v>
                </c:pt>
                <c:pt idx="3">
                  <c:v>10</c:v>
                </c:pt>
                <c:pt idx="4">
                  <c:v>20</c:v>
                </c:pt>
              </c:numCache>
            </c:numRef>
          </c:cat>
          <c:val>
            <c:numRef>
              <c:f>PT_result_demark!$I$32:$I$36</c:f>
              <c:numCache>
                <c:formatCode>0.0%</c:formatCode>
                <c:ptCount val="5"/>
                <c:pt idx="0">
                  <c:v>1.21255073040138E-3</c:v>
                </c:pt>
                <c:pt idx="1">
                  <c:v>1.9551930300759001E-3</c:v>
                </c:pt>
                <c:pt idx="2">
                  <c:v>4.0743280151775496E-3</c:v>
                </c:pt>
                <c:pt idx="3">
                  <c:v>6.46843642302369E-3</c:v>
                </c:pt>
                <c:pt idx="4">
                  <c:v>1.13165548533911E-2</c:v>
                </c:pt>
              </c:numCache>
            </c:numRef>
          </c:val>
          <c:smooth val="0"/>
          <c:extLst xmlns:c16r2="http://schemas.microsoft.com/office/drawing/2015/06/chart">
            <c:ext xmlns:c16="http://schemas.microsoft.com/office/drawing/2014/chart" uri="{C3380CC4-5D6E-409C-BE32-E72D297353CC}">
              <c16:uniqueId val="{00000002-1AE2-45EF-8B8B-7562D8FFF31B}"/>
            </c:ext>
          </c:extLst>
        </c:ser>
        <c:ser>
          <c:idx val="4"/>
          <c:order val="4"/>
          <c:tx>
            <c:v>Setup6 Low</c:v>
          </c:tx>
          <c:spPr>
            <a:ln w="28575" cap="rnd">
              <a:solidFill>
                <a:srgbClr val="FF0000"/>
              </a:solidFill>
              <a:round/>
            </a:ln>
            <a:effectLst/>
          </c:spPr>
          <c:marker>
            <c:symbol val="none"/>
          </c:marker>
          <c:cat>
            <c:numRef>
              <c:f>PT_result_demark!$B$32:$B$36</c:f>
              <c:numCache>
                <c:formatCode>General</c:formatCode>
                <c:ptCount val="5"/>
                <c:pt idx="0">
                  <c:v>1</c:v>
                </c:pt>
                <c:pt idx="1">
                  <c:v>2</c:v>
                </c:pt>
                <c:pt idx="2">
                  <c:v>5</c:v>
                </c:pt>
                <c:pt idx="3">
                  <c:v>10</c:v>
                </c:pt>
                <c:pt idx="4">
                  <c:v>20</c:v>
                </c:pt>
              </c:numCache>
            </c:numRef>
          </c:cat>
          <c:val>
            <c:numRef>
              <c:f>PT_result_demark!$J$32:$J$36</c:f>
              <c:numCache>
                <c:formatCode>0.0%</c:formatCode>
                <c:ptCount val="5"/>
                <c:pt idx="0">
                  <c:v>1.2863980159264E-3</c:v>
                </c:pt>
                <c:pt idx="1">
                  <c:v>1.3529430532106201E-3</c:v>
                </c:pt>
                <c:pt idx="2">
                  <c:v>3.3866730191418502E-3</c:v>
                </c:pt>
                <c:pt idx="3">
                  <c:v>5.6899378108651198E-3</c:v>
                </c:pt>
                <c:pt idx="4">
                  <c:v>8.9280109366230501E-3</c:v>
                </c:pt>
              </c:numCache>
            </c:numRef>
          </c:val>
          <c:smooth val="0"/>
          <c:extLst xmlns:c16r2="http://schemas.microsoft.com/office/drawing/2015/06/chart">
            <c:ext xmlns:c16="http://schemas.microsoft.com/office/drawing/2014/chart" uri="{C3380CC4-5D6E-409C-BE32-E72D297353CC}">
              <c16:uniqueId val="{00000003-1AE2-45EF-8B8B-7562D8FFF31B}"/>
            </c:ext>
          </c:extLst>
        </c:ser>
        <c:ser>
          <c:idx val="5"/>
          <c:order val="5"/>
          <c:tx>
            <c:v>Setup6 Mean</c:v>
          </c:tx>
          <c:spPr>
            <a:ln w="28575" cap="rnd">
              <a:solidFill>
                <a:srgbClr val="FF0000"/>
              </a:solidFill>
              <a:round/>
            </a:ln>
            <a:effectLst/>
          </c:spPr>
          <c:marker>
            <c:symbol val="none"/>
          </c:marker>
          <c:cat>
            <c:numRef>
              <c:f>PT_result_demark!$B$32:$B$36</c:f>
              <c:numCache>
                <c:formatCode>General</c:formatCode>
                <c:ptCount val="5"/>
                <c:pt idx="0">
                  <c:v>1</c:v>
                </c:pt>
                <c:pt idx="1">
                  <c:v>2</c:v>
                </c:pt>
                <c:pt idx="2">
                  <c:v>5</c:v>
                </c:pt>
                <c:pt idx="3">
                  <c:v>10</c:v>
                </c:pt>
                <c:pt idx="4">
                  <c:v>20</c:v>
                </c:pt>
              </c:numCache>
            </c:numRef>
          </c:cat>
          <c:val>
            <c:numRef>
              <c:f>PT_result_demark!$K$32:$K$36</c:f>
              <c:numCache>
                <c:formatCode>0.0%</c:formatCode>
                <c:ptCount val="5"/>
                <c:pt idx="0">
                  <c:v>2.3221422251839298E-3</c:v>
                </c:pt>
                <c:pt idx="1">
                  <c:v>2.7282651793723001E-3</c:v>
                </c:pt>
                <c:pt idx="2">
                  <c:v>5.4870093202026796E-3</c:v>
                </c:pt>
                <c:pt idx="3">
                  <c:v>8.6603669824596597E-3</c:v>
                </c:pt>
                <c:pt idx="4">
                  <c:v>1.30418242986263E-2</c:v>
                </c:pt>
              </c:numCache>
            </c:numRef>
          </c:val>
          <c:smooth val="0"/>
          <c:extLst xmlns:c16r2="http://schemas.microsoft.com/office/drawing/2015/06/chart">
            <c:ext xmlns:c16="http://schemas.microsoft.com/office/drawing/2014/chart" uri="{C3380CC4-5D6E-409C-BE32-E72D297353CC}">
              <c16:uniqueId val="{00000004-1AE2-45EF-8B8B-7562D8FFF31B}"/>
            </c:ext>
          </c:extLst>
        </c:ser>
        <c:ser>
          <c:idx val="6"/>
          <c:order val="6"/>
          <c:tx>
            <c:v>Setup6 High</c:v>
          </c:tx>
          <c:spPr>
            <a:ln w="28575" cap="rnd">
              <a:solidFill>
                <a:srgbClr val="FF0000"/>
              </a:solidFill>
              <a:round/>
            </a:ln>
            <a:effectLst/>
          </c:spPr>
          <c:marker>
            <c:symbol val="none"/>
          </c:marker>
          <c:cat>
            <c:numRef>
              <c:f>PT_result_demark!$B$32:$B$36</c:f>
              <c:numCache>
                <c:formatCode>General</c:formatCode>
                <c:ptCount val="5"/>
                <c:pt idx="0">
                  <c:v>1</c:v>
                </c:pt>
                <c:pt idx="1">
                  <c:v>2</c:v>
                </c:pt>
                <c:pt idx="2">
                  <c:v>5</c:v>
                </c:pt>
                <c:pt idx="3">
                  <c:v>10</c:v>
                </c:pt>
                <c:pt idx="4">
                  <c:v>20</c:v>
                </c:pt>
              </c:numCache>
            </c:numRef>
          </c:cat>
          <c:val>
            <c:numRef>
              <c:f>PT_result_demark!$L$32:$L$36</c:f>
              <c:numCache>
                <c:formatCode>0.0%</c:formatCode>
                <c:ptCount val="5"/>
                <c:pt idx="0">
                  <c:v>3.2708115247149501E-3</c:v>
                </c:pt>
                <c:pt idx="1">
                  <c:v>4.1193523391744504E-3</c:v>
                </c:pt>
                <c:pt idx="2">
                  <c:v>7.6542318922255496E-3</c:v>
                </c:pt>
                <c:pt idx="3">
                  <c:v>1.15494155073338E-2</c:v>
                </c:pt>
                <c:pt idx="4">
                  <c:v>1.7417745041979401E-2</c:v>
                </c:pt>
              </c:numCache>
            </c:numRef>
          </c:val>
          <c:smooth val="0"/>
          <c:extLst xmlns:c16r2="http://schemas.microsoft.com/office/drawing/2015/06/chart">
            <c:ext xmlns:c16="http://schemas.microsoft.com/office/drawing/2014/chart" uri="{C3380CC4-5D6E-409C-BE32-E72D297353CC}">
              <c16:uniqueId val="{00000005-1AE2-45EF-8B8B-7562D8FFF31B}"/>
            </c:ext>
          </c:extLst>
        </c:ser>
        <c:dLbls>
          <c:showLegendKey val="0"/>
          <c:showVal val="0"/>
          <c:showCatName val="0"/>
          <c:showSerName val="0"/>
          <c:showPercent val="0"/>
          <c:showBubbleSize val="0"/>
        </c:dLbls>
        <c:smooth val="0"/>
        <c:axId val="176900048"/>
        <c:axId val="176900440"/>
        <c:extLst xmlns:c16r2="http://schemas.microsoft.com/office/drawing/2015/06/chart">
          <c:ext xmlns:c15="http://schemas.microsoft.com/office/drawing/2012/chart" uri="{02D57815-91ED-43cb-92C2-25804820EDAC}">
            <c15:filteredLineSeries>
              <c15:ser>
                <c:idx val="0"/>
                <c:order val="0"/>
                <c:spPr>
                  <a:ln w="28575" cap="rnd">
                    <a:solidFill>
                      <a:srgbClr val="00B0F0"/>
                    </a:solidFill>
                    <a:round/>
                  </a:ln>
                  <a:effectLst/>
                </c:spPr>
                <c:marker>
                  <c:symbol val="none"/>
                </c:marker>
                <c:cat>
                  <c:numRef>
                    <c:extLst xmlns:c16r2="http://schemas.microsoft.com/office/drawing/2015/06/chart">
                      <c:ext uri="{02D57815-91ED-43cb-92C2-25804820EDAC}">
                        <c15:formulaRef>
                          <c15:sqref>PT_result_demark!$B$32:$B$36</c15:sqref>
                        </c15:formulaRef>
                      </c:ext>
                    </c:extLst>
                    <c:numCache>
                      <c:formatCode>General</c:formatCode>
                      <c:ptCount val="5"/>
                      <c:pt idx="0">
                        <c:v>1</c:v>
                      </c:pt>
                      <c:pt idx="1">
                        <c:v>2</c:v>
                      </c:pt>
                      <c:pt idx="2">
                        <c:v>5</c:v>
                      </c:pt>
                      <c:pt idx="3">
                        <c:v>10</c:v>
                      </c:pt>
                      <c:pt idx="4">
                        <c:v>20</c:v>
                      </c:pt>
                    </c:numCache>
                  </c:numRef>
                </c:cat>
                <c:val>
                  <c:numRef>
                    <c:extLst xmlns:c16r2="http://schemas.microsoft.com/office/drawing/2015/06/chart">
                      <c:ext uri="{02D57815-91ED-43cb-92C2-25804820EDAC}">
                        <c15:formulaRef>
                          <c15:sqref>PT_result_demark!$B$32:$B$36</c15:sqref>
                        </c15:formulaRef>
                      </c:ext>
                    </c:extLst>
                    <c:numCache>
                      <c:formatCode>General</c:formatCode>
                      <c:ptCount val="5"/>
                      <c:pt idx="0">
                        <c:v>1</c:v>
                      </c:pt>
                      <c:pt idx="1">
                        <c:v>2</c:v>
                      </c:pt>
                      <c:pt idx="2">
                        <c:v>5</c:v>
                      </c:pt>
                      <c:pt idx="3">
                        <c:v>10</c:v>
                      </c:pt>
                      <c:pt idx="4">
                        <c:v>20</c:v>
                      </c:pt>
                    </c:numCache>
                  </c:numRef>
                </c:val>
                <c:smooth val="0"/>
                <c:extLst xmlns:c16r2="http://schemas.microsoft.com/office/drawing/2015/06/chart">
                  <c:ext xmlns:c16="http://schemas.microsoft.com/office/drawing/2014/chart" uri="{C3380CC4-5D6E-409C-BE32-E72D297353CC}">
                    <c16:uniqueId val="{00000006-1AE2-45EF-8B8B-7562D8FFF31B}"/>
                  </c:ext>
                </c:extLst>
              </c15:ser>
            </c15:filteredLineSeries>
          </c:ext>
        </c:extLst>
      </c:lineChart>
      <c:catAx>
        <c:axId val="176900048"/>
        <c:scaling>
          <c:orientation val="minMax"/>
        </c:scaling>
        <c:delete val="0"/>
        <c:axPos val="b"/>
        <c:numFmt formatCode="General" sourceLinked="1"/>
        <c:majorTickMark val="none"/>
        <c:minorTickMark val="none"/>
        <c:tickLblPos val="nextTo"/>
        <c:spPr>
          <a:noFill/>
          <a:ln w="9525" cap="flat" cmpd="sng" algn="ctr">
            <a:solidFill>
              <a:schemeClr val="tx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00440"/>
        <c:crosses val="autoZero"/>
        <c:auto val="1"/>
        <c:lblAlgn val="ctr"/>
        <c:lblOffset val="100"/>
        <c:noMultiLvlLbl val="0"/>
      </c:catAx>
      <c:valAx>
        <c:axId val="176900440"/>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000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Demark Setup Day 9 </a:t>
            </a:r>
            <a:r>
              <a:rPr lang="en-US"/>
              <a:t>vs </a:t>
            </a:r>
            <a:r>
              <a:rPr lang="en-US">
                <a:solidFill>
                  <a:srgbClr val="0070C0"/>
                </a:solidFill>
              </a:rPr>
              <a:t>Random</a:t>
            </a:r>
            <a:r>
              <a:rPr lang="en-US"/>
              <a:t> Returns Distribution</a:t>
            </a:r>
            <a:r>
              <a:rPr lang="en-US" baseline="0"/>
              <a:t> with Increasing Holding Period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917104111986"/>
          <c:y val="0.16712962962962963"/>
          <c:w val="0.77363845144356957"/>
          <c:h val="0.38065799066783318"/>
        </c:manualLayout>
      </c:layout>
      <c:lineChart>
        <c:grouping val="standard"/>
        <c:varyColors val="0"/>
        <c:ser>
          <c:idx val="1"/>
          <c:order val="1"/>
          <c:tx>
            <c:v>rand low</c:v>
          </c:tx>
          <c:spPr>
            <a:ln w="28575" cap="rnd">
              <a:solidFill>
                <a:srgbClr val="0070C0"/>
              </a:solidFill>
              <a:round/>
            </a:ln>
            <a:effectLst/>
          </c:spPr>
          <c:marker>
            <c:symbol val="none"/>
          </c:marker>
          <c:cat>
            <c:numRef>
              <c:f>PT_result_demark!$B$37:$B$41</c:f>
              <c:numCache>
                <c:formatCode>General</c:formatCode>
                <c:ptCount val="5"/>
                <c:pt idx="0">
                  <c:v>1</c:v>
                </c:pt>
                <c:pt idx="1">
                  <c:v>2</c:v>
                </c:pt>
                <c:pt idx="2">
                  <c:v>5</c:v>
                </c:pt>
                <c:pt idx="3">
                  <c:v>10</c:v>
                </c:pt>
                <c:pt idx="4">
                  <c:v>20</c:v>
                </c:pt>
              </c:numCache>
            </c:numRef>
          </c:cat>
          <c:val>
            <c:numRef>
              <c:f>PT_result_demark!$G$37:$G$41</c:f>
              <c:numCache>
                <c:formatCode>0.0%</c:formatCode>
                <c:ptCount val="5"/>
                <c:pt idx="0">
                  <c:v>-1.11052585317664E-3</c:v>
                </c:pt>
                <c:pt idx="1">
                  <c:v>-1.1341353660232799E-3</c:v>
                </c:pt>
                <c:pt idx="2">
                  <c:v>-7.7095460930325598E-4</c:v>
                </c:pt>
                <c:pt idx="3">
                  <c:v>-5.6154977460040004E-4</c:v>
                </c:pt>
                <c:pt idx="4">
                  <c:v>1.73428892097222E-3</c:v>
                </c:pt>
              </c:numCache>
            </c:numRef>
          </c:val>
          <c:smooth val="0"/>
          <c:extLst xmlns:c16r2="http://schemas.microsoft.com/office/drawing/2015/06/chart">
            <c:ext xmlns:c16="http://schemas.microsoft.com/office/drawing/2014/chart" uri="{C3380CC4-5D6E-409C-BE32-E72D297353CC}">
              <c16:uniqueId val="{00000000-985E-48A4-A0BC-627795C5E8AE}"/>
            </c:ext>
          </c:extLst>
        </c:ser>
        <c:ser>
          <c:idx val="2"/>
          <c:order val="2"/>
          <c:tx>
            <c:v>rand mean</c:v>
          </c:tx>
          <c:spPr>
            <a:ln w="28575" cap="rnd">
              <a:solidFill>
                <a:srgbClr val="0070C0"/>
              </a:solidFill>
              <a:round/>
            </a:ln>
            <a:effectLst/>
          </c:spPr>
          <c:marker>
            <c:symbol val="none"/>
          </c:marker>
          <c:cat>
            <c:numRef>
              <c:f>PT_result_demark!$B$37:$B$41</c:f>
              <c:numCache>
                <c:formatCode>General</c:formatCode>
                <c:ptCount val="5"/>
                <c:pt idx="0">
                  <c:v>1</c:v>
                </c:pt>
                <c:pt idx="1">
                  <c:v>2</c:v>
                </c:pt>
                <c:pt idx="2">
                  <c:v>5</c:v>
                </c:pt>
                <c:pt idx="3">
                  <c:v>10</c:v>
                </c:pt>
                <c:pt idx="4">
                  <c:v>20</c:v>
                </c:pt>
              </c:numCache>
            </c:numRef>
          </c:cat>
          <c:val>
            <c:numRef>
              <c:f>PT_result_demark!$H$37:$H$41</c:f>
              <c:numCache>
                <c:formatCode>0.0%</c:formatCode>
                <c:ptCount val="5"/>
                <c:pt idx="0">
                  <c:v>4.0181924877392999E-4</c:v>
                </c:pt>
                <c:pt idx="1">
                  <c:v>8.0944818016646296E-4</c:v>
                </c:pt>
                <c:pt idx="2">
                  <c:v>2.02155571353059E-3</c:v>
                </c:pt>
                <c:pt idx="3">
                  <c:v>3.9211577186629796E-3</c:v>
                </c:pt>
                <c:pt idx="4">
                  <c:v>7.8025858145981102E-3</c:v>
                </c:pt>
              </c:numCache>
            </c:numRef>
          </c:val>
          <c:smooth val="0"/>
          <c:extLst xmlns:c16r2="http://schemas.microsoft.com/office/drawing/2015/06/chart">
            <c:ext xmlns:c16="http://schemas.microsoft.com/office/drawing/2014/chart" uri="{C3380CC4-5D6E-409C-BE32-E72D297353CC}">
              <c16:uniqueId val="{00000001-985E-48A4-A0BC-627795C5E8AE}"/>
            </c:ext>
          </c:extLst>
        </c:ser>
        <c:ser>
          <c:idx val="3"/>
          <c:order val="3"/>
          <c:tx>
            <c:v>rand high</c:v>
          </c:tx>
          <c:spPr>
            <a:ln w="28575" cap="rnd">
              <a:solidFill>
                <a:srgbClr val="0070C0"/>
              </a:solidFill>
              <a:round/>
            </a:ln>
            <a:effectLst/>
          </c:spPr>
          <c:marker>
            <c:symbol val="none"/>
          </c:marker>
          <c:cat>
            <c:numRef>
              <c:f>PT_result_demark!$B$37:$B$41</c:f>
              <c:numCache>
                <c:formatCode>General</c:formatCode>
                <c:ptCount val="5"/>
                <c:pt idx="0">
                  <c:v>1</c:v>
                </c:pt>
                <c:pt idx="1">
                  <c:v>2</c:v>
                </c:pt>
                <c:pt idx="2">
                  <c:v>5</c:v>
                </c:pt>
                <c:pt idx="3">
                  <c:v>10</c:v>
                </c:pt>
                <c:pt idx="4">
                  <c:v>20</c:v>
                </c:pt>
              </c:numCache>
            </c:numRef>
          </c:cat>
          <c:val>
            <c:numRef>
              <c:f>PT_result_demark!$I$37:$I$41</c:f>
              <c:numCache>
                <c:formatCode>0.0%</c:formatCode>
                <c:ptCount val="5"/>
                <c:pt idx="0">
                  <c:v>1.9517103567745599E-3</c:v>
                </c:pt>
                <c:pt idx="1">
                  <c:v>2.8403092238185402E-3</c:v>
                </c:pt>
                <c:pt idx="2">
                  <c:v>5.0399083249790004E-3</c:v>
                </c:pt>
                <c:pt idx="3">
                  <c:v>7.8856335487843907E-3</c:v>
                </c:pt>
                <c:pt idx="4">
                  <c:v>1.42398687569878E-2</c:v>
                </c:pt>
              </c:numCache>
            </c:numRef>
          </c:val>
          <c:smooth val="0"/>
          <c:extLst xmlns:c16r2="http://schemas.microsoft.com/office/drawing/2015/06/chart">
            <c:ext xmlns:c16="http://schemas.microsoft.com/office/drawing/2014/chart" uri="{C3380CC4-5D6E-409C-BE32-E72D297353CC}">
              <c16:uniqueId val="{00000002-985E-48A4-A0BC-627795C5E8AE}"/>
            </c:ext>
          </c:extLst>
        </c:ser>
        <c:ser>
          <c:idx val="4"/>
          <c:order val="4"/>
          <c:tx>
            <c:v>Setup9 low</c:v>
          </c:tx>
          <c:spPr>
            <a:ln w="28575" cap="rnd">
              <a:solidFill>
                <a:srgbClr val="FF0000"/>
              </a:solidFill>
              <a:round/>
            </a:ln>
            <a:effectLst/>
          </c:spPr>
          <c:marker>
            <c:symbol val="none"/>
          </c:marker>
          <c:cat>
            <c:numRef>
              <c:f>PT_result_demark!$B$37:$B$41</c:f>
              <c:numCache>
                <c:formatCode>General</c:formatCode>
                <c:ptCount val="5"/>
                <c:pt idx="0">
                  <c:v>1</c:v>
                </c:pt>
                <c:pt idx="1">
                  <c:v>2</c:v>
                </c:pt>
                <c:pt idx="2">
                  <c:v>5</c:v>
                </c:pt>
                <c:pt idx="3">
                  <c:v>10</c:v>
                </c:pt>
                <c:pt idx="4">
                  <c:v>20</c:v>
                </c:pt>
              </c:numCache>
            </c:numRef>
          </c:cat>
          <c:val>
            <c:numRef>
              <c:f>PT_result_demark!$J$37:$J$41</c:f>
              <c:numCache>
                <c:formatCode>0.0%</c:formatCode>
                <c:ptCount val="5"/>
                <c:pt idx="0">
                  <c:v>-3.8905163259001998E-4</c:v>
                </c:pt>
                <c:pt idx="1">
                  <c:v>-2.8541451589428102E-4</c:v>
                </c:pt>
                <c:pt idx="2">
                  <c:v>2.35411407449194E-3</c:v>
                </c:pt>
                <c:pt idx="3">
                  <c:v>-7.67087171653288E-4</c:v>
                </c:pt>
                <c:pt idx="4">
                  <c:v>5.0874111063011901E-3</c:v>
                </c:pt>
              </c:numCache>
            </c:numRef>
          </c:val>
          <c:smooth val="0"/>
          <c:extLst xmlns:c16r2="http://schemas.microsoft.com/office/drawing/2015/06/chart">
            <c:ext xmlns:c16="http://schemas.microsoft.com/office/drawing/2014/chart" uri="{C3380CC4-5D6E-409C-BE32-E72D297353CC}">
              <c16:uniqueId val="{00000003-985E-48A4-A0BC-627795C5E8AE}"/>
            </c:ext>
          </c:extLst>
        </c:ser>
        <c:ser>
          <c:idx val="5"/>
          <c:order val="5"/>
          <c:tx>
            <c:v>Setup9 mean</c:v>
          </c:tx>
          <c:spPr>
            <a:ln w="28575" cap="rnd">
              <a:solidFill>
                <a:srgbClr val="FF0000"/>
              </a:solidFill>
              <a:round/>
            </a:ln>
            <a:effectLst/>
          </c:spPr>
          <c:marker>
            <c:symbol val="none"/>
          </c:marker>
          <c:cat>
            <c:numRef>
              <c:f>PT_result_demark!$B$37:$B$41</c:f>
              <c:numCache>
                <c:formatCode>General</c:formatCode>
                <c:ptCount val="5"/>
                <c:pt idx="0">
                  <c:v>1</c:v>
                </c:pt>
                <c:pt idx="1">
                  <c:v>2</c:v>
                </c:pt>
                <c:pt idx="2">
                  <c:v>5</c:v>
                </c:pt>
                <c:pt idx="3">
                  <c:v>10</c:v>
                </c:pt>
                <c:pt idx="4">
                  <c:v>20</c:v>
                </c:pt>
              </c:numCache>
            </c:numRef>
          </c:cat>
          <c:val>
            <c:numRef>
              <c:f>PT_result_demark!$K$37:$K$41</c:f>
              <c:numCache>
                <c:formatCode>0.0%</c:formatCode>
                <c:ptCount val="5"/>
                <c:pt idx="0">
                  <c:v>1.75001430180186E-3</c:v>
                </c:pt>
                <c:pt idx="1">
                  <c:v>1.84671441321566E-3</c:v>
                </c:pt>
                <c:pt idx="2">
                  <c:v>5.9624894393541699E-3</c:v>
                </c:pt>
                <c:pt idx="3">
                  <c:v>4.0129000367427996E-3</c:v>
                </c:pt>
                <c:pt idx="4">
                  <c:v>1.13435124643504E-2</c:v>
                </c:pt>
              </c:numCache>
            </c:numRef>
          </c:val>
          <c:smooth val="0"/>
          <c:extLst xmlns:c16r2="http://schemas.microsoft.com/office/drawing/2015/06/chart">
            <c:ext xmlns:c16="http://schemas.microsoft.com/office/drawing/2014/chart" uri="{C3380CC4-5D6E-409C-BE32-E72D297353CC}">
              <c16:uniqueId val="{00000004-985E-48A4-A0BC-627795C5E8AE}"/>
            </c:ext>
          </c:extLst>
        </c:ser>
        <c:ser>
          <c:idx val="6"/>
          <c:order val="6"/>
          <c:tx>
            <c:v>Setup9 high</c:v>
          </c:tx>
          <c:spPr>
            <a:ln w="28575" cap="rnd">
              <a:solidFill>
                <a:srgbClr val="FF0000"/>
              </a:solidFill>
              <a:round/>
            </a:ln>
            <a:effectLst/>
          </c:spPr>
          <c:marker>
            <c:symbol val="none"/>
          </c:marker>
          <c:cat>
            <c:numRef>
              <c:f>PT_result_demark!$B$37:$B$41</c:f>
              <c:numCache>
                <c:formatCode>General</c:formatCode>
                <c:ptCount val="5"/>
                <c:pt idx="0">
                  <c:v>1</c:v>
                </c:pt>
                <c:pt idx="1">
                  <c:v>2</c:v>
                </c:pt>
                <c:pt idx="2">
                  <c:v>5</c:v>
                </c:pt>
                <c:pt idx="3">
                  <c:v>10</c:v>
                </c:pt>
                <c:pt idx="4">
                  <c:v>20</c:v>
                </c:pt>
              </c:numCache>
            </c:numRef>
          </c:cat>
          <c:val>
            <c:numRef>
              <c:f>PT_result_demark!$L$37:$L$41</c:f>
              <c:numCache>
                <c:formatCode>0.0%</c:formatCode>
                <c:ptCount val="5"/>
                <c:pt idx="0">
                  <c:v>4.0267096593287798E-3</c:v>
                </c:pt>
                <c:pt idx="1">
                  <c:v>3.7386087230397301E-3</c:v>
                </c:pt>
                <c:pt idx="2">
                  <c:v>9.49635579048504E-3</c:v>
                </c:pt>
                <c:pt idx="3">
                  <c:v>8.5130017187261108E-3</c:v>
                </c:pt>
                <c:pt idx="4">
                  <c:v>1.67659071849494E-2</c:v>
                </c:pt>
              </c:numCache>
            </c:numRef>
          </c:val>
          <c:smooth val="0"/>
          <c:extLst xmlns:c16r2="http://schemas.microsoft.com/office/drawing/2015/06/chart">
            <c:ext xmlns:c16="http://schemas.microsoft.com/office/drawing/2014/chart" uri="{C3380CC4-5D6E-409C-BE32-E72D297353CC}">
              <c16:uniqueId val="{00000005-985E-48A4-A0BC-627795C5E8AE}"/>
            </c:ext>
          </c:extLst>
        </c:ser>
        <c:dLbls>
          <c:showLegendKey val="0"/>
          <c:showVal val="0"/>
          <c:showCatName val="0"/>
          <c:showSerName val="0"/>
          <c:showPercent val="0"/>
          <c:showBubbleSize val="0"/>
        </c:dLbls>
        <c:smooth val="0"/>
        <c:axId val="329175376"/>
        <c:axId val="329175768"/>
        <c:extLst xmlns:c16r2="http://schemas.microsoft.com/office/drawing/2015/06/chart">
          <c:ext xmlns:c15="http://schemas.microsoft.com/office/drawing/2012/chart" uri="{02D57815-91ED-43cb-92C2-25804820EDAC}">
            <c15:filteredLineSeries>
              <c15:ser>
                <c:idx val="0"/>
                <c:order val="0"/>
                <c:tx>
                  <c:strRef>
                    <c:extLst xmlns:c16r2="http://schemas.microsoft.com/office/drawing/2015/06/chart">
                      <c:ext uri="{02D57815-91ED-43cb-92C2-25804820EDAC}">
                        <c15:formulaRef>
                          <c15:sqref>PT_result_demark!$A$37:$A$41</c15:sqref>
                        </c15:formulaRef>
                      </c:ext>
                    </c:extLst>
                    <c:strCache>
                      <c:ptCount val="5"/>
                      <c:pt idx="0">
                        <c:v>demark-setup9 buy 1day</c:v>
                      </c:pt>
                      <c:pt idx="1">
                        <c:v>demark-setup9 buy 2day</c:v>
                      </c:pt>
                      <c:pt idx="2">
                        <c:v>demark-setup9 buy 1wk</c:v>
                      </c:pt>
                      <c:pt idx="3">
                        <c:v>demark-setup9 buy 2wk</c:v>
                      </c:pt>
                      <c:pt idx="4">
                        <c:v>demark-setup9 buy 1mo</c:v>
                      </c:pt>
                    </c:strCache>
                  </c:strRef>
                </c:tx>
                <c:spPr>
                  <a:ln w="28575" cap="rnd">
                    <a:solidFill>
                      <a:srgbClr val="00B0F0"/>
                    </a:solidFill>
                    <a:round/>
                  </a:ln>
                  <a:effectLst/>
                </c:spPr>
                <c:marker>
                  <c:symbol val="none"/>
                </c:marker>
                <c:cat>
                  <c:numRef>
                    <c:extLst xmlns:c16r2="http://schemas.microsoft.com/office/drawing/2015/06/chart">
                      <c:ext uri="{02D57815-91ED-43cb-92C2-25804820EDAC}">
                        <c15:formulaRef>
                          <c15:sqref>PT_result_demark!$B$37:$B$41</c15:sqref>
                        </c15:formulaRef>
                      </c:ext>
                    </c:extLst>
                    <c:numCache>
                      <c:formatCode>General</c:formatCode>
                      <c:ptCount val="5"/>
                      <c:pt idx="0">
                        <c:v>1</c:v>
                      </c:pt>
                      <c:pt idx="1">
                        <c:v>2</c:v>
                      </c:pt>
                      <c:pt idx="2">
                        <c:v>5</c:v>
                      </c:pt>
                      <c:pt idx="3">
                        <c:v>10</c:v>
                      </c:pt>
                      <c:pt idx="4">
                        <c:v>20</c:v>
                      </c:pt>
                    </c:numCache>
                  </c:numRef>
                </c:cat>
                <c:val>
                  <c:numRef>
                    <c:extLst xmlns:c16r2="http://schemas.microsoft.com/office/drawing/2015/06/chart">
                      <c:ext uri="{02D57815-91ED-43cb-92C2-25804820EDAC}">
                        <c15:formulaRef>
                          <c15:sqref>PT_result_demark!$B$37:$B$41</c15:sqref>
                        </c15:formulaRef>
                      </c:ext>
                    </c:extLst>
                    <c:numCache>
                      <c:formatCode>General</c:formatCode>
                      <c:ptCount val="5"/>
                      <c:pt idx="0">
                        <c:v>1</c:v>
                      </c:pt>
                      <c:pt idx="1">
                        <c:v>2</c:v>
                      </c:pt>
                      <c:pt idx="2">
                        <c:v>5</c:v>
                      </c:pt>
                      <c:pt idx="3">
                        <c:v>10</c:v>
                      </c:pt>
                      <c:pt idx="4">
                        <c:v>20</c:v>
                      </c:pt>
                    </c:numCache>
                  </c:numRef>
                </c:val>
                <c:smooth val="0"/>
                <c:extLst xmlns:c16r2="http://schemas.microsoft.com/office/drawing/2015/06/chart">
                  <c:ext xmlns:c16="http://schemas.microsoft.com/office/drawing/2014/chart" uri="{C3380CC4-5D6E-409C-BE32-E72D297353CC}">
                    <c16:uniqueId val="{00000006-985E-48A4-A0BC-627795C5E8AE}"/>
                  </c:ext>
                </c:extLst>
              </c15:ser>
            </c15:filteredLineSeries>
          </c:ext>
        </c:extLst>
      </c:lineChart>
      <c:catAx>
        <c:axId val="329175376"/>
        <c:scaling>
          <c:orientation val="minMax"/>
        </c:scaling>
        <c:delete val="0"/>
        <c:axPos val="b"/>
        <c:numFmt formatCode="General" sourceLinked="1"/>
        <c:majorTickMark val="none"/>
        <c:minorTickMark val="none"/>
        <c:tickLblPos val="nextTo"/>
        <c:spPr>
          <a:noFill/>
          <a:ln w="9525" cap="flat" cmpd="sng" algn="ctr">
            <a:solidFill>
              <a:schemeClr val="tx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175768"/>
        <c:crosses val="autoZero"/>
        <c:auto val="1"/>
        <c:lblAlgn val="ctr"/>
        <c:lblOffset val="100"/>
        <c:noMultiLvlLbl val="0"/>
      </c:catAx>
      <c:valAx>
        <c:axId val="329175768"/>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175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0248B72B9A44428179CFF0D7194E3F"/>
        <w:category>
          <w:name w:val="General"/>
          <w:gallery w:val="placeholder"/>
        </w:category>
        <w:types>
          <w:type w:val="bbPlcHdr"/>
        </w:types>
        <w:behaviors>
          <w:behavior w:val="content"/>
        </w:behaviors>
        <w:guid w:val="{072C5D4C-9B47-49E1-BDF5-1166F145CF2C}"/>
      </w:docPartPr>
      <w:docPartBody>
        <w:p w:rsidR="00123E66" w:rsidRDefault="00A9632F">
          <w:pPr>
            <w:pStyle w:val="7F0248B72B9A44428179CFF0D7194E3F"/>
          </w:pPr>
          <w:r>
            <w:t>[Title Here, up to 12 Words, on One to Two Lines]</w:t>
          </w:r>
        </w:p>
      </w:docPartBody>
    </w:docPart>
    <w:docPart>
      <w:docPartPr>
        <w:name w:val="AEE916EF49EB46B488C4E9C6B804CDFE"/>
        <w:category>
          <w:name w:val="General"/>
          <w:gallery w:val="placeholder"/>
        </w:category>
        <w:types>
          <w:type w:val="bbPlcHdr"/>
        </w:types>
        <w:behaviors>
          <w:behavior w:val="content"/>
        </w:behaviors>
        <w:guid w:val="{EE3AB952-77C5-4E2E-92BA-7ABA100BE753}"/>
      </w:docPartPr>
      <w:docPartBody>
        <w:p w:rsidR="00123E66" w:rsidRDefault="00A9632F">
          <w:pPr>
            <w:pStyle w:val="AEE916EF49EB46B488C4E9C6B804CDFE"/>
          </w:pPr>
          <w:r>
            <w:t>Abstract</w:t>
          </w:r>
        </w:p>
      </w:docPartBody>
    </w:docPart>
    <w:docPart>
      <w:docPartPr>
        <w:name w:val="2B8F194437F24F01B67C06D5BA27CC87"/>
        <w:category>
          <w:name w:val="General"/>
          <w:gallery w:val="placeholder"/>
        </w:category>
        <w:types>
          <w:type w:val="bbPlcHdr"/>
        </w:types>
        <w:behaviors>
          <w:behavior w:val="content"/>
        </w:behaviors>
        <w:guid w:val="{3B963087-BD50-4029-AFB9-9381C41E81F8}"/>
      </w:docPartPr>
      <w:docPartBody>
        <w:p w:rsidR="00123E66" w:rsidRDefault="00A9632F">
          <w:pPr>
            <w:pStyle w:val="2B8F194437F24F01B67C06D5BA27CC87"/>
          </w:pPr>
          <w:r>
            <w:t>[Title Here, up to 12 Words, on One to Two Lines]</w:t>
          </w:r>
        </w:p>
      </w:docPartBody>
    </w:docPart>
    <w:docPart>
      <w:docPartPr>
        <w:name w:val="21EBCD7A70EE4CA78649EB96CFBDA5BC"/>
        <w:category>
          <w:name w:val="General"/>
          <w:gallery w:val="placeholder"/>
        </w:category>
        <w:types>
          <w:type w:val="bbPlcHdr"/>
        </w:types>
        <w:behaviors>
          <w:behavior w:val="content"/>
        </w:behaviors>
        <w:guid w:val="{71C9CFAA-15E6-4D0C-900F-5ED2601253D7}"/>
      </w:docPartPr>
      <w:docPartBody>
        <w:p w:rsidR="00123E66" w:rsidRDefault="00A9632F">
          <w:pPr>
            <w:pStyle w:val="21EBCD7A70EE4CA78649EB96CFBDA5B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FBX10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2F"/>
    <w:rsid w:val="00123E66"/>
    <w:rsid w:val="008A1058"/>
    <w:rsid w:val="00992695"/>
    <w:rsid w:val="00A9632F"/>
    <w:rsid w:val="00C326E4"/>
    <w:rsid w:val="00CD423A"/>
    <w:rsid w:val="00E44279"/>
    <w:rsid w:val="00F0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248B72B9A44428179CFF0D7194E3F">
    <w:name w:val="7F0248B72B9A44428179CFF0D7194E3F"/>
  </w:style>
  <w:style w:type="paragraph" w:customStyle="1" w:styleId="4DDC9D95C7344CF48A482995911FEB65">
    <w:name w:val="4DDC9D95C7344CF48A482995911FEB65"/>
  </w:style>
  <w:style w:type="paragraph" w:customStyle="1" w:styleId="A88B01D6DDD64BCF9D9C2E5A0F65E412">
    <w:name w:val="A88B01D6DDD64BCF9D9C2E5A0F65E412"/>
  </w:style>
  <w:style w:type="paragraph" w:customStyle="1" w:styleId="4C0484165D7F4E48A994BF3512FE0BA5">
    <w:name w:val="4C0484165D7F4E48A994BF3512FE0BA5"/>
  </w:style>
  <w:style w:type="paragraph" w:customStyle="1" w:styleId="7C7166D1B7854F469EEB44AC620EBD31">
    <w:name w:val="7C7166D1B7854F469EEB44AC620EBD31"/>
  </w:style>
  <w:style w:type="paragraph" w:customStyle="1" w:styleId="AEE916EF49EB46B488C4E9C6B804CDFE">
    <w:name w:val="AEE916EF49EB46B488C4E9C6B804CDFE"/>
  </w:style>
  <w:style w:type="character" w:styleId="Emphasis">
    <w:name w:val="Emphasis"/>
    <w:basedOn w:val="DefaultParagraphFont"/>
    <w:uiPriority w:val="4"/>
    <w:unhideWhenUsed/>
    <w:qFormat/>
    <w:rPr>
      <w:i/>
      <w:iCs/>
    </w:rPr>
  </w:style>
  <w:style w:type="paragraph" w:customStyle="1" w:styleId="5016FB3CF0694CF9B07AA659817A8D72">
    <w:name w:val="5016FB3CF0694CF9B07AA659817A8D72"/>
  </w:style>
  <w:style w:type="paragraph" w:customStyle="1" w:styleId="F0A4B361787545A18BE6E75ADD7C6B7C">
    <w:name w:val="F0A4B361787545A18BE6E75ADD7C6B7C"/>
  </w:style>
  <w:style w:type="paragraph" w:customStyle="1" w:styleId="2B8F194437F24F01B67C06D5BA27CC87">
    <w:name w:val="2B8F194437F24F01B67C06D5BA27CC87"/>
  </w:style>
  <w:style w:type="paragraph" w:customStyle="1" w:styleId="5721FC7F9A524F25AAB8DF0DB15B921F">
    <w:name w:val="5721FC7F9A524F25AAB8DF0DB15B921F"/>
  </w:style>
  <w:style w:type="paragraph" w:customStyle="1" w:styleId="DA34021809C74B18A4C25CA7E7D7E324">
    <w:name w:val="DA34021809C74B18A4C25CA7E7D7E324"/>
  </w:style>
  <w:style w:type="paragraph" w:customStyle="1" w:styleId="0AB432C452F04B8DB350F18ED7FB3EE0">
    <w:name w:val="0AB432C452F04B8DB350F18ED7FB3EE0"/>
  </w:style>
  <w:style w:type="paragraph" w:customStyle="1" w:styleId="9CA9B38809FF48A6A5463CE8C5895A1F">
    <w:name w:val="9CA9B38809FF48A6A5463CE8C5895A1F"/>
  </w:style>
  <w:style w:type="paragraph" w:customStyle="1" w:styleId="C02B20C1149C4D2D9F1C346F7533B62B">
    <w:name w:val="C02B20C1149C4D2D9F1C346F7533B62B"/>
  </w:style>
  <w:style w:type="paragraph" w:customStyle="1" w:styleId="478FC9A5361447FFA06FB35CE7C410C3">
    <w:name w:val="478FC9A5361447FFA06FB35CE7C410C3"/>
  </w:style>
  <w:style w:type="paragraph" w:customStyle="1" w:styleId="6C419C6ACF51451D888D8DC301458DF1">
    <w:name w:val="6C419C6ACF51451D888D8DC301458DF1"/>
  </w:style>
  <w:style w:type="paragraph" w:customStyle="1" w:styleId="4F6B21AF57734BA1947589D947E5796A">
    <w:name w:val="4F6B21AF57734BA1947589D947E5796A"/>
  </w:style>
  <w:style w:type="paragraph" w:customStyle="1" w:styleId="5E09C4269894481EBC988BE5DA071D6F">
    <w:name w:val="5E09C4269894481EBC988BE5DA071D6F"/>
  </w:style>
  <w:style w:type="paragraph" w:customStyle="1" w:styleId="42E46A89A8CC4D4382085C24ED86B7E2">
    <w:name w:val="42E46A89A8CC4D4382085C24ED86B7E2"/>
  </w:style>
  <w:style w:type="paragraph" w:customStyle="1" w:styleId="DA326C558DCD4FF795B33F6DFAFB01A5">
    <w:name w:val="DA326C558DCD4FF795B33F6DFAFB01A5"/>
  </w:style>
  <w:style w:type="paragraph" w:customStyle="1" w:styleId="9345B00DBC8F4930A4214312002E8371">
    <w:name w:val="9345B00DBC8F4930A4214312002E8371"/>
  </w:style>
  <w:style w:type="paragraph" w:customStyle="1" w:styleId="8FECA24B7B8843BC85B844DDD4B82CB8">
    <w:name w:val="8FECA24B7B8843BC85B844DDD4B82CB8"/>
  </w:style>
  <w:style w:type="paragraph" w:customStyle="1" w:styleId="D8E9DCDD510944D783D3380521008526">
    <w:name w:val="D8E9DCDD510944D783D3380521008526"/>
  </w:style>
  <w:style w:type="paragraph" w:customStyle="1" w:styleId="635CCE9C99864D759131B6F17EE1E190">
    <w:name w:val="635CCE9C99864D759131B6F17EE1E190"/>
  </w:style>
  <w:style w:type="paragraph" w:customStyle="1" w:styleId="8E95E5822EC6445DAC993DEDA700C019">
    <w:name w:val="8E95E5822EC6445DAC993DEDA700C019"/>
  </w:style>
  <w:style w:type="paragraph" w:customStyle="1" w:styleId="C7276E29C0DE44E6B6299ABE6D5031D2">
    <w:name w:val="C7276E29C0DE44E6B6299ABE6D5031D2"/>
  </w:style>
  <w:style w:type="paragraph" w:customStyle="1" w:styleId="C4A4A304D1DE4D2BA7D03CCDFD9887C0">
    <w:name w:val="C4A4A304D1DE4D2BA7D03CCDFD9887C0"/>
  </w:style>
  <w:style w:type="paragraph" w:customStyle="1" w:styleId="5849EAA588B545D1BE7F08F74D61C74B">
    <w:name w:val="5849EAA588B545D1BE7F08F74D61C74B"/>
  </w:style>
  <w:style w:type="paragraph" w:customStyle="1" w:styleId="42144803A3814CC6AE719744E5E26A63">
    <w:name w:val="42144803A3814CC6AE719744E5E26A63"/>
  </w:style>
  <w:style w:type="paragraph" w:customStyle="1" w:styleId="4146B1F5ECF04802A75B51ADA534EA58">
    <w:name w:val="4146B1F5ECF04802A75B51ADA534EA58"/>
  </w:style>
  <w:style w:type="paragraph" w:customStyle="1" w:styleId="B78421FA83514C259564DCB142106248">
    <w:name w:val="B78421FA83514C259564DCB142106248"/>
  </w:style>
  <w:style w:type="paragraph" w:customStyle="1" w:styleId="3CB1CD7B895B49A4849F5E65E9915BB0">
    <w:name w:val="3CB1CD7B895B49A4849F5E65E9915BB0"/>
  </w:style>
  <w:style w:type="paragraph" w:customStyle="1" w:styleId="0F674669995D424A92A97FE485DB945C">
    <w:name w:val="0F674669995D424A92A97FE485DB945C"/>
  </w:style>
  <w:style w:type="paragraph" w:customStyle="1" w:styleId="EE3E59D656C34278ABC4AA2674B30843">
    <w:name w:val="EE3E59D656C34278ABC4AA2674B30843"/>
  </w:style>
  <w:style w:type="paragraph" w:customStyle="1" w:styleId="4FE6577FE0C8495EADD8D9256D30C550">
    <w:name w:val="4FE6577FE0C8495EADD8D9256D30C550"/>
  </w:style>
  <w:style w:type="paragraph" w:customStyle="1" w:styleId="2653EF0189EB42F9978AEBA808849680">
    <w:name w:val="2653EF0189EB42F9978AEBA808849680"/>
  </w:style>
  <w:style w:type="paragraph" w:customStyle="1" w:styleId="26842801EAD44B789A09ECFF6960C669">
    <w:name w:val="26842801EAD44B789A09ECFF6960C669"/>
  </w:style>
  <w:style w:type="paragraph" w:customStyle="1" w:styleId="725DD739CDA04FF181662416DE6CD009">
    <w:name w:val="725DD739CDA04FF181662416DE6CD009"/>
  </w:style>
  <w:style w:type="paragraph" w:customStyle="1" w:styleId="39F0F012C4A64F4DBBD9349514802A7C">
    <w:name w:val="39F0F012C4A64F4DBBD9349514802A7C"/>
  </w:style>
  <w:style w:type="paragraph" w:customStyle="1" w:styleId="EE381C6E3C2C4A1E99CE26EAC99DBC59">
    <w:name w:val="EE381C6E3C2C4A1E99CE26EAC99DBC59"/>
  </w:style>
  <w:style w:type="paragraph" w:customStyle="1" w:styleId="859A910AE5D743F1BDBD2208C2811499">
    <w:name w:val="859A910AE5D743F1BDBD2208C2811499"/>
  </w:style>
  <w:style w:type="paragraph" w:customStyle="1" w:styleId="D3B4C724BB614C91B8A66A02EE7B1DAA">
    <w:name w:val="D3B4C724BB614C91B8A66A02EE7B1DAA"/>
  </w:style>
  <w:style w:type="paragraph" w:customStyle="1" w:styleId="BF9B6507AFA944159DFF5DDBE113CDD2">
    <w:name w:val="BF9B6507AFA944159DFF5DDBE113CDD2"/>
  </w:style>
  <w:style w:type="paragraph" w:customStyle="1" w:styleId="0BB2439AB0744006B66471DBD29B52BD">
    <w:name w:val="0BB2439AB0744006B66471DBD29B52BD"/>
  </w:style>
  <w:style w:type="paragraph" w:customStyle="1" w:styleId="1D7C6FFE4B904670BDE731CA961D12A1">
    <w:name w:val="1D7C6FFE4B904670BDE731CA961D12A1"/>
  </w:style>
  <w:style w:type="paragraph" w:customStyle="1" w:styleId="6470DAD1C28D4BC591079C2554E00BA4">
    <w:name w:val="6470DAD1C28D4BC591079C2554E00BA4"/>
  </w:style>
  <w:style w:type="paragraph" w:customStyle="1" w:styleId="1E6A692925E441508EDD22C1DE8D19A9">
    <w:name w:val="1E6A692925E441508EDD22C1DE8D19A9"/>
  </w:style>
  <w:style w:type="paragraph" w:customStyle="1" w:styleId="AFB0890396DE47CAB2F42D5436D3C953">
    <w:name w:val="AFB0890396DE47CAB2F42D5436D3C953"/>
  </w:style>
  <w:style w:type="paragraph" w:customStyle="1" w:styleId="270E0A061D7F4F448FFB907F18E50E75">
    <w:name w:val="270E0A061D7F4F448FFB907F18E50E75"/>
  </w:style>
  <w:style w:type="paragraph" w:customStyle="1" w:styleId="F1453DC7E6C34DFE811DF61A5765BADA">
    <w:name w:val="F1453DC7E6C34DFE811DF61A5765BADA"/>
  </w:style>
  <w:style w:type="paragraph" w:customStyle="1" w:styleId="8372A480D20B49F4ACBA3C72AF479864">
    <w:name w:val="8372A480D20B49F4ACBA3C72AF479864"/>
  </w:style>
  <w:style w:type="paragraph" w:customStyle="1" w:styleId="C2AAF662CECA4E98A2033ED6E22FB947">
    <w:name w:val="C2AAF662CECA4E98A2033ED6E22FB947"/>
  </w:style>
  <w:style w:type="paragraph" w:customStyle="1" w:styleId="6B8ABC0B8F51429CBB428723A66A30BC">
    <w:name w:val="6B8ABC0B8F51429CBB428723A66A30BC"/>
  </w:style>
  <w:style w:type="paragraph" w:customStyle="1" w:styleId="087CAAAD780342DF925DDADFF9FBC6E7">
    <w:name w:val="087CAAAD780342DF925DDADFF9FBC6E7"/>
  </w:style>
  <w:style w:type="paragraph" w:customStyle="1" w:styleId="F58D579A13674F7BA146743525CB6104">
    <w:name w:val="F58D579A13674F7BA146743525CB6104"/>
  </w:style>
  <w:style w:type="paragraph" w:customStyle="1" w:styleId="DB1C6ED1B0CC4DA885245E7AD924B180">
    <w:name w:val="DB1C6ED1B0CC4DA885245E7AD924B180"/>
  </w:style>
  <w:style w:type="paragraph" w:customStyle="1" w:styleId="066057888BEE463087A8AE9E3586021C">
    <w:name w:val="066057888BEE463087A8AE9E3586021C"/>
  </w:style>
  <w:style w:type="paragraph" w:customStyle="1" w:styleId="79EF7F2CF8B3408A850C6708DF032E9A">
    <w:name w:val="79EF7F2CF8B3408A850C6708DF032E9A"/>
  </w:style>
  <w:style w:type="paragraph" w:customStyle="1" w:styleId="1760EC733537404FA0557BCDA375F3E3">
    <w:name w:val="1760EC733537404FA0557BCDA375F3E3"/>
  </w:style>
  <w:style w:type="paragraph" w:customStyle="1" w:styleId="DD3D6FD129BF4F4E8808A9278849765D">
    <w:name w:val="DD3D6FD129BF4F4E8808A9278849765D"/>
  </w:style>
  <w:style w:type="paragraph" w:customStyle="1" w:styleId="7804D39851A143B6A1359286194858B5">
    <w:name w:val="7804D39851A143B6A1359286194858B5"/>
  </w:style>
  <w:style w:type="paragraph" w:customStyle="1" w:styleId="21EBCD7A70EE4CA78649EB96CFBDA5BC">
    <w:name w:val="21EBCD7A70EE4CA78649EB96CFBDA5BC"/>
  </w:style>
  <w:style w:type="paragraph" w:customStyle="1" w:styleId="FBFA3521C2BA41829E3E2BE444669F67">
    <w:name w:val="FBFA3521C2BA41829E3E2BE444669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Market Timing Portfolio Performance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A11551-0A56-482D-B70C-9D6A77EC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23</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Market Timing Portfolio Performance 
using Technical Indicators RSI, MACD and TD DeMark</vt:lpstr>
    </vt:vector>
  </TitlesOfParts>
  <Company/>
  <LinksUpToDate>false</LinksUpToDate>
  <CharactersWithSpaces>22135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Timing Portfolio Performance 
using Technical Indicators RSI, MACD and TD DeMark</dc:title>
  <dc:subject/>
  <dc:creator>Samsung</dc:creator>
  <cp:keywords/>
  <dc:description/>
  <cp:lastModifiedBy>Samsung</cp:lastModifiedBy>
  <cp:revision>2</cp:revision>
  <dcterms:created xsi:type="dcterms:W3CDTF">2016-12-20T05:56:00Z</dcterms:created>
  <dcterms:modified xsi:type="dcterms:W3CDTF">2016-12-20T05:56:00Z</dcterms:modified>
</cp:coreProperties>
</file>