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235722" w:rsidRDefault="0056792F" w:rsidP="00BB7FF5">
      <w:pPr>
        <w:pStyle w:val="Headingnon-numbered"/>
        <w:rPr>
          <w:sz w:val="28"/>
          <w:szCs w:val="28"/>
        </w:rPr>
      </w:pPr>
      <w:r>
        <w:rPr>
          <w:noProof/>
        </w:rPr>
        <w:drawing>
          <wp:anchor distT="0" distB="0" distL="114300" distR="114300" simplePos="0" relativeHeight="251666432" behindDoc="0" locked="0" layoutInCell="1" allowOverlap="1" wp14:anchorId="37A561A5" wp14:editId="5E9FD7D2">
            <wp:simplePos x="0" y="0"/>
            <wp:positionH relativeFrom="column">
              <wp:posOffset>4828540</wp:posOffset>
            </wp:positionH>
            <wp:positionV relativeFrom="paragraph">
              <wp:posOffset>-125730</wp:posOffset>
            </wp:positionV>
            <wp:extent cx="1522095" cy="314706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topex_poseidon.png"/>
                    <pic:cNvPicPr/>
                  </pic:nvPicPr>
                  <pic:blipFill rotWithShape="1">
                    <a:blip r:embed="rId9">
                      <a:extLst>
                        <a:ext uri="{28A0092B-C50C-407E-A947-70E740481C1C}">
                          <a14:useLocalDpi xmlns:a14="http://schemas.microsoft.com/office/drawing/2010/main" val="0"/>
                        </a:ext>
                      </a:extLst>
                    </a:blip>
                    <a:srcRect l="8028" r="46247"/>
                    <a:stretch/>
                  </pic:blipFill>
                  <pic:spPr bwMode="auto">
                    <a:xfrm>
                      <a:off x="0" y="0"/>
                      <a:ext cx="1522095" cy="3147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1AF4" w:rsidRPr="00235722">
        <w:rPr>
          <w:sz w:val="28"/>
          <w:szCs w:val="28"/>
        </w:rPr>
        <w:t>COSPPac Ocean Portal</w:t>
      </w:r>
    </w:p>
    <w:p w:rsidR="00821AF4" w:rsidRPr="00235722" w:rsidRDefault="00821AF4" w:rsidP="006435E7">
      <w:pPr>
        <w:pStyle w:val="Headingnon-numbered"/>
        <w:tabs>
          <w:tab w:val="left" w:pos="7468"/>
        </w:tabs>
        <w:rPr>
          <w:sz w:val="28"/>
          <w:szCs w:val="28"/>
        </w:rPr>
      </w:pPr>
      <w:r w:rsidRPr="00235722">
        <w:rPr>
          <w:sz w:val="28"/>
          <w:szCs w:val="28"/>
        </w:rPr>
        <w:t xml:space="preserve">About: </w:t>
      </w:r>
      <w:r w:rsidR="007A4683">
        <w:rPr>
          <w:sz w:val="28"/>
          <w:szCs w:val="28"/>
        </w:rPr>
        <w:t>Near Real</w:t>
      </w:r>
      <w:r w:rsidR="004E0D06">
        <w:rPr>
          <w:sz w:val="28"/>
          <w:szCs w:val="28"/>
        </w:rPr>
        <w:t>-</w:t>
      </w:r>
      <w:r w:rsidR="007A4683">
        <w:rPr>
          <w:sz w:val="28"/>
          <w:szCs w:val="28"/>
        </w:rPr>
        <w:t>Time Sea Level</w:t>
      </w:r>
      <w:r w:rsidR="00E57F8D">
        <w:rPr>
          <w:sz w:val="28"/>
          <w:szCs w:val="28"/>
        </w:rPr>
        <w:t xml:space="preserve"> Anomaly</w:t>
      </w:r>
      <w:r w:rsidR="006435E7">
        <w:rPr>
          <w:sz w:val="28"/>
          <w:szCs w:val="28"/>
        </w:rPr>
        <w:tab/>
      </w:r>
    </w:p>
    <w:p w:rsidR="00B35F4A" w:rsidRDefault="00B35F4A" w:rsidP="00B35F4A">
      <w:pPr>
        <w:pStyle w:val="BodyText"/>
        <w:rPr>
          <w:lang w:eastAsia="en-AU"/>
        </w:rPr>
      </w:pPr>
    </w:p>
    <w:p w:rsidR="00B35F4A" w:rsidRPr="00235722" w:rsidRDefault="00B35F4A" w:rsidP="00B35F4A">
      <w:pPr>
        <w:pStyle w:val="Headingnon-numbered"/>
        <w:rPr>
          <w:i/>
        </w:rPr>
      </w:pPr>
      <w:r w:rsidRPr="00235722">
        <w:rPr>
          <w:i/>
        </w:rPr>
        <w:t>In Brief</w:t>
      </w:r>
    </w:p>
    <w:p w:rsidR="004855F1" w:rsidRPr="00235722" w:rsidRDefault="007A4683" w:rsidP="007A4683">
      <w:pPr>
        <w:rPr>
          <w:i/>
        </w:rPr>
      </w:pPr>
      <w:r>
        <w:rPr>
          <w:i/>
        </w:rPr>
        <w:t xml:space="preserve">Daily </w:t>
      </w:r>
      <w:r w:rsidR="005F2BA8">
        <w:rPr>
          <w:i/>
        </w:rPr>
        <w:t xml:space="preserve">and monthly </w:t>
      </w:r>
      <w:r>
        <w:rPr>
          <w:i/>
        </w:rPr>
        <w:t>near real</w:t>
      </w:r>
      <w:r w:rsidR="004E0D06">
        <w:rPr>
          <w:i/>
        </w:rPr>
        <w:t>-</w:t>
      </w:r>
      <w:r>
        <w:rPr>
          <w:i/>
        </w:rPr>
        <w:t xml:space="preserve">time </w:t>
      </w:r>
      <w:r w:rsidR="00B35F4A" w:rsidRPr="00235722">
        <w:rPr>
          <w:i/>
        </w:rPr>
        <w:t xml:space="preserve">sea level </w:t>
      </w:r>
      <w:r w:rsidR="00E57F8D">
        <w:rPr>
          <w:i/>
        </w:rPr>
        <w:t xml:space="preserve">anomaly </w:t>
      </w:r>
      <w:r w:rsidR="00B35F4A" w:rsidRPr="00235722">
        <w:rPr>
          <w:i/>
        </w:rPr>
        <w:t xml:space="preserve">data </w:t>
      </w:r>
      <w:r>
        <w:rPr>
          <w:i/>
        </w:rPr>
        <w:t xml:space="preserve">is </w:t>
      </w:r>
      <w:r w:rsidR="00B35F4A" w:rsidRPr="00235722">
        <w:rPr>
          <w:i/>
        </w:rPr>
        <w:t xml:space="preserve">available from the ocean portal </w:t>
      </w:r>
      <w:r>
        <w:rPr>
          <w:i/>
        </w:rPr>
        <w:t>sourced from</w:t>
      </w:r>
      <w:r w:rsidR="00B35F4A" w:rsidRPr="00235722">
        <w:rPr>
          <w:i/>
        </w:rPr>
        <w:t xml:space="preserve"> </w:t>
      </w:r>
      <w:r w:rsidR="00B35F4A" w:rsidRPr="00235722">
        <w:rPr>
          <w:b/>
          <w:i/>
        </w:rPr>
        <w:t>satellite altimetry</w:t>
      </w:r>
      <w:r>
        <w:rPr>
          <w:i/>
        </w:rPr>
        <w:t xml:space="preserve"> that </w:t>
      </w:r>
      <w:r w:rsidR="004855F1" w:rsidRPr="00235722">
        <w:rPr>
          <w:i/>
        </w:rPr>
        <w:t xml:space="preserve">can be viewed as </w:t>
      </w:r>
      <w:r w:rsidR="004855F1" w:rsidRPr="00235722">
        <w:rPr>
          <w:b/>
          <w:i/>
        </w:rPr>
        <w:t>maps</w:t>
      </w:r>
      <w:r w:rsidR="004855F1" w:rsidRPr="00235722">
        <w:rPr>
          <w:i/>
        </w:rPr>
        <w:t xml:space="preserve"> showing spatial differences in sea level.</w:t>
      </w:r>
      <w:r w:rsidR="00E57F8D">
        <w:rPr>
          <w:i/>
        </w:rPr>
        <w:t xml:space="preserve"> The anomaly shown is with respect to a 20-year average (1993 to 2012).</w:t>
      </w:r>
    </w:p>
    <w:p w:rsidR="00B35F4A" w:rsidRPr="00B35F4A" w:rsidRDefault="00B35F4A" w:rsidP="00B35F4A"/>
    <w:p w:rsidR="00BB7FF5" w:rsidRDefault="00B35F4A" w:rsidP="00B35F4A">
      <w:pPr>
        <w:pStyle w:val="Headingnon-numbered"/>
      </w:pPr>
      <w:r>
        <w:t>Introd</w:t>
      </w:r>
      <w:r w:rsidR="004855F1">
        <w:t>u</w:t>
      </w:r>
      <w:r>
        <w:t>ction</w:t>
      </w:r>
    </w:p>
    <w:p w:rsidR="003036D7" w:rsidRDefault="003036D7" w:rsidP="003036D7">
      <w:r>
        <w:t xml:space="preserve">There are various satellite missions orbiting the earth that measure the ocean surface height via radar. </w:t>
      </w:r>
      <w:r w:rsidR="002D7E2F">
        <w:t>There are</w:t>
      </w:r>
      <w:r w:rsidR="00175879">
        <w:t xml:space="preserve"> presently</w:t>
      </w:r>
      <w:r w:rsidR="002D7E2F">
        <w:t xml:space="preserve"> four satellite m</w:t>
      </w:r>
      <w:r>
        <w:t xml:space="preserve">issions that contribute to the near </w:t>
      </w:r>
      <w:r w:rsidR="004E0D06">
        <w:t>real-time</w:t>
      </w:r>
      <w:r>
        <w:t xml:space="preserve"> sea level anomaly dataset </w:t>
      </w:r>
      <w:r w:rsidR="002D7E2F">
        <w:t>(</w:t>
      </w:r>
      <w:r>
        <w:t xml:space="preserve">HY-2A, </w:t>
      </w:r>
      <w:proofErr w:type="spellStart"/>
      <w:r>
        <w:t>Saral</w:t>
      </w:r>
      <w:proofErr w:type="spellEnd"/>
      <w:r>
        <w:t>/</w:t>
      </w:r>
      <w:proofErr w:type="spellStart"/>
      <w:r>
        <w:t>AltiKa</w:t>
      </w:r>
      <w:proofErr w:type="spellEnd"/>
      <w:r>
        <w:t>, Cryosat-2, Jason-2</w:t>
      </w:r>
      <w:r w:rsidR="002D7E2F">
        <w:t>).</w:t>
      </w:r>
      <w:r>
        <w:t xml:space="preserve"> </w:t>
      </w:r>
      <w:r w:rsidR="002D7E2F">
        <w:t>The satellites</w:t>
      </w:r>
      <w:r>
        <w:t xml:space="preserve"> orbit the earth along different paths</w:t>
      </w:r>
      <w:r w:rsidR="002D7E2F">
        <w:t xml:space="preserve"> (see </w:t>
      </w:r>
      <w:r w:rsidR="002D7E2F">
        <w:fldChar w:fldCharType="begin"/>
      </w:r>
      <w:r w:rsidR="002D7E2F">
        <w:instrText xml:space="preserve"> REF _Ref426550669 \h </w:instrText>
      </w:r>
      <w:r w:rsidR="002D7E2F">
        <w:fldChar w:fldCharType="separate"/>
      </w:r>
      <w:r w:rsidR="00CC4A00">
        <w:t xml:space="preserve">Figure </w:t>
      </w:r>
      <w:r w:rsidR="00CC4A00">
        <w:rPr>
          <w:noProof/>
        </w:rPr>
        <w:t>1</w:t>
      </w:r>
      <w:r w:rsidR="002D7E2F">
        <w:fldChar w:fldCharType="end"/>
      </w:r>
      <w:r w:rsidR="002D7E2F">
        <w:t>)</w:t>
      </w:r>
      <w:r>
        <w:t>, and are merged together on a daily basis to produce a complete gridded sea level anomaly map of the globe.</w:t>
      </w:r>
    </w:p>
    <w:p w:rsidR="002D7E2F" w:rsidRDefault="00B207E4" w:rsidP="00B207E4">
      <w:r>
        <w:t xml:space="preserve">Altimetry measurements need to be corrected for </w:t>
      </w:r>
      <w:r w:rsidR="002D7E2F">
        <w:t>short</w:t>
      </w:r>
      <w:r w:rsidR="00DF226C">
        <w:t>-</w:t>
      </w:r>
      <w:r w:rsidR="002D7E2F">
        <w:t xml:space="preserve">term sea level </w:t>
      </w:r>
      <w:r>
        <w:t xml:space="preserve">signals that </w:t>
      </w:r>
      <w:r w:rsidR="002D7E2F">
        <w:t>cannot be properly resolved due to the temporal and spatial resolution of the orbital tracks. Short</w:t>
      </w:r>
      <w:r w:rsidR="00DF226C">
        <w:t>-</w:t>
      </w:r>
      <w:r w:rsidR="002D7E2F">
        <w:t>term signals</w:t>
      </w:r>
      <w:r w:rsidR="0056792F">
        <w:t xml:space="preserve"> that cause data inconsistency</w:t>
      </w:r>
      <w:r w:rsidR="002D7E2F">
        <w:t xml:space="preserve"> include waves, tides (ocean, earth, polar</w:t>
      </w:r>
      <w:r w:rsidR="00E65FEE">
        <w:t xml:space="preserve"> and loading effects</w:t>
      </w:r>
      <w:r w:rsidR="002D7E2F">
        <w:t xml:space="preserve">), and </w:t>
      </w:r>
      <w:r w:rsidR="0056792F">
        <w:t>effects from atmospheric pressure.</w:t>
      </w:r>
    </w:p>
    <w:p w:rsidR="00705BB1" w:rsidRDefault="00C622F5" w:rsidP="00705BB1">
      <w:r>
        <w:t>Following data corrections, t</w:t>
      </w:r>
      <w:r w:rsidR="00705BB1">
        <w:t>he final sea level dataset is comprised of sea level signals that sustain for periods longer than approximately 20-days</w:t>
      </w:r>
      <w:r w:rsidR="00DF226C">
        <w:t>,</w:t>
      </w:r>
      <w:r w:rsidR="00705BB1">
        <w:t xml:space="preserve"> includ</w:t>
      </w:r>
      <w:r w:rsidR="00DF226C">
        <w:t>ing</w:t>
      </w:r>
      <w:r w:rsidR="00705BB1">
        <w:t xml:space="preserve">: </w:t>
      </w:r>
    </w:p>
    <w:p w:rsidR="00705BB1" w:rsidRDefault="00F75DEA" w:rsidP="00F75DEA">
      <w:pPr>
        <w:pStyle w:val="ListParagraph"/>
      </w:pPr>
      <w:r>
        <w:rPr>
          <w:noProof/>
          <w:lang w:eastAsia="en-AU"/>
        </w:rPr>
        <w:drawing>
          <wp:anchor distT="0" distB="180340" distL="114300" distR="114300" simplePos="0" relativeHeight="251667456" behindDoc="0" locked="0" layoutInCell="1" allowOverlap="1" wp14:anchorId="3A02EB39" wp14:editId="1D06B935">
            <wp:simplePos x="0" y="0"/>
            <wp:positionH relativeFrom="column">
              <wp:posOffset>-128270</wp:posOffset>
            </wp:positionH>
            <wp:positionV relativeFrom="paragraph">
              <wp:posOffset>43180</wp:posOffset>
            </wp:positionV>
            <wp:extent cx="3700780" cy="30308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6250" b="-2775"/>
                    <a:stretch/>
                  </pic:blipFill>
                  <pic:spPr bwMode="auto">
                    <a:xfrm>
                      <a:off x="0" y="0"/>
                      <a:ext cx="3700780" cy="3030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92F" w:rsidRPr="0056792F">
        <w:rPr>
          <w:b/>
        </w:rPr>
        <w:t>W</w:t>
      </w:r>
      <w:r w:rsidR="00705BB1" w:rsidRPr="0056792F">
        <w:rPr>
          <w:b/>
        </w:rPr>
        <w:t>ater mass variations:</w:t>
      </w:r>
      <w:r w:rsidR="00705BB1">
        <w:t xml:space="preserve"> </w:t>
      </w:r>
      <w:r w:rsidR="00080C22">
        <w:t>Increases</w:t>
      </w:r>
      <w:r w:rsidR="00C622F5">
        <w:t xml:space="preserve"> and decreases in the volume of water in the ocean. Increases can be from</w:t>
      </w:r>
      <w:r w:rsidR="00705BB1">
        <w:t xml:space="preserve"> rain over the ocean, run-off from the rivers</w:t>
      </w:r>
      <w:r w:rsidR="00C622F5">
        <w:t xml:space="preserve">, and </w:t>
      </w:r>
      <w:r w:rsidR="00705BB1">
        <w:t>glaciers melting</w:t>
      </w:r>
      <w:r w:rsidR="00C622F5">
        <w:t>. Decreases can occur from</w:t>
      </w:r>
      <w:r w:rsidR="00705BB1">
        <w:t xml:space="preserve"> </w:t>
      </w:r>
      <w:r w:rsidR="00C622F5">
        <w:t xml:space="preserve">less runoff due to </w:t>
      </w:r>
      <w:r w:rsidR="00B62259">
        <w:t xml:space="preserve">construction of new </w:t>
      </w:r>
      <w:r w:rsidR="00705BB1">
        <w:t>artificial reservoirs</w:t>
      </w:r>
      <w:r w:rsidR="00C622F5">
        <w:t>, evaporation,</w:t>
      </w:r>
      <w:r w:rsidR="007F6287">
        <w:t xml:space="preserve"> </w:t>
      </w:r>
      <w:r w:rsidR="00DF226C">
        <w:t xml:space="preserve">increased </w:t>
      </w:r>
      <w:r w:rsidR="007F6287">
        <w:t>precipitation over land</w:t>
      </w:r>
      <w:r w:rsidR="00C622F5">
        <w:t xml:space="preserve"> and </w:t>
      </w:r>
      <w:r w:rsidR="00080C22">
        <w:t>the development of</w:t>
      </w:r>
      <w:r w:rsidR="00C622F5">
        <w:t xml:space="preserve"> glaciers</w:t>
      </w:r>
      <w:r w:rsidR="00080C22">
        <w:t>.</w:t>
      </w:r>
    </w:p>
    <w:p w:rsidR="00F75DEA" w:rsidRDefault="00080C22" w:rsidP="00F75DEA">
      <w:r w:rsidRPr="00F75DEA">
        <w:rPr>
          <w:b/>
        </w:rPr>
        <w:t>Density</w:t>
      </w:r>
      <w:r w:rsidR="00705BB1" w:rsidRPr="00F75DEA">
        <w:rPr>
          <w:b/>
        </w:rPr>
        <w:t xml:space="preserve"> variations:</w:t>
      </w:r>
      <w:r w:rsidR="00705BB1">
        <w:t xml:space="preserve"> </w:t>
      </w:r>
      <w:r w:rsidRPr="00F75DEA">
        <w:rPr>
          <w:lang w:val="en-US"/>
        </w:rPr>
        <w:t xml:space="preserve">Salinity and temperature determine the density or buoyancy of sea water. </w:t>
      </w:r>
      <w:r w:rsidRPr="00F75DEA">
        <w:rPr>
          <w:rFonts w:ascii="Helvetica" w:eastAsia="Arial Unicode MS" w:hAnsi="Arial Unicode MS" w:cs="Arial Unicode MS"/>
        </w:rPr>
        <w:t>Generally in the open ocean, warmer water with a lower salinity (less salty) is less dense and has a higher sea surface height than denser cooler water with a higher salinity.</w:t>
      </w:r>
    </w:p>
    <w:p w:rsidR="00705BB1" w:rsidRDefault="0056792F" w:rsidP="00B62259">
      <w:pPr>
        <w:spacing w:after="0"/>
      </w:pPr>
      <w:r w:rsidRPr="00F75DEA">
        <w:rPr>
          <w:b/>
        </w:rPr>
        <w:t>O</w:t>
      </w:r>
      <w:r w:rsidR="00705BB1" w:rsidRPr="00F75DEA">
        <w:rPr>
          <w:b/>
        </w:rPr>
        <w:t>cean circulation changes:</w:t>
      </w:r>
      <w:r w:rsidR="00705BB1">
        <w:t xml:space="preserve"> </w:t>
      </w:r>
      <w:r w:rsidR="00080C22">
        <w:t>The movement of surface water in the ocean can change the sea level.</w:t>
      </w:r>
    </w:p>
    <w:p w:rsidR="00F75DEA" w:rsidRDefault="00C825A6" w:rsidP="00F75DEA">
      <w:pPr>
        <w:pStyle w:val="Caption"/>
        <w:spacing w:before="0" w:after="0"/>
      </w:pPr>
      <w:bookmarkStart w:id="0" w:name="_Ref426550669"/>
      <w:proofErr w:type="gramStart"/>
      <w:r>
        <w:t xml:space="preserve">Figure </w:t>
      </w:r>
      <w:proofErr w:type="gramEnd"/>
      <w:r>
        <w:fldChar w:fldCharType="begin"/>
      </w:r>
      <w:r>
        <w:instrText xml:space="preserve"> SEQ Figure \* ARABIC </w:instrText>
      </w:r>
      <w:r>
        <w:fldChar w:fldCharType="separate"/>
      </w:r>
      <w:r w:rsidR="00CC4A00">
        <w:rPr>
          <w:noProof/>
        </w:rPr>
        <w:t>1</w:t>
      </w:r>
      <w:r>
        <w:fldChar w:fldCharType="end"/>
      </w:r>
      <w:bookmarkEnd w:id="0"/>
      <w:proofErr w:type="gramStart"/>
      <w:r>
        <w:t>.</w:t>
      </w:r>
      <w:proofErr w:type="gramEnd"/>
      <w:r>
        <w:t xml:space="preserve"> Satellite coverage for the near </w:t>
      </w:r>
      <w:r w:rsidR="004E0D06">
        <w:t>real-time</w:t>
      </w:r>
      <w:r>
        <w:t xml:space="preserve"> sea</w:t>
      </w:r>
      <w:r w:rsidR="00F75DEA">
        <w:t xml:space="preserve"> </w:t>
      </w:r>
      <w:r>
        <w:t xml:space="preserve">level </w:t>
      </w:r>
    </w:p>
    <w:p w:rsidR="00C825A6" w:rsidRDefault="00C825A6" w:rsidP="00F75DEA">
      <w:pPr>
        <w:pStyle w:val="Caption"/>
        <w:spacing w:before="0" w:after="0"/>
      </w:pPr>
      <w:proofErr w:type="gramStart"/>
      <w:r>
        <w:t>dataset</w:t>
      </w:r>
      <w:proofErr w:type="gramEnd"/>
      <w:r>
        <w:t xml:space="preserve"> over a three day period</w:t>
      </w:r>
    </w:p>
    <w:p w:rsidR="00B35F4A" w:rsidRDefault="00B35F4A" w:rsidP="00B27D69">
      <w:pPr>
        <w:pStyle w:val="Headingnon-numbered"/>
        <w:spacing w:before="0"/>
      </w:pPr>
      <w:r>
        <w:lastRenderedPageBreak/>
        <w:t>Using the Portal</w:t>
      </w:r>
    </w:p>
    <w:p w:rsidR="00F74440" w:rsidRDefault="00F74440" w:rsidP="00F74440">
      <w:pPr>
        <w:pStyle w:val="BodyText"/>
        <w:rPr>
          <w:lang w:eastAsia="en-AU"/>
        </w:rPr>
      </w:pPr>
    </w:p>
    <w:p w:rsidR="00F74440" w:rsidRPr="00F74440" w:rsidRDefault="005F2BA8" w:rsidP="005F2BA8">
      <w:pPr>
        <w:pStyle w:val="BodyText"/>
        <w:jc w:val="center"/>
        <w:rPr>
          <w:lang w:eastAsia="en-AU"/>
        </w:rPr>
      </w:pPr>
      <w:r>
        <w:rPr>
          <w:noProof/>
          <w:lang w:eastAsia="en-AU"/>
        </w:rPr>
        <mc:AlternateContent>
          <mc:Choice Requires="wps">
            <w:drawing>
              <wp:anchor distT="0" distB="0" distL="114300" distR="114300" simplePos="0" relativeHeight="251663360" behindDoc="0" locked="0" layoutInCell="1" allowOverlap="1" wp14:anchorId="0F97FFDB" wp14:editId="553F26D6">
                <wp:simplePos x="0" y="0"/>
                <wp:positionH relativeFrom="column">
                  <wp:posOffset>3452495</wp:posOffset>
                </wp:positionH>
                <wp:positionV relativeFrom="paragraph">
                  <wp:posOffset>2400300</wp:posOffset>
                </wp:positionV>
                <wp:extent cx="1860550" cy="499110"/>
                <wp:effectExtent l="419100" t="0" r="25400" b="15240"/>
                <wp:wrapNone/>
                <wp:docPr id="13" name="Rounded Rectangular Callout 13"/>
                <wp:cNvGraphicFramePr/>
                <a:graphic xmlns:a="http://schemas.openxmlformats.org/drawingml/2006/main">
                  <a:graphicData uri="http://schemas.microsoft.com/office/word/2010/wordprocessingShape">
                    <wps:wsp>
                      <wps:cNvSpPr/>
                      <wps:spPr>
                        <a:xfrm>
                          <a:off x="0" y="0"/>
                          <a:ext cx="1860550" cy="499110"/>
                        </a:xfrm>
                        <a:prstGeom prst="wedgeRoundRectCallout">
                          <a:avLst>
                            <a:gd name="adj1" fmla="val -71923"/>
                            <a:gd name="adj2" fmla="val 1678"/>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65FEE" w:rsidRPr="00AD4A1D" w:rsidRDefault="00E65FEE" w:rsidP="00AD4A1D">
                            <w:pPr>
                              <w:spacing w:before="0"/>
                              <w:rPr>
                                <w:color w:val="000000" w:themeColor="text1"/>
                                <w:sz w:val="20"/>
                                <w:szCs w:val="20"/>
                              </w:rPr>
                            </w:pPr>
                            <w:r>
                              <w:rPr>
                                <w:color w:val="000000" w:themeColor="text1"/>
                                <w:sz w:val="20"/>
                                <w:szCs w:val="20"/>
                              </w:rPr>
                              <w:t>(2) A</w:t>
                            </w:r>
                            <w:r w:rsidRPr="00AD4A1D">
                              <w:rPr>
                                <w:color w:val="000000" w:themeColor="text1"/>
                                <w:sz w:val="20"/>
                                <w:szCs w:val="20"/>
                              </w:rPr>
                              <w:t xml:space="preserve"> date (Year and Month) must be selected.</w:t>
                            </w:r>
                          </w:p>
                          <w:p w:rsidR="00E65FEE" w:rsidRPr="00902BB0" w:rsidRDefault="00E65FEE" w:rsidP="007C782D">
                            <w:pPr>
                              <w:spacing w:before="0"/>
                              <w:ind w:left="284"/>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26" type="#_x0000_t62" style="position:absolute;left:0;text-align:left;margin-left:271.85pt;margin-top:189pt;width:146.5pt;height:3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" adj="-4735,11162" fillcolor="#f79646 [3209]" strokecolor="#974706 [1609]" strokeweight="2pt">
                <v:textbox>
                  <w:txbxContent>
                    <w:p w:rsidR="00E65FEE" w:rsidRPr="00AD4A1D" w:rsidRDefault="00E65FEE" w:rsidP="00AD4A1D">
                      <w:pPr>
                        <w:spacing w:before="0"/>
                        <w:rPr>
                          <w:color w:val="000000" w:themeColor="text1"/>
                          <w:sz w:val="20"/>
                          <w:szCs w:val="20"/>
                        </w:rPr>
                      </w:pPr>
                      <w:r>
                        <w:rPr>
                          <w:color w:val="000000" w:themeColor="text1"/>
                          <w:sz w:val="20"/>
                          <w:szCs w:val="20"/>
                        </w:rPr>
                        <w:t>(2) A</w:t>
                      </w:r>
                      <w:r w:rsidRPr="00AD4A1D">
                        <w:rPr>
                          <w:color w:val="000000" w:themeColor="text1"/>
                          <w:sz w:val="20"/>
                          <w:szCs w:val="20"/>
                        </w:rPr>
                        <w:t xml:space="preserve"> date (Year and Month) must be selected.</w:t>
                      </w:r>
                    </w:p>
                    <w:p w:rsidR="00E65FEE" w:rsidRPr="00902BB0" w:rsidRDefault="00E65FEE" w:rsidP="007C782D">
                      <w:pPr>
                        <w:spacing w:before="0"/>
                        <w:ind w:left="284"/>
                        <w:jc w:val="center"/>
                        <w:rPr>
                          <w:color w:val="000000" w:themeColor="text1"/>
                        </w:rPr>
                      </w:pP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3CD19F5D" wp14:editId="50DB7EB0">
                <wp:simplePos x="0" y="0"/>
                <wp:positionH relativeFrom="column">
                  <wp:posOffset>4565015</wp:posOffset>
                </wp:positionH>
                <wp:positionV relativeFrom="paragraph">
                  <wp:posOffset>939800</wp:posOffset>
                </wp:positionV>
                <wp:extent cx="1530985" cy="680085"/>
                <wp:effectExtent l="590550" t="0" r="12065" b="24765"/>
                <wp:wrapNone/>
                <wp:docPr id="14" name="Rounded Rectangular Callout 14"/>
                <wp:cNvGraphicFramePr/>
                <a:graphic xmlns:a="http://schemas.openxmlformats.org/drawingml/2006/main">
                  <a:graphicData uri="http://schemas.microsoft.com/office/word/2010/wordprocessingShape">
                    <wps:wsp>
                      <wps:cNvSpPr/>
                      <wps:spPr>
                        <a:xfrm>
                          <a:off x="0" y="0"/>
                          <a:ext cx="1530985" cy="680085"/>
                        </a:xfrm>
                        <a:prstGeom prst="wedgeRoundRectCallout">
                          <a:avLst>
                            <a:gd name="adj1" fmla="val -88620"/>
                            <a:gd name="adj2" fmla="val 4173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65FEE" w:rsidRPr="00AD4A1D" w:rsidRDefault="00E65FEE" w:rsidP="00AD4A1D">
                            <w:pPr>
                              <w:spacing w:before="0"/>
                              <w:rPr>
                                <w:color w:val="000000" w:themeColor="text1"/>
                                <w:sz w:val="20"/>
                                <w:szCs w:val="20"/>
                              </w:rPr>
                            </w:pPr>
                            <w:r>
                              <w:rPr>
                                <w:color w:val="000000" w:themeColor="text1"/>
                                <w:sz w:val="20"/>
                                <w:szCs w:val="20"/>
                              </w:rPr>
                              <w:t xml:space="preserve">(3) </w:t>
                            </w:r>
                            <w:r w:rsidRPr="00AD4A1D">
                              <w:rPr>
                                <w:color w:val="000000" w:themeColor="text1"/>
                                <w:sz w:val="20"/>
                                <w:szCs w:val="20"/>
                              </w:rPr>
                              <w:t>Click the ‘Submit’ button to produce your map.</w:t>
                            </w:r>
                          </w:p>
                          <w:p w:rsidR="00E65FEE" w:rsidRPr="00902BB0" w:rsidRDefault="00E65FEE" w:rsidP="007C782D">
                            <w:pPr>
                              <w:ind w:left="284"/>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4" o:spid="_x0000_s1027" type="#_x0000_t62" style="position:absolute;left:0;text-align:left;margin-left:359.45pt;margin-top:74pt;width:120.55pt;height:5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" adj="-8342,19814" fillcolor="#f79646 [3209]" strokecolor="#974706 [1609]" strokeweight="2pt">
                <v:textbox>
                  <w:txbxContent>
                    <w:p w:rsidR="00E65FEE" w:rsidRPr="00AD4A1D" w:rsidRDefault="00E65FEE" w:rsidP="00AD4A1D">
                      <w:pPr>
                        <w:spacing w:before="0"/>
                        <w:rPr>
                          <w:color w:val="000000" w:themeColor="text1"/>
                          <w:sz w:val="20"/>
                          <w:szCs w:val="20"/>
                        </w:rPr>
                      </w:pPr>
                      <w:r>
                        <w:rPr>
                          <w:color w:val="000000" w:themeColor="text1"/>
                          <w:sz w:val="20"/>
                          <w:szCs w:val="20"/>
                        </w:rPr>
                        <w:t xml:space="preserve">(3) </w:t>
                      </w:r>
                      <w:r w:rsidRPr="00AD4A1D">
                        <w:rPr>
                          <w:color w:val="000000" w:themeColor="text1"/>
                          <w:sz w:val="20"/>
                          <w:szCs w:val="20"/>
                        </w:rPr>
                        <w:t>Click the ‘Submit’ button to produce your map.</w:t>
                      </w:r>
                    </w:p>
                    <w:p w:rsidR="00E65FEE" w:rsidRPr="00902BB0" w:rsidRDefault="00E65FEE" w:rsidP="007C782D">
                      <w:pPr>
                        <w:ind w:left="284"/>
                        <w:jc w:val="center"/>
                        <w:rPr>
                          <w:color w:val="000000" w:themeColor="text1"/>
                        </w:rPr>
                      </w:pP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C26311D" wp14:editId="40370A2A">
                <wp:simplePos x="0" y="0"/>
                <wp:positionH relativeFrom="column">
                  <wp:posOffset>3609975</wp:posOffset>
                </wp:positionH>
                <wp:positionV relativeFrom="paragraph">
                  <wp:posOffset>173990</wp:posOffset>
                </wp:positionV>
                <wp:extent cx="2370455" cy="680085"/>
                <wp:effectExtent l="1028700" t="0" r="10795" b="24765"/>
                <wp:wrapNone/>
                <wp:docPr id="11" name="Rounded Rectangular Callout 11"/>
                <wp:cNvGraphicFramePr/>
                <a:graphic xmlns:a="http://schemas.openxmlformats.org/drawingml/2006/main">
                  <a:graphicData uri="http://schemas.microsoft.com/office/word/2010/wordprocessingShape">
                    <wps:wsp>
                      <wps:cNvSpPr/>
                      <wps:spPr>
                        <a:xfrm>
                          <a:off x="0" y="0"/>
                          <a:ext cx="2370455" cy="680085"/>
                        </a:xfrm>
                        <a:prstGeom prst="wedgeRoundRectCallout">
                          <a:avLst>
                            <a:gd name="adj1" fmla="val -92833"/>
                            <a:gd name="adj2" fmla="val 37332"/>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65FEE" w:rsidRPr="00AD4A1D" w:rsidRDefault="00E65FEE" w:rsidP="00AD4A1D">
                            <w:pPr>
                              <w:spacing w:before="0"/>
                              <w:rPr>
                                <w:color w:val="000000" w:themeColor="text1"/>
                                <w:sz w:val="20"/>
                                <w:szCs w:val="20"/>
                              </w:rPr>
                            </w:pPr>
                            <w:r>
                              <w:rPr>
                                <w:color w:val="000000" w:themeColor="text1"/>
                                <w:sz w:val="20"/>
                                <w:szCs w:val="20"/>
                              </w:rPr>
                              <w:t xml:space="preserve">(1) </w:t>
                            </w:r>
                            <w:r w:rsidRPr="00AD4A1D">
                              <w:rPr>
                                <w:color w:val="000000" w:themeColor="text1"/>
                                <w:sz w:val="20"/>
                                <w:szCs w:val="20"/>
                              </w:rPr>
                              <w:t>Use the Variable menu to select ‘Sea Level Anomaly’ under the ‘Near Real Time Sea Level.</w:t>
                            </w:r>
                          </w:p>
                          <w:p w:rsidR="00E65FEE" w:rsidRDefault="00E65FEE" w:rsidP="00902BB0">
                            <w:pPr>
                              <w:jc w:val="center"/>
                            </w:pPr>
                          </w:p>
                        </w:txbxContent>
                      </wps:txbx>
                      <wps:bodyPr rot="0" spcFirstLastPara="0" vertOverflow="overflow" horzOverflow="overflow" vert="horz" wrap="square" lIns="54000" tIns="45720" rIns="54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1" o:spid="_x0000_s1028" type="#_x0000_t62" style="position:absolute;left:0;text-align:left;margin-left:284.25pt;margin-top:13.7pt;width:186.6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" adj="-9252,18864" fillcolor="#f79646 [3209]" strokecolor="#974706 [1609]" strokeweight="2pt">
                <v:textbox inset="1.5mm,,1.5mm">
                  <w:txbxContent>
                    <w:p w:rsidR="00E65FEE" w:rsidRPr="00AD4A1D" w:rsidRDefault="00E65FEE" w:rsidP="00AD4A1D">
                      <w:pPr>
                        <w:spacing w:before="0"/>
                        <w:rPr>
                          <w:color w:val="000000" w:themeColor="text1"/>
                          <w:sz w:val="20"/>
                          <w:szCs w:val="20"/>
                        </w:rPr>
                      </w:pPr>
                      <w:r>
                        <w:rPr>
                          <w:color w:val="000000" w:themeColor="text1"/>
                          <w:sz w:val="20"/>
                          <w:szCs w:val="20"/>
                        </w:rPr>
                        <w:t xml:space="preserve">(1) </w:t>
                      </w:r>
                      <w:r w:rsidRPr="00AD4A1D">
                        <w:rPr>
                          <w:color w:val="000000" w:themeColor="text1"/>
                          <w:sz w:val="20"/>
                          <w:szCs w:val="20"/>
                        </w:rPr>
                        <w:t>Use the Variable menu to select ‘Sea Level Anomaly’ under the ‘Near Real Time Sea Level.</w:t>
                      </w:r>
                    </w:p>
                    <w:p w:rsidR="00E65FEE" w:rsidRDefault="00E65FEE" w:rsidP="00902BB0">
                      <w:pPr>
                        <w:jc w:val="center"/>
                      </w:pPr>
                    </w:p>
                  </w:txbxContent>
                </v:textbox>
              </v:shape>
            </w:pict>
          </mc:Fallback>
        </mc:AlternateContent>
      </w:r>
      <w:r w:rsidR="00F74440">
        <w:rPr>
          <w:noProof/>
          <w:lang w:eastAsia="en-AU"/>
        </w:rPr>
        <w:drawing>
          <wp:inline distT="0" distB="0" distL="0" distR="0" wp14:anchorId="7D872EDC" wp14:editId="461DA92E">
            <wp:extent cx="5069434" cy="310325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055" cy="3103020"/>
                    </a:xfrm>
                    <a:prstGeom prst="rect">
                      <a:avLst/>
                    </a:prstGeom>
                    <a:noFill/>
                    <a:ln>
                      <a:noFill/>
                    </a:ln>
                  </pic:spPr>
                </pic:pic>
              </a:graphicData>
            </a:graphic>
          </wp:inline>
        </w:drawing>
      </w:r>
    </w:p>
    <w:p w:rsidR="001013A2" w:rsidRDefault="001013A2" w:rsidP="00AD4A1D">
      <w:pPr>
        <w:pStyle w:val="Caption"/>
        <w:spacing w:after="0"/>
        <w:jc w:val="center"/>
      </w:pPr>
      <w:proofErr w:type="gramStart"/>
      <w:r>
        <w:t xml:space="preserve">Figure </w:t>
      </w:r>
      <w:proofErr w:type="gramEnd"/>
      <w:r>
        <w:fldChar w:fldCharType="begin"/>
      </w:r>
      <w:r>
        <w:instrText xml:space="preserve"> SEQ Figure \* ARABIC </w:instrText>
      </w:r>
      <w:r>
        <w:fldChar w:fldCharType="separate"/>
      </w:r>
      <w:r w:rsidR="00CC4A00">
        <w:rPr>
          <w:noProof/>
        </w:rPr>
        <w:t>2</w:t>
      </w:r>
      <w:r>
        <w:fldChar w:fldCharType="end"/>
      </w:r>
      <w:proofErr w:type="gramStart"/>
      <w:r w:rsidR="007C782D">
        <w:t>.</w:t>
      </w:r>
      <w:proofErr w:type="gramEnd"/>
      <w:r w:rsidR="007C782D">
        <w:t xml:space="preserve"> Producing a sea level map</w:t>
      </w:r>
    </w:p>
    <w:p w:rsidR="001013A2" w:rsidRDefault="001013A2" w:rsidP="00B27D69">
      <w:pPr>
        <w:spacing w:before="0" w:after="0"/>
        <w:jc w:val="center"/>
      </w:pPr>
    </w:p>
    <w:p w:rsidR="00141A39" w:rsidRDefault="00141A39" w:rsidP="00B35F4A">
      <w:pPr>
        <w:pStyle w:val="Headingnon-numbered"/>
      </w:pPr>
    </w:p>
    <w:p w:rsidR="00B35F4A" w:rsidRDefault="00B35F4A" w:rsidP="00B35F4A">
      <w:pPr>
        <w:pStyle w:val="Headingnon-numbered"/>
      </w:pPr>
      <w:r>
        <w:t>Description of Parameters</w:t>
      </w:r>
    </w:p>
    <w:p w:rsidR="00CE0B5A" w:rsidRDefault="00A63B08" w:rsidP="00CE0B5A">
      <w:pPr>
        <w:rPr>
          <w:i/>
        </w:rPr>
      </w:pPr>
      <w:r>
        <w:rPr>
          <w:i/>
        </w:rPr>
        <w:t xml:space="preserve">Near </w:t>
      </w:r>
      <w:r w:rsidR="00EE4A6C">
        <w:rPr>
          <w:i/>
        </w:rPr>
        <w:t>Real-T</w:t>
      </w:r>
      <w:r w:rsidR="004E0D06">
        <w:rPr>
          <w:i/>
        </w:rPr>
        <w:t>ime</w:t>
      </w:r>
      <w:r>
        <w:rPr>
          <w:i/>
        </w:rPr>
        <w:t xml:space="preserve"> Sea Level Anomaly</w:t>
      </w:r>
      <w:r w:rsidR="007F6287">
        <w:rPr>
          <w:i/>
        </w:rPr>
        <w:t xml:space="preserve"> (SLA)</w:t>
      </w:r>
      <w:r w:rsidR="004D1CCC">
        <w:rPr>
          <w:i/>
        </w:rPr>
        <w:t>:</w:t>
      </w:r>
    </w:p>
    <w:p w:rsidR="00FE1117" w:rsidRDefault="00FE1117" w:rsidP="00FE1117">
      <w:pPr>
        <w:spacing w:line="276" w:lineRule="auto"/>
      </w:pPr>
      <w:r>
        <w:t xml:space="preserve">The sea level anomaly is </w:t>
      </w:r>
      <w:r w:rsidR="005F2BA8">
        <w:t>available</w:t>
      </w:r>
      <w:r>
        <w:t xml:space="preserve"> daily</w:t>
      </w:r>
      <w:r w:rsidR="005F2BA8">
        <w:t>, with monthly averages generated from the daily data. The data</w:t>
      </w:r>
      <w:r w:rsidRPr="00EF6D88">
        <w:t xml:space="preserve"> </w:t>
      </w:r>
      <w:r>
        <w:t xml:space="preserve">shows </w:t>
      </w:r>
      <w:r w:rsidR="005F2BA8">
        <w:t xml:space="preserve">sea level anomaly, which is </w:t>
      </w:r>
      <w:r>
        <w:t>how the sea le</w:t>
      </w:r>
      <w:bookmarkStart w:id="1" w:name="_GoBack"/>
      <w:bookmarkEnd w:id="1"/>
      <w:r>
        <w:t>vel is different from the long-term average. The map shows locations of both higher and lower water levels, indicated by positive and negative numbers. Units for SLA are in millimetres</w:t>
      </w:r>
      <w:r w:rsidR="00661C24">
        <w:t xml:space="preserve"> with a resolution of 0.25 degrees</w:t>
      </w:r>
      <w:r>
        <w:t xml:space="preserve">. </w:t>
      </w:r>
      <w:r w:rsidRPr="00EF6D88">
        <w:t>The seasonal SLA forecasts are created by comparing the model predictions of sea level in the coming months to the long-term averages</w:t>
      </w:r>
      <w:r>
        <w:t>,</w:t>
      </w:r>
      <w:r w:rsidRPr="00EF6D88">
        <w:t xml:space="preserve"> using the</w:t>
      </w:r>
      <w:r w:rsidR="00FD3C48">
        <w:t xml:space="preserve"> 20-year </w:t>
      </w:r>
      <w:r w:rsidR="00EE4A6C">
        <w:t xml:space="preserve">reference </w:t>
      </w:r>
      <w:r w:rsidR="00FD3C48">
        <w:t>period from</w:t>
      </w:r>
      <w:r>
        <w:t xml:space="preserve"> 1</w:t>
      </w:r>
      <w:r w:rsidR="00FD3C48">
        <w:t>993</w:t>
      </w:r>
      <w:r>
        <w:t>-201</w:t>
      </w:r>
      <w:r w:rsidR="00FD3C48">
        <w:t>2</w:t>
      </w:r>
      <w:r>
        <w:t>.</w:t>
      </w:r>
    </w:p>
    <w:p w:rsidR="00F75DEA" w:rsidRDefault="00F75DEA" w:rsidP="00B35F4A">
      <w:pPr>
        <w:pStyle w:val="Headingnon-numbered"/>
      </w:pPr>
    </w:p>
    <w:p w:rsidR="00B35F4A" w:rsidRDefault="00B35F4A" w:rsidP="00B35F4A">
      <w:pPr>
        <w:pStyle w:val="Headingnon-numbered"/>
      </w:pPr>
      <w:r>
        <w:t>Examples of Applications</w:t>
      </w:r>
    </w:p>
    <w:p w:rsidR="00B23EC8" w:rsidRDefault="00B0227C" w:rsidP="00B23EC8">
      <w:pPr>
        <w:pStyle w:val="ListParagraph"/>
        <w:numPr>
          <w:ilvl w:val="0"/>
          <w:numId w:val="21"/>
        </w:numPr>
        <w:spacing w:line="276" w:lineRule="auto"/>
      </w:pPr>
      <w:r>
        <w:rPr>
          <w:b/>
        </w:rPr>
        <w:t xml:space="preserve">Management of </w:t>
      </w:r>
      <w:r w:rsidRPr="006F1034">
        <w:rPr>
          <w:b/>
        </w:rPr>
        <w:t xml:space="preserve">Extreme </w:t>
      </w:r>
      <w:r>
        <w:rPr>
          <w:b/>
        </w:rPr>
        <w:t>Sea Level Events</w:t>
      </w:r>
      <w:r w:rsidRPr="006F1034">
        <w:rPr>
          <w:b/>
        </w:rPr>
        <w:t>:</w:t>
      </w:r>
      <w:r w:rsidRPr="0087754E">
        <w:t xml:space="preserve"> </w:t>
      </w:r>
      <w:r>
        <w:t>Stakeholders can use f</w:t>
      </w:r>
      <w:r w:rsidRPr="0087754E">
        <w:t xml:space="preserve">orecasts </w:t>
      </w:r>
      <w:r>
        <w:t xml:space="preserve">of extreme sea level </w:t>
      </w:r>
      <w:r w:rsidRPr="0087754E">
        <w:t xml:space="preserve">to </w:t>
      </w:r>
      <w:r>
        <w:t xml:space="preserve">make </w:t>
      </w:r>
      <w:r w:rsidRPr="0087754E">
        <w:t>decisions a</w:t>
      </w:r>
      <w:r>
        <w:t xml:space="preserve">imed at the protection of </w:t>
      </w:r>
      <w:r w:rsidRPr="0087754E">
        <w:t xml:space="preserve">communities </w:t>
      </w:r>
      <w:r>
        <w:t xml:space="preserve">and infrastructure </w:t>
      </w:r>
      <w:r>
        <w:fldChar w:fldCharType="begin" w:fldLock="1"/>
      </w:r>
      <w:r>
        <w:instrText>ADDIN CSL_CITATION { "citationItems" : [ { "id" : "ITEM-1", "itemData" : { "abstract" : "Seasonal forecasting from dynamical ocean-atmosphere models of sea-level anomalies (SLA) has great potential for coastal communities in the Western Pacific, allowing the implementation of management policies and strategies to minimise loss of life and infrastructure damage. In recognising that it is through natural variability that the early effects of climate change are most acutely felt, the Pacific- Australia Climate Change Science Adaptation Planning Program (PACCSAP) seeks to assess the relationships between the seasonal variability, regional sea-level and its predictability at a seasonal timescale. Real-time forecasts for SLA in the Western Pacific are currently produced operationally using the Bureau of Meteorology\u2019s seasonal forecast model POAMA. This work represents the first attempt to predict seasonal SLA up to 7 months into the future using a coupled dynamical model. These forecasts provide an early warning of potential extreme sea-level, which allows coastal managers to both minimise coastal damage and ensure water security, as well as brief stakeholders. Additionally, probabilistic forecasts provide information as to the likelihood of an extreme seasonal mean state, which is very useful for management in planning responses and focusing resources. An online portal has been created to deliver the seasonal forecasts and accompanying skill scores. Website development was done in consultation with regional stakeholders with the aim to produce useful and easily understood seasonal forecasts. These forecasts are a new product for regional stakeholders and the assessment of the forecast usefulness and application is an ongoing task. As global warming is likely to increase the frequency and severity of extreme SLA events the development of such forecast products is crucial to combat problems due to climate change in the near future.", "author" : [ { "dropping-particle" : "", "family" : "Miles", "given" : "E.", "non-dropping-particle" : "", "parse-names" : false, "suffix" : "" }, { "dropping-particle" : "", "family" : "Spillman", "given" : "C.", "non-dropping-particle" : "", "parse-names" : false, "suffix" : "" }, { "dropping-particle" : "", "family" : "McIntosh", "given" : "P.", "non-dropping-particle" : "", "parse-names" : false, "suffix" : "" }, { "dropping-particle" : "", "family" : "Church", "given" : "J.", "non-dropping-particle" : "", "parse-names" : false, "suffix" : "" }, { "dropping-particle" : "", "family" : "Charles", "given" : "A.", "non-dropping-particle" : "", "parse-names" : false, "suffix" : "" }, { "dropping-particle" : "", "family" : "Wit", "given" : "R.", "non-dropping-particle" : "de", "parse-names" : false, "suffix" : "" } ], "container-title" : "20th International Congress on Modelling and Simulation", "id" : "ITEM-1", "issued" : { "date-parts" : [ [ "2013" ] ] }, "page" : "2855-2861", "title" : "Seasonal sea-level predictions for the Western Pacific", "type" : "paper-conference" }, "uris" : [ "http://www.mendeley.com/documents/?uuid=c98c0cf8-29cf-4a4a-b987-31c280cf6443" ] } ], "mendeley" : { "formattedCitation" : "(Miles et al. 2013)", "plainTextFormattedCitation" : "(Miles et al. 2013)", "previouslyFormattedCitation" : "(Miles et al. 2013)" }, "properties" : { "noteIndex" : 0 }, "schema" : "https://github.com/citation-style-language/schema/raw/master/csl-citation.json" }</w:instrText>
      </w:r>
      <w:r>
        <w:fldChar w:fldCharType="separate"/>
      </w:r>
      <w:r w:rsidRPr="00B0227C">
        <w:rPr>
          <w:noProof/>
        </w:rPr>
        <w:t>(Miles et al. 2013)</w:t>
      </w:r>
      <w:r>
        <w:fldChar w:fldCharType="end"/>
      </w:r>
      <w:r w:rsidRPr="0087754E">
        <w:t xml:space="preserve">. </w:t>
      </w:r>
    </w:p>
    <w:p w:rsidR="00B23EC8" w:rsidRDefault="00B23EC8" w:rsidP="00B23EC8">
      <w:pPr>
        <w:pStyle w:val="ListParagraph"/>
        <w:spacing w:line="276" w:lineRule="auto"/>
      </w:pPr>
    </w:p>
    <w:p w:rsidR="00B0227C" w:rsidRDefault="00B0227C" w:rsidP="00B0227C">
      <w:pPr>
        <w:pStyle w:val="ListParagraph"/>
        <w:numPr>
          <w:ilvl w:val="0"/>
          <w:numId w:val="21"/>
        </w:numPr>
        <w:spacing w:line="276" w:lineRule="auto"/>
      </w:pPr>
      <w:r w:rsidRPr="001F7DD9">
        <w:rPr>
          <w:b/>
        </w:rPr>
        <w:t>Monitoring ENSO Impacts:</w:t>
      </w:r>
      <w:r w:rsidRPr="001F7DD9">
        <w:t xml:space="preserve"> Sea level varies during </w:t>
      </w:r>
      <w:r>
        <w:t>El Ni</w:t>
      </w:r>
      <w:r w:rsidRPr="001F7DD9">
        <w:rPr>
          <w:rFonts w:cs="Arial"/>
        </w:rPr>
        <w:t>ñ</w:t>
      </w:r>
      <w:r>
        <w:t>o Southern Oscillation</w:t>
      </w:r>
      <w:r w:rsidRPr="001F7DD9">
        <w:t xml:space="preserve"> events, </w:t>
      </w:r>
      <w:r>
        <w:t>resulting in</w:t>
      </w:r>
      <w:r w:rsidRPr="001F7DD9">
        <w:t xml:space="preserve"> significantly high or low levels for many months.</w:t>
      </w:r>
      <w:r>
        <w:t xml:space="preserve"> This was the cause of much coral die-off in Samoa during the 1997-1998 El Ni</w:t>
      </w:r>
      <w:r w:rsidRPr="001F7DD9">
        <w:rPr>
          <w:rFonts w:cs="Arial"/>
        </w:rPr>
        <w:t>ñ</w:t>
      </w:r>
      <w:r>
        <w:t>o event, when sea level dropped in the western Pacific by up to 30 cm, exposing shallow reefs. Samoans refer to this sea level event as “</w:t>
      </w:r>
      <w:proofErr w:type="spellStart"/>
      <w:r>
        <w:t>taimasa</w:t>
      </w:r>
      <w:proofErr w:type="spellEnd"/>
      <w:r>
        <w:t xml:space="preserve">” - shown in </w:t>
      </w:r>
      <w:r>
        <w:fldChar w:fldCharType="begin"/>
      </w:r>
      <w:r>
        <w:instrText xml:space="preserve"> REF _Ref415737059 \h  \* MERGEFORMAT </w:instrText>
      </w:r>
      <w:r>
        <w:fldChar w:fldCharType="separate"/>
      </w:r>
      <w:r w:rsidR="00CC4A00">
        <w:t xml:space="preserve">Figure </w:t>
      </w:r>
      <w:r w:rsidR="00CC4A00">
        <w:rPr>
          <w:noProof/>
        </w:rPr>
        <w:t>3</w:t>
      </w:r>
      <w:r>
        <w:fldChar w:fldCharType="end"/>
      </w:r>
      <w:r>
        <w:t xml:space="preserve"> </w:t>
      </w:r>
      <w:r>
        <w:fldChar w:fldCharType="begin" w:fldLock="1"/>
      </w:r>
      <w:r w:rsidR="00327012">
        <w:instrText>ADDIN CSL_CITATION { "citationItems" : [ { "id" : "ITEM-1", "itemData" : { "DOI" : "10.1175/JCLI-D-13-00276.1", "ISSN" : "08948755", "abstract" : "During strong El Ni~ no events, sea level drops around some tropical western Pacific islands by up to 20\u2013 30 cm. Such events (referred to as taimasa in Samoa) expose shallow reefs, thereby causing severe damage to associated coral ecosystems and contributing to the formation of microatolls. During the termination of strong El Ni~ no events, a southward movement of weak trade winds and the development of an anomalous anticy- clone in the Philippine Sea are shown to force an interhemispheric sea level seesaw in the tropical Pacific that enhances and prolongs extreme low sea levels in the southwestern Pacific. Spectral features, in addition to wind-forced linear shallow water ocean model experiments, identify a nonlinear interaction between El Ni~ no and the annual cycle as the main cause of these sea level anomalies.", "author" : [ { "dropping-particle" : "", "family" : "Widlansky", "given" : "Matthew J.", "non-dropping-particle" : "", "parse-names" : false, "suffix" : "" }, { "dropping-particle" : "", "family" : "Timmermann", "given" : "Axel", "non-dropping-particle" : "", "parse-names" : false, "suffix" : "" }, { "dropping-particle" : "", "family" : "Mcgregor", "given" : "Shayne", "non-dropping-particle" : "", "parse-names" : false, "suffix" : "" }, { "dropping-particle" : "", "family" : "Stuecker", "given" : "Malte F.", "non-dropping-particle" : "", "parse-names" : false, "suffix" : "" }, { "dropping-particle" : "", "family" : "Cai", "given" : "Wenju", "non-dropping-particle" : "", "parse-names" : false, "suffix" : "" } ], "container-title" : "Journal of Climate", "id" : "ITEM-1", "issued" : { "date-parts" : [ [ "2014" ] ] }, "page" : "1070-1081", "title" : "An Interhemispheric tropical sea level seesaw due to el ni\u00f1o taimasa", "type" : "article-journal", "volume" : "27" }, "uris" : [ "http://www.mendeley.com/documents/?uuid=c041ed5e-5fc9-485f-8e79-0e13c8bb036b" ] } ], "mendeley" : { "formattedCitation" : "(Widlansky et al. 2014)", "plainTextFormattedCitation" : "(Widlansky et al. 2014)", "previouslyFormattedCitation" : "(Widlansky et al. 2014)" }, "properties" : { "noteIndex" : 0 }, "schema" : "https://github.com/citation-style-language/schema/raw/master/csl-citation.json" }</w:instrText>
      </w:r>
      <w:r>
        <w:fldChar w:fldCharType="separate"/>
      </w:r>
      <w:r w:rsidRPr="00B0227C">
        <w:rPr>
          <w:noProof/>
        </w:rPr>
        <w:t>(Widlansky et al. 2014)</w:t>
      </w:r>
      <w:r>
        <w:fldChar w:fldCharType="end"/>
      </w:r>
      <w:r>
        <w:t>.</w:t>
      </w:r>
    </w:p>
    <w:p w:rsidR="00B0227C" w:rsidRDefault="00B0227C" w:rsidP="00B0227C">
      <w:pPr>
        <w:pStyle w:val="ListParagraph"/>
        <w:spacing w:line="276" w:lineRule="auto"/>
      </w:pPr>
    </w:p>
    <w:p w:rsidR="00B0227C" w:rsidRDefault="00B0227C" w:rsidP="00B0227C">
      <w:pPr>
        <w:pStyle w:val="ListParagraph"/>
        <w:jc w:val="center"/>
      </w:pPr>
      <w:r>
        <w:rPr>
          <w:noProof/>
          <w:lang w:eastAsia="en-AU"/>
        </w:rPr>
        <w:lastRenderedPageBreak/>
        <w:drawing>
          <wp:inline distT="0" distB="0" distL="0" distR="0" wp14:anchorId="37BBF9CA" wp14:editId="416A8383">
            <wp:extent cx="4368947" cy="1842043"/>
            <wp:effectExtent l="0" t="0" r="0" b="6350"/>
            <wp:docPr id="2" name="Picture 2" descr="http://www.bom.gov.au/cosppac/apps/portal/raster/SEA00002_alt_pac_199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m.gov.au/cosppac/apps/portal/raster/SEA00002_alt_pac_199804.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6699" t="17313" r="6827" b="12836"/>
                    <a:stretch/>
                  </pic:blipFill>
                  <pic:spPr bwMode="auto">
                    <a:xfrm>
                      <a:off x="0" y="0"/>
                      <a:ext cx="4402145" cy="1856040"/>
                    </a:xfrm>
                    <a:prstGeom prst="rect">
                      <a:avLst/>
                    </a:prstGeom>
                    <a:noFill/>
                    <a:ln>
                      <a:noFill/>
                    </a:ln>
                    <a:extLst>
                      <a:ext uri="{53640926-AAD7-44D8-BBD7-CCE9431645EC}">
                        <a14:shadowObscured xmlns:a14="http://schemas.microsoft.com/office/drawing/2010/main"/>
                      </a:ext>
                    </a:extLst>
                  </pic:spPr>
                </pic:pic>
              </a:graphicData>
            </a:graphic>
          </wp:inline>
        </w:drawing>
      </w:r>
    </w:p>
    <w:p w:rsidR="00B0227C" w:rsidRDefault="00B0227C" w:rsidP="00B0227C">
      <w:pPr>
        <w:pStyle w:val="Caption"/>
        <w:jc w:val="center"/>
      </w:pPr>
      <w:bookmarkStart w:id="2" w:name="_Ref415737059"/>
      <w:proofErr w:type="gramStart"/>
      <w:r>
        <w:t xml:space="preserve">Figure </w:t>
      </w:r>
      <w:proofErr w:type="gramEnd"/>
      <w:r>
        <w:fldChar w:fldCharType="begin"/>
      </w:r>
      <w:r>
        <w:instrText xml:space="preserve"> SEQ Figure \* ARABIC </w:instrText>
      </w:r>
      <w:r>
        <w:fldChar w:fldCharType="separate"/>
      </w:r>
      <w:r w:rsidR="00CC4A00">
        <w:rPr>
          <w:noProof/>
        </w:rPr>
        <w:t>3</w:t>
      </w:r>
      <w:r>
        <w:fldChar w:fldCharType="end"/>
      </w:r>
      <w:bookmarkEnd w:id="2"/>
      <w:proofErr w:type="gramStart"/>
      <w:r>
        <w:t>.</w:t>
      </w:r>
      <w:proofErr w:type="gramEnd"/>
      <w:r>
        <w:t xml:space="preserve"> Altimetry data showing ‘</w:t>
      </w:r>
      <w:proofErr w:type="spellStart"/>
      <w:r>
        <w:t>taimasa</w:t>
      </w:r>
      <w:proofErr w:type="spellEnd"/>
      <w:r>
        <w:t>’ which is the low sea level event occurring during certain El Ni</w:t>
      </w:r>
      <w:r>
        <w:rPr>
          <w:rFonts w:cs="Arial"/>
        </w:rPr>
        <w:t>ñ</w:t>
      </w:r>
      <w:r>
        <w:t>o events (dark blue region).</w:t>
      </w:r>
    </w:p>
    <w:p w:rsidR="0007412E" w:rsidRPr="001F7DD9" w:rsidRDefault="0007412E" w:rsidP="0007412E">
      <w:pPr>
        <w:pStyle w:val="ListParagraph"/>
        <w:numPr>
          <w:ilvl w:val="0"/>
          <w:numId w:val="21"/>
        </w:numPr>
      </w:pPr>
      <w:r w:rsidRPr="008A3D3E">
        <w:rPr>
          <w:b/>
        </w:rPr>
        <w:t xml:space="preserve">IPO </w:t>
      </w:r>
      <w:r w:rsidR="007D4BD6">
        <w:rPr>
          <w:b/>
        </w:rPr>
        <w:t>Monitoring</w:t>
      </w:r>
      <w:r w:rsidR="00742A6F">
        <w:rPr>
          <w:rStyle w:val="FootnoteReference"/>
          <w:b/>
        </w:rPr>
        <w:footnoteReference w:id="1"/>
      </w:r>
      <w:r w:rsidRPr="008A3D3E">
        <w:rPr>
          <w:b/>
        </w:rPr>
        <w:t>:</w:t>
      </w:r>
      <w:r>
        <w:t xml:space="preserve"> The Inter-decadal Pacific Oscillation (IPO) characterises decade-to-decade changes in ENSO cycles, thereby having an effect on sea level. The oscillation can stay in a positive or negative phase for years </w:t>
      </w:r>
      <w:r w:rsidRPr="0016079C">
        <w:t>to decades, and jump to the opposite phase relatively quickly causing a step jump in mean sea level (Stephens and Bell, 2012).</w:t>
      </w:r>
      <w:r w:rsidR="0016079C" w:rsidRPr="0016079C">
        <w:t xml:space="preserve"> </w:t>
      </w:r>
    </w:p>
    <w:p w:rsidR="0007412E" w:rsidRDefault="0007412E" w:rsidP="0007412E">
      <w:pPr>
        <w:jc w:val="center"/>
      </w:pPr>
      <w:r w:rsidRPr="001F7DD9">
        <w:rPr>
          <w:noProof/>
          <w:lang w:eastAsia="en-AU"/>
        </w:rPr>
        <w:drawing>
          <wp:inline distT="0" distB="0" distL="0" distR="0" wp14:anchorId="2E441D38" wp14:editId="0621C504">
            <wp:extent cx="4582633" cy="1056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239" t="73747" r="5757"/>
                    <a:stretch/>
                  </pic:blipFill>
                  <pic:spPr bwMode="auto">
                    <a:xfrm>
                      <a:off x="0" y="0"/>
                      <a:ext cx="4609368" cy="1062452"/>
                    </a:xfrm>
                    <a:prstGeom prst="rect">
                      <a:avLst/>
                    </a:prstGeom>
                    <a:noFill/>
                    <a:ln>
                      <a:noFill/>
                    </a:ln>
                    <a:extLst>
                      <a:ext uri="{53640926-AAD7-44D8-BBD7-CCE9431645EC}">
                        <a14:shadowObscured xmlns:a14="http://schemas.microsoft.com/office/drawing/2010/main"/>
                      </a:ext>
                    </a:extLst>
                  </pic:spPr>
                </pic:pic>
              </a:graphicData>
            </a:graphic>
          </wp:inline>
        </w:drawing>
      </w:r>
    </w:p>
    <w:p w:rsidR="0007412E" w:rsidRPr="001F7DD9" w:rsidRDefault="0007412E" w:rsidP="0007412E">
      <w:pPr>
        <w:pStyle w:val="Caption"/>
        <w:jc w:val="center"/>
      </w:pPr>
      <w:proofErr w:type="gramStart"/>
      <w:r>
        <w:t xml:space="preserve">Figure </w:t>
      </w:r>
      <w:proofErr w:type="gramEnd"/>
      <w:r>
        <w:fldChar w:fldCharType="begin"/>
      </w:r>
      <w:r>
        <w:instrText xml:space="preserve"> SEQ Figure \* ARABIC </w:instrText>
      </w:r>
      <w:r>
        <w:fldChar w:fldCharType="separate"/>
      </w:r>
      <w:r w:rsidR="00CC4A00">
        <w:rPr>
          <w:noProof/>
        </w:rPr>
        <w:t>4</w:t>
      </w:r>
      <w:r>
        <w:fldChar w:fldCharType="end"/>
      </w:r>
      <w:proofErr w:type="gramStart"/>
      <w:r>
        <w:t>.</w:t>
      </w:r>
      <w:proofErr w:type="gramEnd"/>
      <w:r>
        <w:t xml:space="preserve"> Movement of the IPO over the decades (PCCSP, 2011)</w:t>
      </w:r>
    </w:p>
    <w:p w:rsidR="00EA52D2" w:rsidRPr="007A10C7" w:rsidRDefault="00EA52D2" w:rsidP="007A10C7"/>
    <w:p w:rsidR="00B35F4A" w:rsidRDefault="00B35F4A" w:rsidP="00B35F4A">
      <w:pPr>
        <w:pStyle w:val="Headingnon-numbered"/>
      </w:pPr>
      <w:r>
        <w:t>Data Source</w:t>
      </w:r>
    </w:p>
    <w:p w:rsidR="005E1A9D" w:rsidRPr="005E1A9D" w:rsidRDefault="005E1A9D" w:rsidP="005E1A9D">
      <w:r w:rsidRPr="005E1A9D">
        <w:t xml:space="preserve">The altimeter products </w:t>
      </w:r>
      <w:r w:rsidR="00327012">
        <w:t>are</w:t>
      </w:r>
      <w:r w:rsidRPr="005E1A9D">
        <w:t xml:space="preserve"> produced by </w:t>
      </w:r>
      <w:proofErr w:type="spellStart"/>
      <w:r w:rsidRPr="005E1A9D">
        <w:t>Ssalto</w:t>
      </w:r>
      <w:proofErr w:type="spellEnd"/>
      <w:r w:rsidRPr="005E1A9D">
        <w:t>/</w:t>
      </w:r>
      <w:proofErr w:type="spellStart"/>
      <w:r w:rsidRPr="005E1A9D">
        <w:t>Duacs</w:t>
      </w:r>
      <w:proofErr w:type="spellEnd"/>
      <w:r w:rsidRPr="005E1A9D">
        <w:t xml:space="preserve"> </w:t>
      </w:r>
      <w:r>
        <w:t xml:space="preserve">(Data Unification and Altimeter Combination System) </w:t>
      </w:r>
      <w:r w:rsidRPr="005E1A9D">
        <w:t>in collaboration with</w:t>
      </w:r>
      <w:r w:rsidR="007F6287">
        <w:t xml:space="preserve"> the</w:t>
      </w:r>
      <w:r w:rsidRPr="005E1A9D">
        <w:t xml:space="preserve"> </w:t>
      </w:r>
      <w:r w:rsidRPr="00327012">
        <w:t>L</w:t>
      </w:r>
      <w:r w:rsidR="007F6287">
        <w:t>EGOS</w:t>
      </w:r>
      <w:r w:rsidRPr="00327012">
        <w:t xml:space="preserve"> </w:t>
      </w:r>
      <w:r w:rsidR="00327012" w:rsidRPr="00327012">
        <w:t>(</w:t>
      </w:r>
      <w:proofErr w:type="spellStart"/>
      <w:r w:rsidR="00327012" w:rsidRPr="00327012">
        <w:t>Laboratoire</w:t>
      </w:r>
      <w:proofErr w:type="spellEnd"/>
      <w:r w:rsidR="00327012" w:rsidRPr="00327012">
        <w:t xml:space="preserve"> </w:t>
      </w:r>
      <w:proofErr w:type="spellStart"/>
      <w:r w:rsidR="00327012" w:rsidRPr="00327012">
        <w:t>d'</w:t>
      </w:r>
      <w:r w:rsidR="007F6287">
        <w:t>Etudes</w:t>
      </w:r>
      <w:proofErr w:type="spellEnd"/>
      <w:r w:rsidR="007F6287">
        <w:t xml:space="preserve"> </w:t>
      </w:r>
      <w:proofErr w:type="spellStart"/>
      <w:r w:rsidR="007F6287">
        <w:t>en</w:t>
      </w:r>
      <w:proofErr w:type="spellEnd"/>
      <w:r w:rsidR="007F6287">
        <w:t xml:space="preserve"> </w:t>
      </w:r>
      <w:proofErr w:type="spellStart"/>
      <w:r w:rsidR="007F6287">
        <w:t>Geophysique</w:t>
      </w:r>
      <w:proofErr w:type="spellEnd"/>
      <w:r w:rsidR="007F6287">
        <w:t xml:space="preserve"> et </w:t>
      </w:r>
      <w:proofErr w:type="spellStart"/>
      <w:r w:rsidR="00327012" w:rsidRPr="00327012">
        <w:t>Océanographie</w:t>
      </w:r>
      <w:proofErr w:type="spellEnd"/>
      <w:r w:rsidR="00327012" w:rsidRPr="00327012">
        <w:t xml:space="preserve"> </w:t>
      </w:r>
      <w:proofErr w:type="spellStart"/>
      <w:r w:rsidR="007F6287">
        <w:t>Spatiales</w:t>
      </w:r>
      <w:proofErr w:type="spellEnd"/>
      <w:r w:rsidR="00327012" w:rsidRPr="00327012">
        <w:t xml:space="preserve">) </w:t>
      </w:r>
      <w:r w:rsidRPr="00327012">
        <w:t>and</w:t>
      </w:r>
      <w:r w:rsidRPr="005E1A9D">
        <w:t xml:space="preserve"> CTOH </w:t>
      </w:r>
      <w:r w:rsidR="00327012">
        <w:t>(</w:t>
      </w:r>
      <w:r w:rsidR="00327012" w:rsidRPr="00327012">
        <w:t>Center for Topographic studies of the Ocean and Hydrosphere</w:t>
      </w:r>
      <w:r w:rsidR="00A524F6">
        <w:t>),</w:t>
      </w:r>
      <w:r w:rsidRPr="005E1A9D">
        <w:t xml:space="preserve"> distributed by </w:t>
      </w:r>
      <w:r w:rsidR="00AB5915" w:rsidRPr="005E1A9D">
        <w:t>A</w:t>
      </w:r>
      <w:r w:rsidR="00AB5915">
        <w:t>VISO (Archiving, Validation and Interpretation of Satellite Oceanographic data)</w:t>
      </w:r>
      <w:r w:rsidRPr="005E1A9D">
        <w:t>, with support fro</w:t>
      </w:r>
      <w:r w:rsidRPr="00327012">
        <w:t xml:space="preserve">m </w:t>
      </w:r>
      <w:proofErr w:type="spellStart"/>
      <w:r w:rsidRPr="00327012">
        <w:t>Cnes</w:t>
      </w:r>
      <w:proofErr w:type="spellEnd"/>
      <w:r w:rsidR="00327012" w:rsidRPr="00327012">
        <w:t xml:space="preserve"> (Centre national </w:t>
      </w:r>
      <w:proofErr w:type="spellStart"/>
      <w:r w:rsidR="00327012" w:rsidRPr="00327012">
        <w:t>d'études</w:t>
      </w:r>
      <w:proofErr w:type="spellEnd"/>
      <w:r w:rsidR="00327012" w:rsidRPr="00327012">
        <w:t xml:space="preserve"> </w:t>
      </w:r>
      <w:proofErr w:type="spellStart"/>
      <w:r w:rsidR="00327012" w:rsidRPr="00327012">
        <w:t>spatiale</w:t>
      </w:r>
      <w:proofErr w:type="spellEnd"/>
      <w:r w:rsidR="00327012" w:rsidRPr="00327012">
        <w:t xml:space="preserve">) </w:t>
      </w:r>
      <w:r w:rsidRPr="00327012">
        <w:t>The system’s primary objective is to provide operational applications</w:t>
      </w:r>
      <w:r>
        <w:t xml:space="preserve"> with directly usable high quality data from all missions available </w:t>
      </w:r>
      <w:r w:rsidR="00327012">
        <w:fldChar w:fldCharType="begin" w:fldLock="1"/>
      </w:r>
      <w:r w:rsidR="00327012">
        <w:instrText>ADDIN CSL_CITATION { "citationItems" : [ { "id" : "ITEM-1", "itemData" : { "author" : [ { "dropping-particle" : "", "family" : "Cnes", "given" : "", "non-dropping-particle" : "", "parse-names" : false, "suffix" : "" } ], "id" : "ITEM-1", "issued" : { "date-parts" : [ [ "2015" ] ] }, "page" : "64", "title" : "SSALTO/DUACS User Handbook: (M)SLA and (M)ADT Near-Real Time and Delayed Time Products", "type" : "book" }, "uris" : [ "http://www.mendeley.com/documents/?uuid=0ce0bffa-c210-4164-85f9-30794d6e213d" ] } ], "mendeley" : { "formattedCitation" : "(Cnes 2015)", "plainTextFormattedCitation" : "(Cnes 2015)" }, "properties" : { "noteIndex" : 0 }, "schema" : "https://github.com/citation-style-language/schema/raw/master/csl-citation.json" }</w:instrText>
      </w:r>
      <w:r w:rsidR="00327012">
        <w:fldChar w:fldCharType="separate"/>
      </w:r>
      <w:r w:rsidR="00327012" w:rsidRPr="00327012">
        <w:rPr>
          <w:noProof/>
        </w:rPr>
        <w:t>(Cnes 2015)</w:t>
      </w:r>
      <w:r w:rsidR="00327012">
        <w:fldChar w:fldCharType="end"/>
      </w:r>
      <w:r>
        <w:t>.</w:t>
      </w:r>
    </w:p>
    <w:p w:rsidR="005E1A9D" w:rsidRDefault="005E1A9D" w:rsidP="00B27D69">
      <w:pPr>
        <w:pStyle w:val="Headingnon-numbered"/>
      </w:pPr>
    </w:p>
    <w:p w:rsidR="00376427" w:rsidRDefault="00376427">
      <w:pPr>
        <w:spacing w:before="0" w:after="200" w:line="276" w:lineRule="auto"/>
        <w:rPr>
          <w:rFonts w:ascii="Arial Bold" w:eastAsia="Times New Roman" w:hAnsi="Arial Bold" w:cs="Arial"/>
          <w:b/>
          <w:bCs/>
          <w:color w:val="34657F"/>
          <w:sz w:val="24"/>
          <w:szCs w:val="32"/>
          <w:lang w:eastAsia="en-AU"/>
        </w:rPr>
      </w:pPr>
      <w:r>
        <w:br w:type="page"/>
      </w:r>
    </w:p>
    <w:p w:rsidR="00B27D69" w:rsidRDefault="001A7596" w:rsidP="00B27D69">
      <w:pPr>
        <w:pStyle w:val="Headingnon-numbered"/>
      </w:pPr>
      <w:r>
        <w:lastRenderedPageBreak/>
        <w:t>Links</w:t>
      </w:r>
    </w:p>
    <w:p w:rsidR="005E1A9D" w:rsidRDefault="005E1A9D" w:rsidP="005E1A9D">
      <w:pPr>
        <w:pStyle w:val="BodyText"/>
        <w:rPr>
          <w:lang w:eastAsia="en-AU"/>
        </w:rPr>
      </w:pPr>
    </w:p>
    <w:p w:rsidR="00486FFA" w:rsidRPr="005E1A9D" w:rsidRDefault="00486FFA" w:rsidP="005E1A9D">
      <w:pPr>
        <w:pStyle w:val="BodyText"/>
        <w:rPr>
          <w:lang w:eastAsia="en-AU"/>
        </w:rPr>
      </w:pPr>
      <w:r>
        <w:rPr>
          <w:lang w:eastAsia="en-AU"/>
        </w:rPr>
        <w:t>AVISO Website, data location, product descriptions, applications:</w:t>
      </w:r>
    </w:p>
    <w:p w:rsidR="005E1A9D" w:rsidRDefault="00CC4A00" w:rsidP="00B268A9">
      <w:pPr>
        <w:pStyle w:val="BodyText"/>
        <w:ind w:firstLine="720"/>
        <w:rPr>
          <w:lang w:eastAsia="en-AU"/>
        </w:rPr>
      </w:pPr>
      <w:hyperlink r:id="rId14" w:history="1">
        <w:r w:rsidR="005E1A9D" w:rsidRPr="008610D8">
          <w:rPr>
            <w:rStyle w:val="Hyperlink"/>
            <w:lang w:eastAsia="en-AU"/>
          </w:rPr>
          <w:t>http://www.aviso.altimetry.fr/</w:t>
        </w:r>
      </w:hyperlink>
    </w:p>
    <w:p w:rsidR="00B62259" w:rsidRDefault="00B62259" w:rsidP="00B62259">
      <w:proofErr w:type="spellStart"/>
      <w:r w:rsidRPr="00327012">
        <w:t>Laboratoire</w:t>
      </w:r>
      <w:proofErr w:type="spellEnd"/>
      <w:r w:rsidRPr="00327012">
        <w:t xml:space="preserve"> </w:t>
      </w:r>
      <w:proofErr w:type="spellStart"/>
      <w:r w:rsidRPr="00327012">
        <w:t>d'</w:t>
      </w:r>
      <w:r>
        <w:t>Etudes</w:t>
      </w:r>
      <w:proofErr w:type="spellEnd"/>
      <w:r>
        <w:t xml:space="preserve"> </w:t>
      </w:r>
      <w:proofErr w:type="spellStart"/>
      <w:r>
        <w:t>en</w:t>
      </w:r>
      <w:proofErr w:type="spellEnd"/>
      <w:r>
        <w:t xml:space="preserve"> </w:t>
      </w:r>
      <w:proofErr w:type="spellStart"/>
      <w:r>
        <w:t>Geophysique</w:t>
      </w:r>
      <w:proofErr w:type="spellEnd"/>
      <w:r>
        <w:t xml:space="preserve"> </w:t>
      </w:r>
      <w:proofErr w:type="gramStart"/>
      <w:r>
        <w:t>et</w:t>
      </w:r>
      <w:proofErr w:type="gramEnd"/>
      <w:r>
        <w:t xml:space="preserve"> </w:t>
      </w:r>
      <w:proofErr w:type="spellStart"/>
      <w:r w:rsidRPr="00327012">
        <w:t>Océanographie</w:t>
      </w:r>
      <w:proofErr w:type="spellEnd"/>
      <w:r w:rsidRPr="00327012">
        <w:t xml:space="preserve"> </w:t>
      </w:r>
      <w:proofErr w:type="spellStart"/>
      <w:r>
        <w:t>Spatiales</w:t>
      </w:r>
      <w:proofErr w:type="spellEnd"/>
      <w:r>
        <w:t>:</w:t>
      </w:r>
    </w:p>
    <w:p w:rsidR="00B62259" w:rsidRDefault="00CC4A00" w:rsidP="00B62259">
      <w:pPr>
        <w:ind w:firstLine="720"/>
      </w:pPr>
      <w:hyperlink r:id="rId15" w:history="1">
        <w:r w:rsidR="00B62259" w:rsidRPr="001E5AA3">
          <w:rPr>
            <w:rStyle w:val="Hyperlink"/>
          </w:rPr>
          <w:t>http://www.legos.obs-mip.fr/</w:t>
        </w:r>
      </w:hyperlink>
    </w:p>
    <w:p w:rsidR="005E1A9D" w:rsidRDefault="00B62259" w:rsidP="00B62259">
      <w:r w:rsidRPr="00B62259">
        <w:t>Centre</w:t>
      </w:r>
      <w:r>
        <w:t xml:space="preserve"> for Topographic Studies of the Ocean and Hydrosphere:</w:t>
      </w:r>
    </w:p>
    <w:p w:rsidR="00B62259" w:rsidRDefault="00CC4A00" w:rsidP="00B62259">
      <w:pPr>
        <w:ind w:firstLine="720"/>
      </w:pPr>
      <w:hyperlink r:id="rId16" w:history="1">
        <w:r w:rsidR="00B62259" w:rsidRPr="001E5AA3">
          <w:rPr>
            <w:rStyle w:val="Hyperlink"/>
          </w:rPr>
          <w:t>http://ctoh.legos.obs-mip.fr/</w:t>
        </w:r>
      </w:hyperlink>
    </w:p>
    <w:p w:rsidR="00B62259" w:rsidRDefault="00B62259" w:rsidP="00B62259">
      <w:r>
        <w:t xml:space="preserve">Centre National </w:t>
      </w:r>
      <w:proofErr w:type="spellStart"/>
      <w:r>
        <w:t>d’Etudes</w:t>
      </w:r>
      <w:proofErr w:type="spellEnd"/>
      <w:r>
        <w:t xml:space="preserve"> </w:t>
      </w:r>
      <w:proofErr w:type="spellStart"/>
      <w:r>
        <w:t>Spatiales</w:t>
      </w:r>
      <w:proofErr w:type="spellEnd"/>
      <w:r>
        <w:t>:</w:t>
      </w:r>
    </w:p>
    <w:p w:rsidR="00B62259" w:rsidRDefault="00CC4A00" w:rsidP="00B62259">
      <w:pPr>
        <w:ind w:firstLine="720"/>
      </w:pPr>
      <w:hyperlink r:id="rId17" w:history="1">
        <w:r w:rsidR="00B62259" w:rsidRPr="001E5AA3">
          <w:rPr>
            <w:rStyle w:val="Hyperlink"/>
          </w:rPr>
          <w:t>https://cnes.fr/fr</w:t>
        </w:r>
      </w:hyperlink>
    </w:p>
    <w:p w:rsidR="00B62259" w:rsidRDefault="00B62259" w:rsidP="00B62259">
      <w:pPr>
        <w:ind w:firstLine="720"/>
      </w:pPr>
    </w:p>
    <w:p w:rsidR="00B35F4A" w:rsidRPr="00821AF4" w:rsidRDefault="00B35F4A" w:rsidP="00B35F4A">
      <w:pPr>
        <w:pStyle w:val="Headingnon-numbered"/>
      </w:pPr>
      <w:r w:rsidRPr="00821AF4">
        <w:t>Disclaimer</w:t>
      </w:r>
    </w:p>
    <w:p w:rsidR="00B35F4A" w:rsidRDefault="00B35F4A" w:rsidP="00B35F4A">
      <w:r w:rsidRPr="00B35F4A">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B85760" w:rsidRPr="00B35F4A" w:rsidRDefault="00B85760" w:rsidP="00B85760">
      <w:r w:rsidRPr="00B35F4A">
        <w:t xml:space="preserve">The information shown in this web portal is covered by the Bureau of Meteorology’s Copyright Notice – see </w:t>
      </w:r>
      <w:hyperlink r:id="rId18" w:history="1">
        <w:r w:rsidRPr="00B35F4A">
          <w:rPr>
            <w:rStyle w:val="Hyperlink"/>
          </w:rPr>
          <w:t>http://www.bom.gov.au/other/copyright.shtml?ref=ftr</w:t>
        </w:r>
      </w:hyperlink>
      <w:r w:rsidRPr="00B35F4A">
        <w:t>.</w:t>
      </w:r>
    </w:p>
    <w:p w:rsidR="00EA1EFF" w:rsidRDefault="00EA1EFF" w:rsidP="00EA1EFF">
      <w:pPr>
        <w:spacing w:before="0" w:after="0"/>
      </w:pPr>
    </w:p>
    <w:p w:rsidR="00B35F4A" w:rsidRDefault="00B35F4A" w:rsidP="00B35F4A">
      <w:pPr>
        <w:pStyle w:val="Headingnon-numbered"/>
      </w:pPr>
      <w:r>
        <w:t>References</w:t>
      </w:r>
    </w:p>
    <w:p w:rsidR="00327012" w:rsidRPr="00327012" w:rsidRDefault="00B0227C">
      <w:pPr>
        <w:pStyle w:val="NormalWeb"/>
        <w:ind w:left="480" w:hanging="480"/>
        <w:divId w:val="602035496"/>
        <w:rPr>
          <w:rFonts w:ascii="Arial" w:eastAsiaTheme="minorEastAsia" w:hAnsi="Arial" w:cs="Arial"/>
          <w:noProof/>
          <w:sz w:val="20"/>
        </w:rPr>
      </w:pPr>
      <w:r>
        <w:fldChar w:fldCharType="begin" w:fldLock="1"/>
      </w:r>
      <w:r>
        <w:instrText xml:space="preserve">ADDIN Mendeley Bibliography CSL_BIBLIOGRAPHY </w:instrText>
      </w:r>
      <w:r>
        <w:fldChar w:fldCharType="separate"/>
      </w:r>
      <w:r w:rsidR="00327012" w:rsidRPr="00327012">
        <w:rPr>
          <w:rFonts w:ascii="Arial" w:hAnsi="Arial" w:cs="Arial"/>
          <w:noProof/>
          <w:sz w:val="20"/>
        </w:rPr>
        <w:t xml:space="preserve">Cnes 2015, </w:t>
      </w:r>
      <w:r w:rsidR="00327012" w:rsidRPr="00327012">
        <w:rPr>
          <w:rFonts w:ascii="Arial" w:hAnsi="Arial" w:cs="Arial"/>
          <w:i/>
          <w:iCs/>
          <w:noProof/>
          <w:sz w:val="20"/>
        </w:rPr>
        <w:t>SSALTO/DUACS User Handbook: (M)SLA and (M)ADT Near-Real Time and Delayed Time Products</w:t>
      </w:r>
      <w:r w:rsidR="00327012" w:rsidRPr="00327012">
        <w:rPr>
          <w:rFonts w:ascii="Arial" w:hAnsi="Arial" w:cs="Arial"/>
          <w:noProof/>
          <w:sz w:val="20"/>
        </w:rPr>
        <w:t>,.</w:t>
      </w:r>
    </w:p>
    <w:p w:rsidR="00327012" w:rsidRPr="00327012" w:rsidRDefault="00327012">
      <w:pPr>
        <w:pStyle w:val="NormalWeb"/>
        <w:ind w:left="480" w:hanging="480"/>
        <w:divId w:val="602035496"/>
        <w:rPr>
          <w:rFonts w:ascii="Arial" w:hAnsi="Arial" w:cs="Arial"/>
          <w:noProof/>
          <w:sz w:val="20"/>
        </w:rPr>
      </w:pPr>
      <w:r w:rsidRPr="00327012">
        <w:rPr>
          <w:rFonts w:ascii="Arial" w:hAnsi="Arial" w:cs="Arial"/>
          <w:noProof/>
          <w:sz w:val="20"/>
        </w:rPr>
        <w:t xml:space="preserve">Miles, E, Spillman, C, McIntosh, P, Church, J, Charles, A &amp; de Wit, R 2013, ‘Seasonal sea-level predictions for the Western Pacific’, in </w:t>
      </w:r>
      <w:r w:rsidRPr="00327012">
        <w:rPr>
          <w:rFonts w:ascii="Arial" w:hAnsi="Arial" w:cs="Arial"/>
          <w:i/>
          <w:iCs/>
          <w:noProof/>
          <w:sz w:val="20"/>
        </w:rPr>
        <w:t>20th International Congress on Modelling and Simulation</w:t>
      </w:r>
      <w:r w:rsidRPr="00327012">
        <w:rPr>
          <w:rFonts w:ascii="Arial" w:hAnsi="Arial" w:cs="Arial"/>
          <w:noProof/>
          <w:sz w:val="20"/>
        </w:rPr>
        <w:t>, pp. 2855–2861.</w:t>
      </w:r>
    </w:p>
    <w:p w:rsidR="00327012" w:rsidRPr="00327012" w:rsidRDefault="00327012">
      <w:pPr>
        <w:pStyle w:val="NormalWeb"/>
        <w:ind w:left="480" w:hanging="480"/>
        <w:divId w:val="602035496"/>
        <w:rPr>
          <w:rFonts w:ascii="Arial" w:hAnsi="Arial" w:cs="Arial"/>
          <w:noProof/>
          <w:sz w:val="20"/>
        </w:rPr>
      </w:pPr>
      <w:r w:rsidRPr="00327012">
        <w:rPr>
          <w:rFonts w:ascii="Arial" w:hAnsi="Arial" w:cs="Arial"/>
          <w:noProof/>
          <w:sz w:val="20"/>
        </w:rPr>
        <w:t xml:space="preserve">Widlansky, MJ, Timmermann, A, Mcgregor, S, Stuecker, MF &amp; Cai, W 2014, ‘An Interhemispheric tropical sea level seesaw due to el niño taimasa’, </w:t>
      </w:r>
      <w:r w:rsidRPr="00327012">
        <w:rPr>
          <w:rFonts w:ascii="Arial" w:hAnsi="Arial" w:cs="Arial"/>
          <w:i/>
          <w:iCs/>
          <w:noProof/>
          <w:sz w:val="20"/>
        </w:rPr>
        <w:t>Journal of Climate</w:t>
      </w:r>
      <w:r w:rsidRPr="00327012">
        <w:rPr>
          <w:rFonts w:ascii="Arial" w:hAnsi="Arial" w:cs="Arial"/>
          <w:noProof/>
          <w:sz w:val="20"/>
        </w:rPr>
        <w:t>, vol. 27, pp. 1070–1081.</w:t>
      </w:r>
    </w:p>
    <w:p w:rsidR="00EA1EFF" w:rsidRDefault="00B0227C" w:rsidP="00327012">
      <w:pPr>
        <w:pStyle w:val="NormalWeb"/>
        <w:ind w:left="480" w:hanging="480"/>
        <w:divId w:val="846404451"/>
      </w:pPr>
      <w:r>
        <w:fldChar w:fldCharType="end"/>
      </w:r>
    </w:p>
    <w:p w:rsidR="00B35F4A" w:rsidRPr="00821AF4" w:rsidRDefault="00B35F4A" w:rsidP="00B35F4A">
      <w:pPr>
        <w:pStyle w:val="Headingnon-numbered"/>
      </w:pPr>
      <w:r w:rsidRPr="00821AF4">
        <w:t>Contact</w:t>
      </w:r>
    </w:p>
    <w:p w:rsidR="007632CF" w:rsidRPr="007632CF" w:rsidRDefault="00B35F4A" w:rsidP="00372C2C">
      <w:r w:rsidRPr="00B35F4A">
        <w:t xml:space="preserve">For more information, please email </w:t>
      </w:r>
      <w:hyperlink r:id="rId19" w:history="1">
        <w:r w:rsidRPr="00B35F4A">
          <w:rPr>
            <w:rStyle w:val="Hyperlink"/>
          </w:rPr>
          <w:t>cosppac_comp_unit@bom.gov.au</w:t>
        </w:r>
      </w:hyperlink>
      <w:r w:rsidRPr="00B35F4A">
        <w:t>.</w:t>
      </w:r>
    </w:p>
    <w:sectPr w:rsidR="007632CF" w:rsidRPr="007632CF" w:rsidSect="00220984">
      <w:headerReference w:type="default" r:id="rId20"/>
      <w:footerReference w:type="default" r:id="rId21"/>
      <w:headerReference w:type="first" r:id="rId22"/>
      <w:footerReference w:type="first" r:id="rId23"/>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686" w:rsidRDefault="00095686" w:rsidP="00F423EC">
      <w:pPr>
        <w:spacing w:after="0"/>
      </w:pPr>
      <w:r>
        <w:separator/>
      </w:r>
    </w:p>
  </w:endnote>
  <w:endnote w:type="continuationSeparator" w:id="0">
    <w:p w:rsidR="00095686" w:rsidRDefault="00095686"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FEE" w:rsidRDefault="00E65FEE" w:rsidP="0061117D">
    <w:pPr>
      <w:pStyle w:val="Footer"/>
      <w:jc w:val="left"/>
    </w:pPr>
    <w:r>
      <w:rPr>
        <w:noProof/>
        <w:lang w:eastAsia="en-AU"/>
      </w:rPr>
      <w:drawing>
        <wp:anchor distT="0" distB="0" distL="114300" distR="114300" simplePos="0" relativeHeight="251676672" behindDoc="0" locked="0" layoutInCell="1" allowOverlap="1" wp14:anchorId="6D243CF7" wp14:editId="2243C0CD">
          <wp:simplePos x="0" y="0"/>
          <wp:positionH relativeFrom="page">
            <wp:posOffset>-29845</wp:posOffset>
          </wp:positionH>
          <wp:positionV relativeFrom="page">
            <wp:posOffset>9440384</wp:posOffset>
          </wp:positionV>
          <wp:extent cx="7610475" cy="1266825"/>
          <wp:effectExtent l="0" t="0" r="9525" b="9525"/>
          <wp:wrapNone/>
          <wp:docPr id="21" name="Picture 21"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p w:rsidR="00E65FEE" w:rsidRPr="0061117D" w:rsidRDefault="00E65FEE" w:rsidP="006111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FEE" w:rsidRDefault="00E65FEE" w:rsidP="00E32578">
    <w:pPr>
      <w:pStyle w:val="Footer"/>
      <w:jc w:val="left"/>
    </w:pPr>
    <w:r>
      <w:rPr>
        <w:noProof/>
        <w:lang w:eastAsia="en-AU"/>
      </w:rPr>
      <w:drawing>
        <wp:anchor distT="0" distB="0" distL="114300" distR="114300" simplePos="0" relativeHeight="251671552" behindDoc="0" locked="0" layoutInCell="1" allowOverlap="1" wp14:anchorId="15E14AB4" wp14:editId="7EFB8B7E">
          <wp:simplePos x="0" y="0"/>
          <wp:positionH relativeFrom="page">
            <wp:posOffset>-29845</wp:posOffset>
          </wp:positionH>
          <wp:positionV relativeFrom="page">
            <wp:posOffset>9440384</wp:posOffset>
          </wp:positionV>
          <wp:extent cx="7610475" cy="1266825"/>
          <wp:effectExtent l="0" t="0" r="9525" b="9525"/>
          <wp:wrapNone/>
          <wp:docPr id="7" name="Picture 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686" w:rsidRDefault="00095686" w:rsidP="00F423EC">
      <w:pPr>
        <w:spacing w:after="0"/>
      </w:pPr>
      <w:r>
        <w:separator/>
      </w:r>
    </w:p>
  </w:footnote>
  <w:footnote w:type="continuationSeparator" w:id="0">
    <w:p w:rsidR="00095686" w:rsidRDefault="00095686" w:rsidP="00F423EC">
      <w:pPr>
        <w:spacing w:after="0"/>
      </w:pPr>
      <w:r>
        <w:continuationSeparator/>
      </w:r>
    </w:p>
  </w:footnote>
  <w:footnote w:id="1">
    <w:p w:rsidR="00E65FEE" w:rsidRDefault="00E65FEE">
      <w:pPr>
        <w:pStyle w:val="FootnoteText"/>
      </w:pPr>
      <w:r>
        <w:rPr>
          <w:rStyle w:val="FootnoteReference"/>
        </w:rPr>
        <w:footnoteRef/>
      </w:r>
      <w:r>
        <w:t xml:space="preserve"> </w:t>
      </w:r>
      <w:r w:rsidRPr="0016079C">
        <w:t>The IPO is similar to the Pacific Decadal Oscillation (PDO) in terms of sea temperature changes, but affects ocean waters south of 20</w:t>
      </w:r>
      <w:r>
        <w:rPr>
          <w:rFonts w:cs="Arial"/>
        </w:rPr>
        <w:t>°</w:t>
      </w:r>
      <w:r w:rsidRPr="0016079C">
        <w:t xml:space="preserve"> N Latitude, which the PDO does not.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FEE" w:rsidRPr="00F04D00" w:rsidRDefault="00E65FEE" w:rsidP="0061117D">
    <w:r w:rsidRPr="007F7B1E">
      <w:rPr>
        <w:noProof/>
        <w:lang w:eastAsia="en-AU"/>
      </w:rPr>
      <w:drawing>
        <wp:anchor distT="0" distB="0" distL="114300" distR="114300" simplePos="0" relativeHeight="251679744" behindDoc="1" locked="0" layoutInCell="1" allowOverlap="1" wp14:anchorId="40271C48" wp14:editId="3774CB0D">
          <wp:simplePos x="0" y="0"/>
          <wp:positionH relativeFrom="column">
            <wp:posOffset>-12700</wp:posOffset>
          </wp:positionH>
          <wp:positionV relativeFrom="paragraph">
            <wp:posOffset>-93345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74624" behindDoc="0" locked="0" layoutInCell="1" allowOverlap="1" wp14:anchorId="59C20D89" wp14:editId="048E1B83">
              <wp:simplePos x="0" y="0"/>
              <wp:positionH relativeFrom="column">
                <wp:posOffset>4506595</wp:posOffset>
              </wp:positionH>
              <wp:positionV relativeFrom="paragraph">
                <wp:posOffset>-15875</wp:posOffset>
              </wp:positionV>
              <wp:extent cx="1651000" cy="5207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FEE" w:rsidRDefault="00E65FEE" w:rsidP="0061117D">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19" o:spid="_x0000_s1029" type="#_x0000_t202" style="position:absolute;margin-left:354.85pt;margin-top:-1.25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" filled="f" stroked="f" strokeweight=".5pt">
              <v:textbox>
                <w:txbxContent>
                  <w:p w:rsidR="0061117D" w:rsidRDefault="0061117D" w:rsidP="0061117D">
                    <w:pPr>
                      <w:pStyle w:val="Headertitlepage"/>
                    </w:pPr>
                    <w:r>
                      <w:t>Climate and Oceans Support</w:t>
                    </w:r>
                    <w:r w:rsidRPr="00B025A4">
                      <w:t xml:space="preserve"> </w:t>
                    </w:r>
                    <w:r>
                      <w:br/>
                    </w:r>
                    <w:r w:rsidRPr="00B025A4">
                      <w:t>Program in the Pacific</w:t>
                    </w:r>
                  </w:p>
                </w:txbxContent>
              </v:textbox>
            </v:shape>
          </w:pict>
        </mc:Fallback>
      </mc:AlternateContent>
    </w:r>
    <w:r>
      <w:rPr>
        <w:noProof/>
        <w:lang w:eastAsia="en-AU"/>
      </w:rPr>
      <w:drawing>
        <wp:anchor distT="0" distB="0" distL="114300" distR="114300" simplePos="0" relativeHeight="251673600" behindDoc="0" locked="0" layoutInCell="1" allowOverlap="1" wp14:anchorId="5AC222CA" wp14:editId="64BD940B">
          <wp:simplePos x="0" y="0"/>
          <wp:positionH relativeFrom="column">
            <wp:posOffset>3462020</wp:posOffset>
          </wp:positionH>
          <wp:positionV relativeFrom="paragraph">
            <wp:posOffset>-155575</wp:posOffset>
          </wp:positionV>
          <wp:extent cx="923925" cy="866775"/>
          <wp:effectExtent l="0" t="0" r="9525" b="9525"/>
          <wp:wrapSquare wrapText="bothSides"/>
          <wp:docPr id="20" name="Picture 20"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FEE" w:rsidRDefault="00E65F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FEE" w:rsidRPr="00F04D00" w:rsidRDefault="00E65FEE" w:rsidP="007632CF">
    <w:r>
      <w:rPr>
        <w:noProof/>
        <w:lang w:eastAsia="en-AU"/>
      </w:rPr>
      <w:drawing>
        <wp:anchor distT="0" distB="0" distL="114300" distR="114300" simplePos="0" relativeHeight="251677696" behindDoc="1" locked="0" layoutInCell="1" allowOverlap="1" wp14:anchorId="1C482FB3" wp14:editId="185A947C">
          <wp:simplePos x="0" y="0"/>
          <wp:positionH relativeFrom="column">
            <wp:posOffset>3703955</wp:posOffset>
          </wp:positionH>
          <wp:positionV relativeFrom="paragraph">
            <wp:posOffset>32385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2" name="Picture 22"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9504" behindDoc="0" locked="0" layoutInCell="1" allowOverlap="1" wp14:anchorId="65FF2433" wp14:editId="081C997D">
              <wp:simplePos x="0" y="0"/>
              <wp:positionH relativeFrom="column">
                <wp:posOffset>1051721</wp:posOffset>
              </wp:positionH>
              <wp:positionV relativeFrom="paragraph">
                <wp:posOffset>48260</wp:posOffset>
              </wp:positionV>
              <wp:extent cx="1651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FEE" w:rsidRDefault="00E65FEE"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4" o:spid="_x0000_s1030"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7632CF" w:rsidRDefault="007632CF" w:rsidP="00E06DC9">
                    <w:pPr>
                      <w:pStyle w:val="Headertitlepage"/>
                    </w:pPr>
                    <w:r>
                      <w:t>Climate and Oceans Support</w:t>
                    </w:r>
                    <w:r w:rsidRPr="00B025A4">
                      <w:t xml:space="preserve"> </w:t>
                    </w:r>
                    <w:r>
                      <w:br/>
                    </w:r>
                    <w:r w:rsidRPr="00B025A4">
                      <w:t>Program in the Pacific</w:t>
                    </w:r>
                  </w:p>
                </w:txbxContent>
              </v:textbox>
            </v:shape>
          </w:pict>
        </mc:Fallback>
      </mc:AlternateContent>
    </w:r>
    <w:r>
      <w:rPr>
        <w:noProof/>
        <w:lang w:eastAsia="en-AU"/>
      </w:rPr>
      <w:drawing>
        <wp:anchor distT="0" distB="0" distL="114300" distR="114300" simplePos="0" relativeHeight="251668480" behindDoc="0" locked="0" layoutInCell="1" allowOverlap="1" wp14:anchorId="4C390589" wp14:editId="42962A4B">
          <wp:simplePos x="0" y="0"/>
          <wp:positionH relativeFrom="column">
            <wp:posOffset>6985</wp:posOffset>
          </wp:positionH>
          <wp:positionV relativeFrom="paragraph">
            <wp:posOffset>-91440</wp:posOffset>
          </wp:positionV>
          <wp:extent cx="923925" cy="866775"/>
          <wp:effectExtent l="0" t="0" r="9525" b="9525"/>
          <wp:wrapSquare wrapText="bothSides"/>
          <wp:docPr id="6" name="Picture 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7424"/>
    <w:multiLevelType w:val="hybridMultilevel"/>
    <w:tmpl w:val="25F0C0DC"/>
    <w:lvl w:ilvl="0" w:tplc="BA4C8DB0">
      <w:start w:val="4"/>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147664"/>
    <w:multiLevelType w:val="hybridMultilevel"/>
    <w:tmpl w:val="0FF6955A"/>
    <w:lvl w:ilvl="0" w:tplc="56CAE1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C54569"/>
    <w:multiLevelType w:val="multilevel"/>
    <w:tmpl w:val="AA4479C8"/>
    <w:numStyleLink w:val="TableListBulletmaster"/>
  </w:abstractNum>
  <w:abstractNum w:abstractNumId="4">
    <w:nsid w:val="14954CD1"/>
    <w:multiLevelType w:val="multilevel"/>
    <w:tmpl w:val="6EB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AA60C43"/>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61A5E56"/>
    <w:multiLevelType w:val="hybridMultilevel"/>
    <w:tmpl w:val="92A42E76"/>
    <w:lvl w:ilvl="0" w:tplc="B2005D4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68168DB"/>
    <w:multiLevelType w:val="hybridMultilevel"/>
    <w:tmpl w:val="D0D89B06"/>
    <w:lvl w:ilvl="0" w:tplc="3A3A2FD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AE127D3"/>
    <w:multiLevelType w:val="multilevel"/>
    <w:tmpl w:val="28F46D40"/>
    <w:numStyleLink w:val="ListNumbermaster"/>
  </w:abstractNum>
  <w:abstractNum w:abstractNumId="12">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00F721D"/>
    <w:multiLevelType w:val="multilevel"/>
    <w:tmpl w:val="904AEB3A"/>
    <w:numStyleLink w:val="TableListNumbermaster"/>
  </w:abstractNum>
  <w:abstractNum w:abstractNumId="14">
    <w:nsid w:val="322B5675"/>
    <w:multiLevelType w:val="multilevel"/>
    <w:tmpl w:val="28E66356"/>
    <w:numStyleLink w:val="ListAlphanumericmaster"/>
  </w:abstractNum>
  <w:abstractNum w:abstractNumId="15">
    <w:nsid w:val="3AFF07CB"/>
    <w:multiLevelType w:val="hybridMultilevel"/>
    <w:tmpl w:val="62F49F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C5E1CB5"/>
    <w:multiLevelType w:val="multilevel"/>
    <w:tmpl w:val="A0042134"/>
    <w:numStyleLink w:val="ListBulletmaster"/>
  </w:abstractNum>
  <w:abstractNum w:abstractNumId="17">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BF82F10"/>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08C4E67"/>
    <w:multiLevelType w:val="multilevel"/>
    <w:tmpl w:val="E8D621D4"/>
    <w:numStyleLink w:val="AppendixHeadingmaster"/>
  </w:abstractNum>
  <w:abstractNum w:abstractNumId="20">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5B9484C"/>
    <w:multiLevelType w:val="multilevel"/>
    <w:tmpl w:val="BE20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E241E8"/>
    <w:multiLevelType w:val="hybridMultilevel"/>
    <w:tmpl w:val="5A3624F6"/>
    <w:lvl w:ilvl="0" w:tplc="87D68608">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B8730C5"/>
    <w:multiLevelType w:val="hybridMultilevel"/>
    <w:tmpl w:val="D5F80CD4"/>
    <w:lvl w:ilvl="0" w:tplc="7796146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7"/>
  </w:num>
  <w:num w:numId="4">
    <w:abstractNumId w:val="22"/>
  </w:num>
  <w:num w:numId="5">
    <w:abstractNumId w:val="12"/>
  </w:num>
  <w:num w:numId="6">
    <w:abstractNumId w:val="20"/>
  </w:num>
  <w:num w:numId="7">
    <w:abstractNumId w:val="8"/>
  </w:num>
  <w:num w:numId="8">
    <w:abstractNumId w:val="19"/>
  </w:num>
  <w:num w:numId="9">
    <w:abstractNumId w:val="21"/>
  </w:num>
  <w:num w:numId="10">
    <w:abstractNumId w:val="6"/>
  </w:num>
  <w:num w:numId="11">
    <w:abstractNumId w:val="14"/>
  </w:num>
  <w:num w:numId="12">
    <w:abstractNumId w:val="3"/>
  </w:num>
  <w:num w:numId="13">
    <w:abstractNumId w:val="13"/>
  </w:num>
  <w:num w:numId="14">
    <w:abstractNumId w:val="16"/>
  </w:num>
  <w:num w:numId="15">
    <w:abstractNumId w:val="11"/>
  </w:num>
  <w:num w:numId="16">
    <w:abstractNumId w:val="4"/>
  </w:num>
  <w:num w:numId="17">
    <w:abstractNumId w:val="5"/>
  </w:num>
  <w:num w:numId="18">
    <w:abstractNumId w:val="7"/>
  </w:num>
  <w:num w:numId="19">
    <w:abstractNumId w:val="18"/>
  </w:num>
  <w:num w:numId="20">
    <w:abstractNumId w:val="10"/>
  </w:num>
  <w:num w:numId="21">
    <w:abstractNumId w:val="15"/>
  </w:num>
  <w:num w:numId="22">
    <w:abstractNumId w:val="1"/>
  </w:num>
  <w:num w:numId="23">
    <w:abstractNumId w:val="9"/>
  </w:num>
  <w:num w:numId="24">
    <w:abstractNumId w:val="24"/>
  </w:num>
  <w:num w:numId="25">
    <w:abstractNumId w:val="0"/>
  </w:num>
  <w:num w:numId="26">
    <w:abstractNumId w:val="23"/>
  </w:num>
  <w:num w:numId="27">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10687"/>
    <w:rsid w:val="00024CD1"/>
    <w:rsid w:val="00037F6B"/>
    <w:rsid w:val="000455A1"/>
    <w:rsid w:val="00057490"/>
    <w:rsid w:val="0007412E"/>
    <w:rsid w:val="00080C22"/>
    <w:rsid w:val="00090903"/>
    <w:rsid w:val="00093021"/>
    <w:rsid w:val="00095686"/>
    <w:rsid w:val="00095E8D"/>
    <w:rsid w:val="000A4CA7"/>
    <w:rsid w:val="000B2A47"/>
    <w:rsid w:val="000B33D9"/>
    <w:rsid w:val="000C04D3"/>
    <w:rsid w:val="000D62AE"/>
    <w:rsid w:val="000E289C"/>
    <w:rsid w:val="000E2BF7"/>
    <w:rsid w:val="000F0B8C"/>
    <w:rsid w:val="001013A2"/>
    <w:rsid w:val="00103B49"/>
    <w:rsid w:val="001138D9"/>
    <w:rsid w:val="00137B47"/>
    <w:rsid w:val="00141A39"/>
    <w:rsid w:val="00145F78"/>
    <w:rsid w:val="00146BC3"/>
    <w:rsid w:val="0016079C"/>
    <w:rsid w:val="00175879"/>
    <w:rsid w:val="00191932"/>
    <w:rsid w:val="001A35DE"/>
    <w:rsid w:val="001A6D62"/>
    <w:rsid w:val="001A7596"/>
    <w:rsid w:val="001B516B"/>
    <w:rsid w:val="001B62D5"/>
    <w:rsid w:val="001D0A6D"/>
    <w:rsid w:val="001D13F5"/>
    <w:rsid w:val="001F7DD9"/>
    <w:rsid w:val="00200930"/>
    <w:rsid w:val="00220984"/>
    <w:rsid w:val="00221F68"/>
    <w:rsid w:val="00235722"/>
    <w:rsid w:val="00240461"/>
    <w:rsid w:val="00251A4F"/>
    <w:rsid w:val="00262B88"/>
    <w:rsid w:val="00272B14"/>
    <w:rsid w:val="0028539D"/>
    <w:rsid w:val="00297BF4"/>
    <w:rsid w:val="002D26B4"/>
    <w:rsid w:val="002D7E2F"/>
    <w:rsid w:val="002E78FB"/>
    <w:rsid w:val="003036D7"/>
    <w:rsid w:val="00317AE0"/>
    <w:rsid w:val="0032123C"/>
    <w:rsid w:val="00327012"/>
    <w:rsid w:val="00344A47"/>
    <w:rsid w:val="003536A0"/>
    <w:rsid w:val="00357220"/>
    <w:rsid w:val="003575FC"/>
    <w:rsid w:val="003709D7"/>
    <w:rsid w:val="00372C2C"/>
    <w:rsid w:val="00376427"/>
    <w:rsid w:val="003845A8"/>
    <w:rsid w:val="003A734E"/>
    <w:rsid w:val="003E7810"/>
    <w:rsid w:val="003F03BA"/>
    <w:rsid w:val="003F1F36"/>
    <w:rsid w:val="00400ED2"/>
    <w:rsid w:val="00402653"/>
    <w:rsid w:val="004051CC"/>
    <w:rsid w:val="0040736E"/>
    <w:rsid w:val="004111FA"/>
    <w:rsid w:val="00411CCA"/>
    <w:rsid w:val="004122DB"/>
    <w:rsid w:val="00412E09"/>
    <w:rsid w:val="00426F72"/>
    <w:rsid w:val="00427C1E"/>
    <w:rsid w:val="0044437A"/>
    <w:rsid w:val="00444765"/>
    <w:rsid w:val="00453A99"/>
    <w:rsid w:val="00467957"/>
    <w:rsid w:val="00473516"/>
    <w:rsid w:val="004855F1"/>
    <w:rsid w:val="00486FFA"/>
    <w:rsid w:val="004A7649"/>
    <w:rsid w:val="004C5B3C"/>
    <w:rsid w:val="004D1CCC"/>
    <w:rsid w:val="004D2FCB"/>
    <w:rsid w:val="004D752E"/>
    <w:rsid w:val="004E0D06"/>
    <w:rsid w:val="004E5D08"/>
    <w:rsid w:val="004F1CE9"/>
    <w:rsid w:val="00503080"/>
    <w:rsid w:val="00520D3C"/>
    <w:rsid w:val="00531208"/>
    <w:rsid w:val="00533EE7"/>
    <w:rsid w:val="00541E5F"/>
    <w:rsid w:val="005437E3"/>
    <w:rsid w:val="005521F9"/>
    <w:rsid w:val="0056049D"/>
    <w:rsid w:val="0056792F"/>
    <w:rsid w:val="00576AF1"/>
    <w:rsid w:val="00587440"/>
    <w:rsid w:val="0059255C"/>
    <w:rsid w:val="00597592"/>
    <w:rsid w:val="005C418F"/>
    <w:rsid w:val="005C5149"/>
    <w:rsid w:val="005D5975"/>
    <w:rsid w:val="005E0AF9"/>
    <w:rsid w:val="005E1A9D"/>
    <w:rsid w:val="005F0DB7"/>
    <w:rsid w:val="005F2BA8"/>
    <w:rsid w:val="0060610E"/>
    <w:rsid w:val="0061117D"/>
    <w:rsid w:val="00620713"/>
    <w:rsid w:val="00624D37"/>
    <w:rsid w:val="0062719C"/>
    <w:rsid w:val="00641713"/>
    <w:rsid w:val="006435E7"/>
    <w:rsid w:val="006476A4"/>
    <w:rsid w:val="006617D8"/>
    <w:rsid w:val="00661C24"/>
    <w:rsid w:val="0066236C"/>
    <w:rsid w:val="006722C0"/>
    <w:rsid w:val="00682BD7"/>
    <w:rsid w:val="006A50EF"/>
    <w:rsid w:val="006D26D8"/>
    <w:rsid w:val="006E5812"/>
    <w:rsid w:val="006F32D0"/>
    <w:rsid w:val="006F6AC7"/>
    <w:rsid w:val="00705BB1"/>
    <w:rsid w:val="00712E7F"/>
    <w:rsid w:val="00720B65"/>
    <w:rsid w:val="00723483"/>
    <w:rsid w:val="00725071"/>
    <w:rsid w:val="0072661F"/>
    <w:rsid w:val="007358C2"/>
    <w:rsid w:val="007371CD"/>
    <w:rsid w:val="00742A6F"/>
    <w:rsid w:val="007632CF"/>
    <w:rsid w:val="0077730F"/>
    <w:rsid w:val="007856C2"/>
    <w:rsid w:val="007950C6"/>
    <w:rsid w:val="007977EF"/>
    <w:rsid w:val="007A10C7"/>
    <w:rsid w:val="007A4683"/>
    <w:rsid w:val="007C0E4C"/>
    <w:rsid w:val="007C3335"/>
    <w:rsid w:val="007C782D"/>
    <w:rsid w:val="007D383C"/>
    <w:rsid w:val="007D4BD6"/>
    <w:rsid w:val="007D68AF"/>
    <w:rsid w:val="007E27E6"/>
    <w:rsid w:val="007F0F48"/>
    <w:rsid w:val="007F5AAE"/>
    <w:rsid w:val="007F5B24"/>
    <w:rsid w:val="007F6287"/>
    <w:rsid w:val="00810AA4"/>
    <w:rsid w:val="00817581"/>
    <w:rsid w:val="00821AF4"/>
    <w:rsid w:val="00834C7E"/>
    <w:rsid w:val="0084038D"/>
    <w:rsid w:val="00846129"/>
    <w:rsid w:val="00865A66"/>
    <w:rsid w:val="00897217"/>
    <w:rsid w:val="008A3D3E"/>
    <w:rsid w:val="008B5D86"/>
    <w:rsid w:val="008B5EA8"/>
    <w:rsid w:val="008C1A38"/>
    <w:rsid w:val="008D0816"/>
    <w:rsid w:val="008D4405"/>
    <w:rsid w:val="008D7763"/>
    <w:rsid w:val="008E0C29"/>
    <w:rsid w:val="008E7D2D"/>
    <w:rsid w:val="008F07D9"/>
    <w:rsid w:val="008F264B"/>
    <w:rsid w:val="008F295D"/>
    <w:rsid w:val="008F6F2F"/>
    <w:rsid w:val="00902BB0"/>
    <w:rsid w:val="009134A9"/>
    <w:rsid w:val="00935336"/>
    <w:rsid w:val="0094404C"/>
    <w:rsid w:val="0094733E"/>
    <w:rsid w:val="00951434"/>
    <w:rsid w:val="00954C74"/>
    <w:rsid w:val="00956356"/>
    <w:rsid w:val="00956E06"/>
    <w:rsid w:val="00980814"/>
    <w:rsid w:val="00984B5E"/>
    <w:rsid w:val="0098688E"/>
    <w:rsid w:val="009B6945"/>
    <w:rsid w:val="009D5235"/>
    <w:rsid w:val="00A21030"/>
    <w:rsid w:val="00A524F6"/>
    <w:rsid w:val="00A5252F"/>
    <w:rsid w:val="00A5732D"/>
    <w:rsid w:val="00A63B08"/>
    <w:rsid w:val="00A67990"/>
    <w:rsid w:val="00A70B32"/>
    <w:rsid w:val="00A730C0"/>
    <w:rsid w:val="00A80679"/>
    <w:rsid w:val="00A91FF2"/>
    <w:rsid w:val="00A971FD"/>
    <w:rsid w:val="00AA3419"/>
    <w:rsid w:val="00AB5915"/>
    <w:rsid w:val="00AC04EF"/>
    <w:rsid w:val="00AD4A1D"/>
    <w:rsid w:val="00AD7A19"/>
    <w:rsid w:val="00AE0906"/>
    <w:rsid w:val="00AE1731"/>
    <w:rsid w:val="00AE7DFC"/>
    <w:rsid w:val="00AF241B"/>
    <w:rsid w:val="00AF2B31"/>
    <w:rsid w:val="00AF5B2D"/>
    <w:rsid w:val="00B0227C"/>
    <w:rsid w:val="00B16BD1"/>
    <w:rsid w:val="00B207E4"/>
    <w:rsid w:val="00B23EC8"/>
    <w:rsid w:val="00B268A9"/>
    <w:rsid w:val="00B27D69"/>
    <w:rsid w:val="00B35F09"/>
    <w:rsid w:val="00B35F4A"/>
    <w:rsid w:val="00B371D4"/>
    <w:rsid w:val="00B5059C"/>
    <w:rsid w:val="00B534F1"/>
    <w:rsid w:val="00B62259"/>
    <w:rsid w:val="00B724E9"/>
    <w:rsid w:val="00B728A7"/>
    <w:rsid w:val="00B80308"/>
    <w:rsid w:val="00B847D5"/>
    <w:rsid w:val="00B85760"/>
    <w:rsid w:val="00B8718F"/>
    <w:rsid w:val="00B87293"/>
    <w:rsid w:val="00BB7FF5"/>
    <w:rsid w:val="00BC2906"/>
    <w:rsid w:val="00BD2ED9"/>
    <w:rsid w:val="00BE63B8"/>
    <w:rsid w:val="00C07583"/>
    <w:rsid w:val="00C0785E"/>
    <w:rsid w:val="00C17CC8"/>
    <w:rsid w:val="00C200F7"/>
    <w:rsid w:val="00C446D1"/>
    <w:rsid w:val="00C54DD4"/>
    <w:rsid w:val="00C61CEC"/>
    <w:rsid w:val="00C622F5"/>
    <w:rsid w:val="00C825A6"/>
    <w:rsid w:val="00C84E1E"/>
    <w:rsid w:val="00C9597C"/>
    <w:rsid w:val="00CA1A02"/>
    <w:rsid w:val="00CA1B5E"/>
    <w:rsid w:val="00CA6AC2"/>
    <w:rsid w:val="00CC4A00"/>
    <w:rsid w:val="00CD1A7F"/>
    <w:rsid w:val="00CD3697"/>
    <w:rsid w:val="00CD6D74"/>
    <w:rsid w:val="00CE01C4"/>
    <w:rsid w:val="00CE0B5A"/>
    <w:rsid w:val="00CE2644"/>
    <w:rsid w:val="00D122CA"/>
    <w:rsid w:val="00D17864"/>
    <w:rsid w:val="00D24091"/>
    <w:rsid w:val="00D2415F"/>
    <w:rsid w:val="00D425DC"/>
    <w:rsid w:val="00D4542F"/>
    <w:rsid w:val="00D57669"/>
    <w:rsid w:val="00D64529"/>
    <w:rsid w:val="00D778BF"/>
    <w:rsid w:val="00D879EE"/>
    <w:rsid w:val="00DA56CE"/>
    <w:rsid w:val="00DB6E0F"/>
    <w:rsid w:val="00DB7892"/>
    <w:rsid w:val="00DC10F6"/>
    <w:rsid w:val="00DD114A"/>
    <w:rsid w:val="00DE2999"/>
    <w:rsid w:val="00DE383C"/>
    <w:rsid w:val="00DE41AB"/>
    <w:rsid w:val="00DF17B2"/>
    <w:rsid w:val="00DF226C"/>
    <w:rsid w:val="00DF7713"/>
    <w:rsid w:val="00E06DC9"/>
    <w:rsid w:val="00E32578"/>
    <w:rsid w:val="00E40D4E"/>
    <w:rsid w:val="00E46ED8"/>
    <w:rsid w:val="00E524BF"/>
    <w:rsid w:val="00E54F4D"/>
    <w:rsid w:val="00E57245"/>
    <w:rsid w:val="00E57F8D"/>
    <w:rsid w:val="00E65FEE"/>
    <w:rsid w:val="00E66556"/>
    <w:rsid w:val="00E853D3"/>
    <w:rsid w:val="00EA1EFF"/>
    <w:rsid w:val="00EA52D2"/>
    <w:rsid w:val="00EA7799"/>
    <w:rsid w:val="00EC356D"/>
    <w:rsid w:val="00ED0E81"/>
    <w:rsid w:val="00EE4A6C"/>
    <w:rsid w:val="00EF0E01"/>
    <w:rsid w:val="00EF3050"/>
    <w:rsid w:val="00EF37DD"/>
    <w:rsid w:val="00F04D00"/>
    <w:rsid w:val="00F06F8C"/>
    <w:rsid w:val="00F127AE"/>
    <w:rsid w:val="00F13398"/>
    <w:rsid w:val="00F2260F"/>
    <w:rsid w:val="00F41636"/>
    <w:rsid w:val="00F423EC"/>
    <w:rsid w:val="00F45F1F"/>
    <w:rsid w:val="00F46F28"/>
    <w:rsid w:val="00F50C15"/>
    <w:rsid w:val="00F5399D"/>
    <w:rsid w:val="00F5592E"/>
    <w:rsid w:val="00F5739D"/>
    <w:rsid w:val="00F57AEE"/>
    <w:rsid w:val="00F64938"/>
    <w:rsid w:val="00F724A9"/>
    <w:rsid w:val="00F7387D"/>
    <w:rsid w:val="00F74440"/>
    <w:rsid w:val="00F75DEA"/>
    <w:rsid w:val="00F87FAF"/>
    <w:rsid w:val="00F90582"/>
    <w:rsid w:val="00F9179B"/>
    <w:rsid w:val="00F948A2"/>
    <w:rsid w:val="00FB4E9E"/>
    <w:rsid w:val="00FC3EFD"/>
    <w:rsid w:val="00FC5C3D"/>
    <w:rsid w:val="00FD3C48"/>
    <w:rsid w:val="00FE1117"/>
    <w:rsid w:val="00FE1F38"/>
    <w:rsid w:val="00FF01AC"/>
    <w:rsid w:val="00FF3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semiHidden/>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semiHidden/>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semiHidden/>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character" w:styleId="FollowedHyperlink">
    <w:name w:val="FollowedHyperlink"/>
    <w:basedOn w:val="DefaultParagraphFont"/>
    <w:uiPriority w:val="99"/>
    <w:semiHidden/>
    <w:rsid w:val="00CE2644"/>
    <w:rPr>
      <w:color w:val="800080" w:themeColor="followedHyperlink"/>
      <w:u w:val="single"/>
    </w:rPr>
  </w:style>
  <w:style w:type="character" w:styleId="CommentReference">
    <w:name w:val="annotation reference"/>
    <w:basedOn w:val="DefaultParagraphFont"/>
    <w:uiPriority w:val="99"/>
    <w:semiHidden/>
    <w:rsid w:val="00AE1731"/>
    <w:rPr>
      <w:sz w:val="16"/>
      <w:szCs w:val="16"/>
    </w:rPr>
  </w:style>
  <w:style w:type="paragraph" w:styleId="CommentText">
    <w:name w:val="annotation text"/>
    <w:basedOn w:val="Normal"/>
    <w:link w:val="CommentTextChar"/>
    <w:uiPriority w:val="99"/>
    <w:semiHidden/>
    <w:rsid w:val="00AE1731"/>
    <w:pPr>
      <w:spacing w:line="240" w:lineRule="auto"/>
    </w:pPr>
    <w:rPr>
      <w:sz w:val="20"/>
      <w:szCs w:val="20"/>
    </w:rPr>
  </w:style>
  <w:style w:type="character" w:customStyle="1" w:styleId="CommentTextChar">
    <w:name w:val="Comment Text Char"/>
    <w:basedOn w:val="DefaultParagraphFont"/>
    <w:link w:val="CommentText"/>
    <w:uiPriority w:val="99"/>
    <w:semiHidden/>
    <w:rsid w:val="00AE1731"/>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AE1731"/>
    <w:rPr>
      <w:b/>
      <w:bCs/>
    </w:rPr>
  </w:style>
  <w:style w:type="character" w:customStyle="1" w:styleId="CommentSubjectChar">
    <w:name w:val="Comment Subject Char"/>
    <w:basedOn w:val="CommentTextChar"/>
    <w:link w:val="CommentSubject"/>
    <w:uiPriority w:val="99"/>
    <w:semiHidden/>
    <w:rsid w:val="00AE1731"/>
    <w:rPr>
      <w:rFonts w:ascii="Arial" w:hAnsi="Arial"/>
      <w:b/>
      <w:bCs/>
      <w:sz w:val="20"/>
      <w:szCs w:val="20"/>
      <w:lang w:val="en-AU"/>
    </w:rPr>
  </w:style>
  <w:style w:type="paragraph" w:styleId="NormalWeb">
    <w:name w:val="Normal (Web)"/>
    <w:basedOn w:val="Normal"/>
    <w:uiPriority w:val="99"/>
    <w:unhideWhenUsed/>
    <w:rsid w:val="00AA34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A3419"/>
    <w:rPr>
      <w:b/>
      <w:bCs/>
    </w:rPr>
  </w:style>
  <w:style w:type="paragraph" w:styleId="Revision">
    <w:name w:val="Revision"/>
    <w:hidden/>
    <w:uiPriority w:val="99"/>
    <w:semiHidden/>
    <w:rsid w:val="001013A2"/>
    <w:pPr>
      <w:spacing w:after="0" w:line="240" w:lineRule="auto"/>
    </w:pPr>
    <w:rPr>
      <w:rFonts w:ascii="Arial" w:hAnsi="Arial"/>
      <w:sz w:val="21"/>
      <w:lang w:val="en-AU"/>
    </w:rPr>
  </w:style>
  <w:style w:type="character" w:customStyle="1" w:styleId="apple-converted-space">
    <w:name w:val="apple-converted-space"/>
    <w:basedOn w:val="DefaultParagraphFont"/>
    <w:rsid w:val="00E46ED8"/>
  </w:style>
  <w:style w:type="character" w:styleId="HTMLDefinition">
    <w:name w:val="HTML Definition"/>
    <w:basedOn w:val="DefaultParagraphFont"/>
    <w:uiPriority w:val="99"/>
    <w:semiHidden/>
    <w:unhideWhenUsed/>
    <w:rsid w:val="00E46ED8"/>
    <w:rPr>
      <w:i/>
      <w:iCs/>
    </w:rPr>
  </w:style>
  <w:style w:type="paragraph" w:customStyle="1" w:styleId="bodytext0">
    <w:name w:val="bodytext"/>
    <w:basedOn w:val="Normal"/>
    <w:rsid w:val="0072507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rsid w:val="00742A6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A6F"/>
    <w:rPr>
      <w:rFonts w:ascii="Arial" w:hAnsi="Arial"/>
      <w:sz w:val="20"/>
      <w:szCs w:val="20"/>
      <w:lang w:val="en-AU"/>
    </w:rPr>
  </w:style>
  <w:style w:type="character" w:styleId="FootnoteReference">
    <w:name w:val="footnote reference"/>
    <w:basedOn w:val="DefaultParagraphFont"/>
    <w:uiPriority w:val="99"/>
    <w:semiHidden/>
    <w:rsid w:val="00742A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22"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uiPriority w:val="22"/>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semiHidden/>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semiHidden/>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semiHidden/>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character" w:styleId="FollowedHyperlink">
    <w:name w:val="FollowedHyperlink"/>
    <w:basedOn w:val="DefaultParagraphFont"/>
    <w:uiPriority w:val="99"/>
    <w:semiHidden/>
    <w:rsid w:val="00CE2644"/>
    <w:rPr>
      <w:color w:val="800080" w:themeColor="followedHyperlink"/>
      <w:u w:val="single"/>
    </w:rPr>
  </w:style>
  <w:style w:type="character" w:styleId="CommentReference">
    <w:name w:val="annotation reference"/>
    <w:basedOn w:val="DefaultParagraphFont"/>
    <w:uiPriority w:val="99"/>
    <w:semiHidden/>
    <w:rsid w:val="00AE1731"/>
    <w:rPr>
      <w:sz w:val="16"/>
      <w:szCs w:val="16"/>
    </w:rPr>
  </w:style>
  <w:style w:type="paragraph" w:styleId="CommentText">
    <w:name w:val="annotation text"/>
    <w:basedOn w:val="Normal"/>
    <w:link w:val="CommentTextChar"/>
    <w:uiPriority w:val="99"/>
    <w:semiHidden/>
    <w:rsid w:val="00AE1731"/>
    <w:pPr>
      <w:spacing w:line="240" w:lineRule="auto"/>
    </w:pPr>
    <w:rPr>
      <w:sz w:val="20"/>
      <w:szCs w:val="20"/>
    </w:rPr>
  </w:style>
  <w:style w:type="character" w:customStyle="1" w:styleId="CommentTextChar">
    <w:name w:val="Comment Text Char"/>
    <w:basedOn w:val="DefaultParagraphFont"/>
    <w:link w:val="CommentText"/>
    <w:uiPriority w:val="99"/>
    <w:semiHidden/>
    <w:rsid w:val="00AE1731"/>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AE1731"/>
    <w:rPr>
      <w:b/>
      <w:bCs/>
    </w:rPr>
  </w:style>
  <w:style w:type="character" w:customStyle="1" w:styleId="CommentSubjectChar">
    <w:name w:val="Comment Subject Char"/>
    <w:basedOn w:val="CommentTextChar"/>
    <w:link w:val="CommentSubject"/>
    <w:uiPriority w:val="99"/>
    <w:semiHidden/>
    <w:rsid w:val="00AE1731"/>
    <w:rPr>
      <w:rFonts w:ascii="Arial" w:hAnsi="Arial"/>
      <w:b/>
      <w:bCs/>
      <w:sz w:val="20"/>
      <w:szCs w:val="20"/>
      <w:lang w:val="en-AU"/>
    </w:rPr>
  </w:style>
  <w:style w:type="paragraph" w:styleId="NormalWeb">
    <w:name w:val="Normal (Web)"/>
    <w:basedOn w:val="Normal"/>
    <w:uiPriority w:val="99"/>
    <w:unhideWhenUsed/>
    <w:rsid w:val="00AA34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AA3419"/>
    <w:rPr>
      <w:b/>
      <w:bCs/>
    </w:rPr>
  </w:style>
  <w:style w:type="paragraph" w:styleId="Revision">
    <w:name w:val="Revision"/>
    <w:hidden/>
    <w:uiPriority w:val="99"/>
    <w:semiHidden/>
    <w:rsid w:val="001013A2"/>
    <w:pPr>
      <w:spacing w:after="0" w:line="240" w:lineRule="auto"/>
    </w:pPr>
    <w:rPr>
      <w:rFonts w:ascii="Arial" w:hAnsi="Arial"/>
      <w:sz w:val="21"/>
      <w:lang w:val="en-AU"/>
    </w:rPr>
  </w:style>
  <w:style w:type="character" w:customStyle="1" w:styleId="apple-converted-space">
    <w:name w:val="apple-converted-space"/>
    <w:basedOn w:val="DefaultParagraphFont"/>
    <w:rsid w:val="00E46ED8"/>
  </w:style>
  <w:style w:type="character" w:styleId="HTMLDefinition">
    <w:name w:val="HTML Definition"/>
    <w:basedOn w:val="DefaultParagraphFont"/>
    <w:uiPriority w:val="99"/>
    <w:semiHidden/>
    <w:unhideWhenUsed/>
    <w:rsid w:val="00E46ED8"/>
    <w:rPr>
      <w:i/>
      <w:iCs/>
    </w:rPr>
  </w:style>
  <w:style w:type="paragraph" w:customStyle="1" w:styleId="bodytext0">
    <w:name w:val="bodytext"/>
    <w:basedOn w:val="Normal"/>
    <w:rsid w:val="0072507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rsid w:val="00742A6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A6F"/>
    <w:rPr>
      <w:rFonts w:ascii="Arial" w:hAnsi="Arial"/>
      <w:sz w:val="20"/>
      <w:szCs w:val="20"/>
      <w:lang w:val="en-AU"/>
    </w:rPr>
  </w:style>
  <w:style w:type="character" w:styleId="FootnoteReference">
    <w:name w:val="footnote reference"/>
    <w:basedOn w:val="DefaultParagraphFont"/>
    <w:uiPriority w:val="99"/>
    <w:semiHidden/>
    <w:rsid w:val="00742A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3430">
      <w:bodyDiv w:val="1"/>
      <w:marLeft w:val="0"/>
      <w:marRight w:val="0"/>
      <w:marTop w:val="0"/>
      <w:marBottom w:val="0"/>
      <w:divBdr>
        <w:top w:val="none" w:sz="0" w:space="0" w:color="auto"/>
        <w:left w:val="none" w:sz="0" w:space="0" w:color="auto"/>
        <w:bottom w:val="none" w:sz="0" w:space="0" w:color="auto"/>
        <w:right w:val="none" w:sz="0" w:space="0" w:color="auto"/>
      </w:divBdr>
    </w:div>
    <w:div w:id="846404451">
      <w:bodyDiv w:val="1"/>
      <w:marLeft w:val="0"/>
      <w:marRight w:val="0"/>
      <w:marTop w:val="0"/>
      <w:marBottom w:val="0"/>
      <w:divBdr>
        <w:top w:val="none" w:sz="0" w:space="0" w:color="auto"/>
        <w:left w:val="none" w:sz="0" w:space="0" w:color="auto"/>
        <w:bottom w:val="none" w:sz="0" w:space="0" w:color="auto"/>
        <w:right w:val="none" w:sz="0" w:space="0" w:color="auto"/>
      </w:divBdr>
      <w:divsChild>
        <w:div w:id="602035496">
          <w:marLeft w:val="0"/>
          <w:marRight w:val="0"/>
          <w:marTop w:val="0"/>
          <w:marBottom w:val="0"/>
          <w:divBdr>
            <w:top w:val="none" w:sz="0" w:space="0" w:color="auto"/>
            <w:left w:val="none" w:sz="0" w:space="0" w:color="auto"/>
            <w:bottom w:val="none" w:sz="0" w:space="0" w:color="auto"/>
            <w:right w:val="none" w:sz="0" w:space="0" w:color="auto"/>
          </w:divBdr>
        </w:div>
      </w:divsChild>
    </w:div>
    <w:div w:id="962492273">
      <w:bodyDiv w:val="1"/>
      <w:marLeft w:val="0"/>
      <w:marRight w:val="0"/>
      <w:marTop w:val="0"/>
      <w:marBottom w:val="0"/>
      <w:divBdr>
        <w:top w:val="none" w:sz="0" w:space="0" w:color="auto"/>
        <w:left w:val="none" w:sz="0" w:space="0" w:color="auto"/>
        <w:bottom w:val="none" w:sz="0" w:space="0" w:color="auto"/>
        <w:right w:val="none" w:sz="0" w:space="0" w:color="auto"/>
      </w:divBdr>
    </w:div>
    <w:div w:id="1680231416">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885484974">
      <w:bodyDiv w:val="1"/>
      <w:marLeft w:val="0"/>
      <w:marRight w:val="0"/>
      <w:marTop w:val="0"/>
      <w:marBottom w:val="0"/>
      <w:divBdr>
        <w:top w:val="none" w:sz="0" w:space="0" w:color="auto"/>
        <w:left w:val="none" w:sz="0" w:space="0" w:color="auto"/>
        <w:bottom w:val="none" w:sz="0" w:space="0" w:color="auto"/>
        <w:right w:val="none" w:sz="0" w:space="0" w:color="auto"/>
      </w:divBdr>
    </w:div>
    <w:div w:id="19643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bom.gov.au/other/copyright.shtml?ref=ft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nes.fr/f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toh.legos.obs-mip.f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legos.obs-mip.fr/"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cosppac_comp_unit@bom.gov.a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viso.altimetry.fr/"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2534C-2FBE-463E-BC5C-89C25A86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67</TotalTime>
  <Pages>4</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13662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11</cp:revision>
  <cp:lastPrinted>2016-08-26T02:26:00Z</cp:lastPrinted>
  <dcterms:created xsi:type="dcterms:W3CDTF">2015-08-25T01:42:00Z</dcterms:created>
  <dcterms:modified xsi:type="dcterms:W3CDTF">2016-08-26T02:26:00Z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w.al-sudani@bom.gov.au@www.mendeley.com</vt:lpwstr>
  </property>
  <property fmtid="{D5CDD505-2E9C-101B-9397-08002B2CF9AE}" pid="4" name="Mendeley Citation Style_1">
    <vt:lpwstr>http://www.zotero.org/styles/harvard-the-university-of-melbourne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http://www.zotero.org/styles/harvard-the-university-of-melbourne</vt:lpwstr>
  </property>
  <property fmtid="{D5CDD505-2E9C-101B-9397-08002B2CF9AE}" pid="14" name="Mendeley Recent Style Name 4_1">
    <vt:lpwstr>Harvard - The University of Melbourne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