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9968F9" w:rsidRDefault="00821AF4" w:rsidP="00BB7FF5">
      <w:pPr>
        <w:pStyle w:val="Headingnon-numbered"/>
        <w:rPr>
          <w:sz w:val="28"/>
          <w:szCs w:val="28"/>
        </w:rPr>
      </w:pPr>
      <w:r w:rsidRPr="009968F9">
        <w:rPr>
          <w:sz w:val="28"/>
          <w:szCs w:val="28"/>
        </w:rPr>
        <w:t>COSPPac Ocean Portal</w:t>
      </w:r>
    </w:p>
    <w:p w:rsidR="00821AF4" w:rsidRPr="009968F9" w:rsidRDefault="00821AF4" w:rsidP="00BB7FF5">
      <w:pPr>
        <w:pStyle w:val="Headingnon-numbered"/>
        <w:rPr>
          <w:sz w:val="28"/>
          <w:szCs w:val="28"/>
        </w:rPr>
      </w:pPr>
      <w:r w:rsidRPr="009968F9">
        <w:rPr>
          <w:sz w:val="28"/>
          <w:szCs w:val="28"/>
        </w:rPr>
        <w:t xml:space="preserve">About: </w:t>
      </w:r>
      <w:r w:rsidR="00950F9B" w:rsidRPr="009968F9">
        <w:rPr>
          <w:sz w:val="28"/>
          <w:szCs w:val="28"/>
        </w:rPr>
        <w:t xml:space="preserve">Wave </w:t>
      </w:r>
      <w:r w:rsidR="00D57B25" w:rsidRPr="009968F9">
        <w:rPr>
          <w:sz w:val="28"/>
          <w:szCs w:val="28"/>
        </w:rPr>
        <w:t xml:space="preserve">and Wind </w:t>
      </w:r>
      <w:r w:rsidR="00950F9B" w:rsidRPr="009968F9">
        <w:rPr>
          <w:sz w:val="28"/>
          <w:szCs w:val="28"/>
        </w:rPr>
        <w:t>Forecasts</w:t>
      </w:r>
    </w:p>
    <w:p w:rsidR="00BB7FF5" w:rsidRDefault="00BB7FF5" w:rsidP="00BB7FF5">
      <w:pPr>
        <w:pStyle w:val="BodyText"/>
      </w:pPr>
    </w:p>
    <w:p w:rsidR="003E39C5" w:rsidRPr="009968F9" w:rsidRDefault="00323FEB" w:rsidP="003E39C5">
      <w:pPr>
        <w:pStyle w:val="Headingnon-numbered"/>
        <w:rPr>
          <w:i/>
        </w:rPr>
      </w:pPr>
      <w:r w:rsidRPr="009968F9">
        <w:rPr>
          <w:i/>
        </w:rPr>
        <w:t>In Brief</w:t>
      </w:r>
    </w:p>
    <w:p w:rsidR="00323FEB" w:rsidRPr="009968F9" w:rsidRDefault="00323FEB" w:rsidP="003E39C5">
      <w:pPr>
        <w:rPr>
          <w:i/>
        </w:rPr>
      </w:pPr>
      <w:r w:rsidRPr="009968F9">
        <w:rPr>
          <w:i/>
        </w:rPr>
        <w:t xml:space="preserve">Wave and wind forecast information is available </w:t>
      </w:r>
      <w:r w:rsidR="002D7A90" w:rsidRPr="009968F9">
        <w:rPr>
          <w:i/>
        </w:rPr>
        <w:t>with a</w:t>
      </w:r>
      <w:r w:rsidRPr="009968F9">
        <w:rPr>
          <w:i/>
        </w:rPr>
        <w:t xml:space="preserve"> lead time of </w:t>
      </w:r>
      <w:r w:rsidR="00D961F7" w:rsidRPr="009968F9">
        <w:rPr>
          <w:b/>
          <w:i/>
        </w:rPr>
        <w:t xml:space="preserve">seven </w:t>
      </w:r>
      <w:r w:rsidRPr="009968F9">
        <w:rPr>
          <w:b/>
          <w:i/>
        </w:rPr>
        <w:t>days</w:t>
      </w:r>
      <w:r w:rsidRPr="009968F9">
        <w:rPr>
          <w:i/>
        </w:rPr>
        <w:t xml:space="preserve">. Parameters available are </w:t>
      </w:r>
      <w:r w:rsidRPr="009968F9">
        <w:rPr>
          <w:b/>
          <w:i/>
        </w:rPr>
        <w:t>wave height</w:t>
      </w:r>
      <w:r w:rsidR="00073EE2" w:rsidRPr="009968F9">
        <w:rPr>
          <w:b/>
          <w:i/>
        </w:rPr>
        <w:t xml:space="preserve"> (wind-sea and swell)</w:t>
      </w:r>
      <w:r w:rsidRPr="009968F9">
        <w:rPr>
          <w:i/>
        </w:rPr>
        <w:t xml:space="preserve">, </w:t>
      </w:r>
      <w:r w:rsidRPr="009968F9">
        <w:rPr>
          <w:b/>
          <w:i/>
        </w:rPr>
        <w:t>wave direction</w:t>
      </w:r>
      <w:r w:rsidRPr="009968F9">
        <w:rPr>
          <w:i/>
        </w:rPr>
        <w:t xml:space="preserve">, </w:t>
      </w:r>
      <w:r w:rsidRPr="009968F9">
        <w:rPr>
          <w:b/>
          <w:i/>
        </w:rPr>
        <w:t>wave period</w:t>
      </w:r>
      <w:r w:rsidRPr="009968F9">
        <w:rPr>
          <w:i/>
        </w:rPr>
        <w:t xml:space="preserve">, and </w:t>
      </w:r>
      <w:r w:rsidRPr="009968F9">
        <w:rPr>
          <w:b/>
          <w:i/>
        </w:rPr>
        <w:t>wind speed with direction</w:t>
      </w:r>
      <w:r w:rsidRPr="009968F9">
        <w:rPr>
          <w:i/>
        </w:rPr>
        <w:t>.</w:t>
      </w:r>
    </w:p>
    <w:p w:rsidR="00D57B25" w:rsidRPr="009968F9" w:rsidRDefault="00D57B25" w:rsidP="003E39C5">
      <w:pPr>
        <w:rPr>
          <w:i/>
        </w:rPr>
      </w:pPr>
      <w:r w:rsidRPr="009968F9">
        <w:rPr>
          <w:i/>
        </w:rPr>
        <w:t xml:space="preserve">The wave forecast should be used as an indicator of large wave events that may be travelling towards a particular region. The model </w:t>
      </w:r>
      <w:r w:rsidR="00121826" w:rsidRPr="009968F9">
        <w:rPr>
          <w:i/>
        </w:rPr>
        <w:t>may not account for local effects in</w:t>
      </w:r>
      <w:r w:rsidRPr="009968F9">
        <w:rPr>
          <w:i/>
        </w:rPr>
        <w:t xml:space="preserve"> the coastal zone</w:t>
      </w:r>
      <w:r w:rsidR="00D961F7" w:rsidRPr="009968F9">
        <w:rPr>
          <w:i/>
        </w:rPr>
        <w:t>.</w:t>
      </w:r>
      <w:r w:rsidRPr="009968F9">
        <w:rPr>
          <w:i/>
        </w:rPr>
        <w:t xml:space="preserve"> </w:t>
      </w:r>
      <w:r w:rsidR="00D961F7" w:rsidRPr="009968F9">
        <w:rPr>
          <w:i/>
        </w:rPr>
        <w:t>H</w:t>
      </w:r>
      <w:r w:rsidRPr="009968F9">
        <w:rPr>
          <w:i/>
        </w:rPr>
        <w:t>owever, when there are large offshore waves travelling towards a coastal region, the waves experienced along the coast will generally be larger than normal as well.</w:t>
      </w:r>
    </w:p>
    <w:p w:rsidR="00D57B25" w:rsidRPr="009968F9" w:rsidRDefault="00D57B25" w:rsidP="003E39C5">
      <w:pPr>
        <w:rPr>
          <w:i/>
        </w:rPr>
      </w:pPr>
      <w:r w:rsidRPr="009968F9">
        <w:rPr>
          <w:i/>
        </w:rPr>
        <w:t>It is recommended that the wave forecast be accessed repeatedly in the days leading up to the time when wave information is critical</w:t>
      </w:r>
      <w:r w:rsidR="00ED1ED3" w:rsidRPr="009968F9">
        <w:rPr>
          <w:i/>
        </w:rPr>
        <w:t>,</w:t>
      </w:r>
      <w:r w:rsidRPr="009968F9">
        <w:rPr>
          <w:i/>
        </w:rPr>
        <w:t xml:space="preserve"> </w:t>
      </w:r>
      <w:r w:rsidR="00D961F7" w:rsidRPr="009968F9">
        <w:rPr>
          <w:i/>
        </w:rPr>
        <w:t xml:space="preserve">as there are likely to be at least subtle changes </w:t>
      </w:r>
      <w:r w:rsidRPr="009968F9">
        <w:rPr>
          <w:i/>
        </w:rPr>
        <w:t>in the forecast</w:t>
      </w:r>
      <w:r w:rsidR="00D961F7" w:rsidRPr="009968F9">
        <w:rPr>
          <w:i/>
        </w:rPr>
        <w:t>.</w:t>
      </w:r>
    </w:p>
    <w:p w:rsidR="00323FEB" w:rsidRDefault="00323FEB" w:rsidP="00BB7FF5">
      <w:pPr>
        <w:pStyle w:val="BodyText"/>
      </w:pPr>
    </w:p>
    <w:p w:rsidR="003E39C5" w:rsidRDefault="002D4DF3" w:rsidP="003E39C5">
      <w:pPr>
        <w:pStyle w:val="Headingnon-numbered"/>
      </w:pPr>
      <w:r>
        <w:t>Introduction</w:t>
      </w:r>
    </w:p>
    <w:p w:rsidR="00D45D24" w:rsidRDefault="008E12F7" w:rsidP="003E39C5">
      <w:r>
        <w:t>The ocean surface is often observed as having an uneven and chaotic nature. What we are observing is</w:t>
      </w:r>
      <w:r w:rsidR="00D45D24" w:rsidRPr="003E39C5">
        <w:t xml:space="preserve"> </w:t>
      </w:r>
      <w:r>
        <w:t>the combination of many</w:t>
      </w:r>
      <w:r w:rsidR="00D45D24" w:rsidRPr="003E39C5">
        <w:t xml:space="preserve"> waves </w:t>
      </w:r>
      <w:r>
        <w:t xml:space="preserve">of different size and speed </w:t>
      </w:r>
      <w:r w:rsidR="00D45D24" w:rsidRPr="003E39C5">
        <w:t>travelling in different directions. The waves may have been produced by local winds</w:t>
      </w:r>
      <w:r w:rsidR="00810375">
        <w:t>, referred to as wind-sea</w:t>
      </w:r>
      <w:r w:rsidR="00D45D24" w:rsidRPr="003E39C5">
        <w:t>, or</w:t>
      </w:r>
      <w:r w:rsidR="00ED1ED3">
        <w:t xml:space="preserve"> could</w:t>
      </w:r>
      <w:r w:rsidR="00D45D24" w:rsidRPr="003E39C5">
        <w:t xml:space="preserve"> have been created many kilometres away from distant storms</w:t>
      </w:r>
      <w:r w:rsidR="00810375">
        <w:t>, referred to as swell</w:t>
      </w:r>
      <w:r w:rsidR="00D45D24" w:rsidRPr="003E39C5">
        <w:t>.</w:t>
      </w:r>
      <w:r w:rsidR="001E08F3">
        <w:t xml:space="preserve"> </w:t>
      </w:r>
    </w:p>
    <w:p w:rsidR="00287596" w:rsidRDefault="00E412D7" w:rsidP="00A07057">
      <w:pPr>
        <w:jc w:val="center"/>
      </w:pPr>
      <w:r>
        <w:rPr>
          <w:noProof/>
          <w:lang w:eastAsia="en-AU"/>
        </w:rPr>
        <w:drawing>
          <wp:inline distT="0" distB="0" distL="0" distR="0">
            <wp:extent cx="5248621" cy="1537910"/>
            <wp:effectExtent l="0" t="0" r="0" b="5715"/>
            <wp:docPr id="10" name="Picture 10" descr="O:\5. COSPPac COMP Unit\Oceans\Ocean Portal\Help Files\windsea_sw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5. COSPPac COMP Unit\Oceans\Ocean Portal\Help Files\windsea_sw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773" cy="1537954"/>
                    </a:xfrm>
                    <a:prstGeom prst="rect">
                      <a:avLst/>
                    </a:prstGeom>
                    <a:noFill/>
                    <a:ln>
                      <a:noFill/>
                    </a:ln>
                  </pic:spPr>
                </pic:pic>
              </a:graphicData>
            </a:graphic>
          </wp:inline>
        </w:drawing>
      </w:r>
    </w:p>
    <w:p w:rsidR="00321CF4" w:rsidRDefault="006A754C" w:rsidP="00D57B25">
      <w:r>
        <w:br/>
      </w:r>
      <w:r w:rsidR="00321CF4" w:rsidRPr="003E39C5">
        <w:t xml:space="preserve">The wave parameters available in the Ocean Portal as part of the </w:t>
      </w:r>
      <w:r w:rsidR="00321CF4">
        <w:t>wave</w:t>
      </w:r>
      <w:r w:rsidR="00321CF4" w:rsidRPr="003E39C5">
        <w:t xml:space="preserve"> </w:t>
      </w:r>
      <w:proofErr w:type="gramStart"/>
      <w:r w:rsidR="00321CF4" w:rsidRPr="003E39C5">
        <w:t>forecast</w:t>
      </w:r>
      <w:r w:rsidR="00321CF4">
        <w:t>,</w:t>
      </w:r>
      <w:proofErr w:type="gramEnd"/>
      <w:r w:rsidR="00321CF4" w:rsidRPr="003E39C5">
        <w:t xml:space="preserve"> describe the attributes of the</w:t>
      </w:r>
      <w:r w:rsidR="00321CF4">
        <w:t xml:space="preserve"> most</w:t>
      </w:r>
      <w:r w:rsidR="00321CF4" w:rsidRPr="003E39C5">
        <w:t xml:space="preserve"> significant </w:t>
      </w:r>
      <w:r w:rsidR="00321CF4">
        <w:t xml:space="preserve">wind-sea and swell </w:t>
      </w:r>
      <w:r w:rsidR="00321CF4" w:rsidRPr="003E39C5">
        <w:t>waves</w:t>
      </w:r>
      <w:r w:rsidR="00321CF4">
        <w:t>, as well as a description of the wave height when wind-sea and swell are combined.</w:t>
      </w:r>
      <w:r w:rsidR="001E2F25">
        <w:t xml:space="preserve"> </w:t>
      </w:r>
      <w:r w:rsidR="00A07057">
        <w:t>The table below shows what the</w:t>
      </w:r>
      <w:r w:rsidR="001E2F25">
        <w:t xml:space="preserve"> resulting significant wave height </w:t>
      </w:r>
      <w:r w:rsidR="00A07057">
        <w:t xml:space="preserve">can be </w:t>
      </w:r>
      <w:r w:rsidR="001E2F25">
        <w:t>when wind-sea and swell are combined.</w:t>
      </w:r>
    </w:p>
    <w:p w:rsidR="00070C59" w:rsidRDefault="00070C59" w:rsidP="00D57B25"/>
    <w:tbl>
      <w:tblPr>
        <w:tblW w:w="5928" w:type="dxa"/>
        <w:jc w:val="center"/>
        <w:tblLook w:val="04A0" w:firstRow="1" w:lastRow="0" w:firstColumn="1" w:lastColumn="0" w:noHBand="0" w:noVBand="1"/>
      </w:tblPr>
      <w:tblGrid>
        <w:gridCol w:w="648"/>
        <w:gridCol w:w="528"/>
        <w:gridCol w:w="528"/>
        <w:gridCol w:w="528"/>
        <w:gridCol w:w="528"/>
        <w:gridCol w:w="528"/>
        <w:gridCol w:w="528"/>
        <w:gridCol w:w="528"/>
        <w:gridCol w:w="528"/>
        <w:gridCol w:w="528"/>
        <w:gridCol w:w="528"/>
      </w:tblGrid>
      <w:tr w:rsidR="00A07057" w:rsidRPr="00A07057" w:rsidTr="00A07057">
        <w:trPr>
          <w:jc w:val="center"/>
        </w:trPr>
        <w:tc>
          <w:tcPr>
            <w:tcW w:w="648" w:type="dxa"/>
            <w:tcBorders>
              <w:bottom w:val="nil"/>
              <w:right w:val="nil"/>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 </w:t>
            </w:r>
          </w:p>
        </w:tc>
        <w:tc>
          <w:tcPr>
            <w:tcW w:w="528" w:type="dxa"/>
            <w:tcBorders>
              <w:left w:val="nil"/>
              <w:bottom w:val="nil"/>
              <w:right w:val="nil"/>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 </w:t>
            </w:r>
          </w:p>
        </w:tc>
        <w:tc>
          <w:tcPr>
            <w:tcW w:w="4752" w:type="dxa"/>
            <w:gridSpan w:val="9"/>
            <w:tcBorders>
              <w:top w:val="single" w:sz="8" w:space="0" w:color="auto"/>
              <w:left w:val="single" w:sz="8" w:space="0" w:color="auto"/>
              <w:bottom w:val="single" w:sz="8" w:space="0" w:color="auto"/>
              <w:right w:val="single" w:sz="8" w:space="0" w:color="000000"/>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S</w:t>
            </w:r>
            <w:r w:rsidRPr="00A07057">
              <w:rPr>
                <w:rFonts w:eastAsia="Times New Roman" w:cs="Arial"/>
                <w:b/>
                <w:bCs/>
                <w:color w:val="000000"/>
                <w:sz w:val="18"/>
                <w:szCs w:val="18"/>
                <w:lang w:eastAsia="en-AU"/>
              </w:rPr>
              <w:t xml:space="preserve">well Wave Height </w:t>
            </w:r>
            <w:r w:rsidRPr="001E2F25">
              <w:rPr>
                <w:rFonts w:eastAsia="Times New Roman" w:cs="Arial"/>
                <w:b/>
                <w:bCs/>
                <w:color w:val="000000"/>
                <w:sz w:val="18"/>
                <w:szCs w:val="18"/>
                <w:lang w:eastAsia="en-AU"/>
              </w:rPr>
              <w:t>(metres)</w:t>
            </w:r>
          </w:p>
        </w:tc>
      </w:tr>
      <w:tr w:rsidR="001E2F25" w:rsidRPr="00A07057" w:rsidTr="00A07057">
        <w:trPr>
          <w:jc w:val="center"/>
        </w:trPr>
        <w:tc>
          <w:tcPr>
            <w:tcW w:w="648" w:type="dxa"/>
            <w:tcBorders>
              <w:top w:val="nil"/>
              <w:bottom w:val="nil"/>
              <w:right w:val="nil"/>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 </w:t>
            </w:r>
          </w:p>
        </w:tc>
        <w:tc>
          <w:tcPr>
            <w:tcW w:w="528" w:type="dxa"/>
            <w:tcBorders>
              <w:top w:val="nil"/>
              <w:left w:val="nil"/>
              <w:bottom w:val="nil"/>
              <w:right w:val="nil"/>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 </w:t>
            </w:r>
          </w:p>
        </w:tc>
        <w:tc>
          <w:tcPr>
            <w:tcW w:w="528" w:type="dxa"/>
            <w:tcBorders>
              <w:top w:val="nil"/>
              <w:left w:val="single" w:sz="8" w:space="0" w:color="auto"/>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0</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0.5</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1</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1.5</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2</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2.5</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3</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4</w:t>
            </w: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5</w:t>
            </w:r>
          </w:p>
        </w:tc>
      </w:tr>
      <w:tr w:rsidR="009968F9" w:rsidRPr="00A07057" w:rsidTr="009968F9">
        <w:trPr>
          <w:jc w:val="center"/>
        </w:trPr>
        <w:tc>
          <w:tcPr>
            <w:tcW w:w="648" w:type="dxa"/>
            <w:vMerge w:val="restart"/>
            <w:tcBorders>
              <w:top w:val="single" w:sz="8" w:space="0" w:color="auto"/>
              <w:left w:val="single" w:sz="8" w:space="0" w:color="auto"/>
              <w:bottom w:val="single" w:sz="8" w:space="0" w:color="000000"/>
              <w:right w:val="single" w:sz="8" w:space="0" w:color="auto"/>
            </w:tcBorders>
            <w:shd w:val="clear" w:color="000000" w:fill="FFFFFF"/>
            <w:textDirection w:val="btLr"/>
            <w:vAlign w:val="center"/>
            <w:hideMark/>
          </w:tcPr>
          <w:p w:rsidR="001E2F25" w:rsidRPr="00A07057" w:rsidRDefault="001E2F25" w:rsidP="001E2F25">
            <w:pPr>
              <w:spacing w:before="0" w:after="0" w:line="240" w:lineRule="auto"/>
              <w:jc w:val="center"/>
              <w:rPr>
                <w:rFonts w:eastAsia="Times New Roman" w:cs="Arial"/>
                <w:b/>
                <w:bCs/>
                <w:color w:val="000000"/>
                <w:sz w:val="18"/>
                <w:szCs w:val="18"/>
                <w:lang w:eastAsia="en-AU"/>
              </w:rPr>
            </w:pPr>
            <w:r w:rsidRPr="00A07057">
              <w:rPr>
                <w:rFonts w:eastAsia="Times New Roman" w:cs="Arial"/>
                <w:b/>
                <w:bCs/>
                <w:color w:val="000000"/>
                <w:sz w:val="18"/>
                <w:szCs w:val="18"/>
                <w:lang w:eastAsia="en-AU"/>
              </w:rPr>
              <w:t>Wind Wave Height</w:t>
            </w:r>
          </w:p>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(metres)</w:t>
            </w:r>
          </w:p>
        </w:tc>
        <w:tc>
          <w:tcPr>
            <w:tcW w:w="528" w:type="dxa"/>
            <w:tcBorders>
              <w:top w:val="single" w:sz="8" w:space="0" w:color="auto"/>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0.5</w:t>
            </w:r>
          </w:p>
        </w:tc>
        <w:tc>
          <w:tcPr>
            <w:tcW w:w="528" w:type="dxa"/>
            <w:tcBorders>
              <w:top w:val="nil"/>
              <w:left w:val="nil"/>
              <w:bottom w:val="single" w:sz="8" w:space="0" w:color="auto"/>
              <w:right w:val="single" w:sz="8" w:space="0" w:color="auto"/>
            </w:tcBorders>
            <w:shd w:val="clear" w:color="auto" w:fill="C6D9F1" w:themeFill="text2" w:themeFillTint="33"/>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0.5</w:t>
            </w:r>
          </w:p>
        </w:tc>
        <w:tc>
          <w:tcPr>
            <w:tcW w:w="528" w:type="dxa"/>
            <w:tcBorders>
              <w:top w:val="nil"/>
              <w:left w:val="nil"/>
              <w:bottom w:val="single" w:sz="8" w:space="0" w:color="auto"/>
              <w:right w:val="single" w:sz="8" w:space="0" w:color="auto"/>
            </w:tcBorders>
            <w:shd w:val="clear" w:color="auto" w:fill="C6D9F1" w:themeFill="text2" w:themeFillTint="33"/>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0.7</w:t>
            </w:r>
          </w:p>
        </w:tc>
        <w:tc>
          <w:tcPr>
            <w:tcW w:w="528" w:type="dxa"/>
            <w:tcBorders>
              <w:top w:val="nil"/>
              <w:left w:val="nil"/>
              <w:bottom w:val="single" w:sz="8" w:space="0" w:color="auto"/>
              <w:right w:val="single" w:sz="8" w:space="0" w:color="auto"/>
            </w:tcBorders>
            <w:shd w:val="clear" w:color="auto" w:fill="C6D9F1" w:themeFill="text2" w:themeFillTint="33"/>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1.1</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1.6</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2.1</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20"/>
                <w:lang w:eastAsia="en-AU"/>
              </w:rPr>
            </w:pPr>
            <w:r w:rsidRPr="001E2F25">
              <w:rPr>
                <w:rFonts w:eastAsia="Times New Roman" w:cs="Arial"/>
                <w:color w:val="000000"/>
                <w:sz w:val="18"/>
                <w:szCs w:val="20"/>
                <w:lang w:eastAsia="en-AU"/>
              </w:rPr>
              <w:t>2.6</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3</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w:t>
            </w:r>
          </w:p>
        </w:tc>
      </w:tr>
      <w:tr w:rsidR="009968F9" w:rsidRPr="00A07057" w:rsidTr="009968F9">
        <w:trPr>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rsidR="001E2F25" w:rsidRPr="001E2F25" w:rsidRDefault="001E2F25" w:rsidP="001E2F25">
            <w:pPr>
              <w:spacing w:before="0" w:after="0" w:line="240" w:lineRule="auto"/>
              <w:rPr>
                <w:rFonts w:eastAsia="Times New Roman" w:cs="Arial"/>
                <w:b/>
                <w:bCs/>
                <w:color w:val="000000"/>
                <w:sz w:val="18"/>
                <w:szCs w:val="18"/>
                <w:lang w:eastAsia="en-AU"/>
              </w:rPr>
            </w:pP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1</w:t>
            </w:r>
          </w:p>
        </w:tc>
        <w:tc>
          <w:tcPr>
            <w:tcW w:w="528" w:type="dxa"/>
            <w:tcBorders>
              <w:top w:val="nil"/>
              <w:left w:val="nil"/>
              <w:bottom w:val="single" w:sz="8" w:space="0" w:color="auto"/>
              <w:right w:val="single" w:sz="8" w:space="0" w:color="auto"/>
            </w:tcBorders>
            <w:shd w:val="clear" w:color="auto" w:fill="C6D9F1" w:themeFill="text2" w:themeFillTint="33"/>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w:t>
            </w:r>
          </w:p>
        </w:tc>
        <w:tc>
          <w:tcPr>
            <w:tcW w:w="528" w:type="dxa"/>
            <w:tcBorders>
              <w:top w:val="nil"/>
              <w:left w:val="nil"/>
              <w:bottom w:val="single" w:sz="8" w:space="0" w:color="auto"/>
              <w:right w:val="single" w:sz="8" w:space="0" w:color="auto"/>
            </w:tcBorders>
            <w:shd w:val="clear" w:color="auto" w:fill="C6D9F1" w:themeFill="text2" w:themeFillTint="33"/>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1.2</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1.4</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1.8</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2.2</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20"/>
                <w:lang w:eastAsia="en-AU"/>
              </w:rPr>
            </w:pPr>
            <w:r w:rsidRPr="001E2F25">
              <w:rPr>
                <w:rFonts w:eastAsia="Times New Roman" w:cs="Arial"/>
                <w:color w:val="000000"/>
                <w:sz w:val="18"/>
                <w:szCs w:val="20"/>
                <w:lang w:eastAsia="en-AU"/>
              </w:rPr>
              <w:t>2.7</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3.2</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4.1</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5.1</w:t>
            </w:r>
          </w:p>
        </w:tc>
      </w:tr>
      <w:tr w:rsidR="009968F9" w:rsidRPr="00A07057" w:rsidTr="009968F9">
        <w:trPr>
          <w:trHeight w:val="75"/>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rsidR="001E2F25" w:rsidRPr="001E2F25" w:rsidRDefault="001E2F25" w:rsidP="001E2F25">
            <w:pPr>
              <w:spacing w:before="0" w:after="0" w:line="240" w:lineRule="auto"/>
              <w:rPr>
                <w:rFonts w:eastAsia="Times New Roman" w:cs="Arial"/>
                <w:b/>
                <w:bCs/>
                <w:color w:val="000000"/>
                <w:sz w:val="18"/>
                <w:szCs w:val="18"/>
                <w:lang w:eastAsia="en-AU"/>
              </w:rPr>
            </w:pP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1.5</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1.5</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1.6</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1.8</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2.1</w:t>
            </w:r>
          </w:p>
        </w:tc>
        <w:tc>
          <w:tcPr>
            <w:tcW w:w="528" w:type="dxa"/>
            <w:tcBorders>
              <w:top w:val="nil"/>
              <w:left w:val="nil"/>
              <w:bottom w:val="single" w:sz="8" w:space="0" w:color="auto"/>
              <w:right w:val="single" w:sz="8" w:space="0" w:color="auto"/>
            </w:tcBorders>
            <w:shd w:val="clear" w:color="auto" w:fill="8DB3E2" w:themeFill="text2" w:themeFillTint="66"/>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2.5</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20"/>
                <w:lang w:eastAsia="en-AU"/>
              </w:rPr>
            </w:pPr>
            <w:r w:rsidRPr="001E2F25">
              <w:rPr>
                <w:rFonts w:eastAsia="Times New Roman" w:cs="Arial"/>
                <w:color w:val="000000"/>
                <w:sz w:val="18"/>
                <w:szCs w:val="20"/>
                <w:lang w:eastAsia="en-AU"/>
              </w:rPr>
              <w:t>2.9</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3.4</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4.3</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5.2</w:t>
            </w:r>
          </w:p>
        </w:tc>
      </w:tr>
      <w:tr w:rsidR="009968F9" w:rsidRPr="00A07057" w:rsidTr="009968F9">
        <w:trPr>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rsidR="001E2F25" w:rsidRPr="001E2F25" w:rsidRDefault="001E2F25" w:rsidP="001E2F25">
            <w:pPr>
              <w:spacing w:before="0" w:after="0" w:line="240" w:lineRule="auto"/>
              <w:rPr>
                <w:rFonts w:eastAsia="Times New Roman" w:cs="Arial"/>
                <w:b/>
                <w:bCs/>
                <w:color w:val="000000"/>
                <w:sz w:val="18"/>
                <w:szCs w:val="18"/>
                <w:lang w:eastAsia="en-AU"/>
              </w:rPr>
            </w:pP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2</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2.1</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2.2</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2.5</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2.8</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3.2</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3.6</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4.5</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5.4</w:t>
            </w:r>
          </w:p>
        </w:tc>
      </w:tr>
      <w:tr w:rsidR="009968F9" w:rsidRPr="00A07057" w:rsidTr="009968F9">
        <w:trPr>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rsidR="001E2F25" w:rsidRPr="001E2F25" w:rsidRDefault="001E2F25" w:rsidP="001E2F25">
            <w:pPr>
              <w:spacing w:before="0" w:after="0" w:line="240" w:lineRule="auto"/>
              <w:rPr>
                <w:rFonts w:eastAsia="Times New Roman" w:cs="Arial"/>
                <w:b/>
                <w:bCs/>
                <w:color w:val="000000"/>
                <w:sz w:val="18"/>
                <w:szCs w:val="18"/>
                <w:lang w:eastAsia="en-AU"/>
              </w:rPr>
            </w:pP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2.5</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2.5</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2.6</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2.7</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2.9</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18"/>
                <w:lang w:eastAsia="en-AU"/>
              </w:rPr>
            </w:pPr>
            <w:r w:rsidRPr="001E2F25">
              <w:rPr>
                <w:rFonts w:eastAsia="Times New Roman" w:cs="Arial"/>
                <w:color w:val="000000"/>
                <w:sz w:val="18"/>
                <w:szCs w:val="18"/>
                <w:lang w:eastAsia="en-AU"/>
              </w:rPr>
              <w:t>3.2</w:t>
            </w:r>
          </w:p>
        </w:tc>
        <w:tc>
          <w:tcPr>
            <w:tcW w:w="528" w:type="dxa"/>
            <w:tcBorders>
              <w:top w:val="nil"/>
              <w:left w:val="nil"/>
              <w:bottom w:val="single" w:sz="8" w:space="0" w:color="auto"/>
              <w:right w:val="single" w:sz="8" w:space="0" w:color="auto"/>
            </w:tcBorders>
            <w:shd w:val="clear" w:color="auto" w:fill="548DD4" w:themeFill="text2" w:themeFillTint="99"/>
            <w:vAlign w:val="center"/>
            <w:hideMark/>
          </w:tcPr>
          <w:p w:rsidR="001E2F25" w:rsidRPr="001E2F25" w:rsidRDefault="001E2F25" w:rsidP="001E2F25">
            <w:pPr>
              <w:spacing w:before="0" w:after="0" w:line="240" w:lineRule="auto"/>
              <w:jc w:val="center"/>
              <w:rPr>
                <w:rFonts w:eastAsia="Times New Roman" w:cs="Arial"/>
                <w:color w:val="000000"/>
                <w:sz w:val="18"/>
                <w:szCs w:val="20"/>
                <w:lang w:eastAsia="en-AU"/>
              </w:rPr>
            </w:pPr>
            <w:r w:rsidRPr="001E2F25">
              <w:rPr>
                <w:rFonts w:eastAsia="Times New Roman" w:cs="Arial"/>
                <w:color w:val="000000"/>
                <w:sz w:val="18"/>
                <w:szCs w:val="20"/>
                <w:lang w:eastAsia="en-AU"/>
              </w:rPr>
              <w:t>3.5</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3.9</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4.7</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5.6</w:t>
            </w:r>
          </w:p>
        </w:tc>
      </w:tr>
      <w:tr w:rsidR="009968F9" w:rsidRPr="00A07057" w:rsidTr="009968F9">
        <w:trPr>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rsidR="001E2F25" w:rsidRPr="001E2F25" w:rsidRDefault="001E2F25" w:rsidP="001E2F25">
            <w:pPr>
              <w:spacing w:before="0" w:after="0" w:line="240" w:lineRule="auto"/>
              <w:rPr>
                <w:rFonts w:eastAsia="Times New Roman" w:cs="Arial"/>
                <w:b/>
                <w:bCs/>
                <w:color w:val="000000"/>
                <w:sz w:val="18"/>
                <w:szCs w:val="18"/>
                <w:lang w:eastAsia="en-AU"/>
              </w:rPr>
            </w:pP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3</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3</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3</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3.2</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3.4</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3.6</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20"/>
                <w:lang w:eastAsia="en-AU"/>
              </w:rPr>
            </w:pPr>
            <w:r w:rsidRPr="002A6340">
              <w:rPr>
                <w:rFonts w:eastAsia="Times New Roman" w:cs="Arial"/>
                <w:color w:val="FFFFFF" w:themeColor="background1"/>
                <w:sz w:val="18"/>
                <w:szCs w:val="20"/>
                <w:lang w:eastAsia="en-AU"/>
              </w:rPr>
              <w:t>3.9</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4.2</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5.8</w:t>
            </w:r>
          </w:p>
        </w:tc>
      </w:tr>
      <w:tr w:rsidR="009968F9" w:rsidRPr="00A07057" w:rsidTr="009968F9">
        <w:trPr>
          <w:jc w:val="center"/>
        </w:trPr>
        <w:tc>
          <w:tcPr>
            <w:tcW w:w="648" w:type="dxa"/>
            <w:vMerge/>
            <w:tcBorders>
              <w:top w:val="single" w:sz="8" w:space="0" w:color="auto"/>
              <w:left w:val="single" w:sz="8" w:space="0" w:color="auto"/>
              <w:bottom w:val="single" w:sz="8" w:space="0" w:color="000000"/>
              <w:right w:val="single" w:sz="8" w:space="0" w:color="auto"/>
            </w:tcBorders>
            <w:vAlign w:val="center"/>
            <w:hideMark/>
          </w:tcPr>
          <w:p w:rsidR="001E2F25" w:rsidRPr="001E2F25" w:rsidRDefault="001E2F25" w:rsidP="001E2F25">
            <w:pPr>
              <w:spacing w:before="0" w:after="0" w:line="240" w:lineRule="auto"/>
              <w:rPr>
                <w:rFonts w:eastAsia="Times New Roman" w:cs="Arial"/>
                <w:b/>
                <w:bCs/>
                <w:color w:val="000000"/>
                <w:sz w:val="18"/>
                <w:szCs w:val="18"/>
                <w:lang w:eastAsia="en-AU"/>
              </w:rPr>
            </w:pPr>
          </w:p>
        </w:tc>
        <w:tc>
          <w:tcPr>
            <w:tcW w:w="528" w:type="dxa"/>
            <w:tcBorders>
              <w:top w:val="nil"/>
              <w:left w:val="nil"/>
              <w:bottom w:val="single" w:sz="8" w:space="0" w:color="auto"/>
              <w:right w:val="single" w:sz="8" w:space="0" w:color="auto"/>
            </w:tcBorders>
            <w:shd w:val="clear" w:color="000000" w:fill="FFFFFF"/>
            <w:vAlign w:val="center"/>
            <w:hideMark/>
          </w:tcPr>
          <w:p w:rsidR="001E2F25" w:rsidRPr="001E2F25" w:rsidRDefault="001E2F25" w:rsidP="001E2F25">
            <w:pPr>
              <w:spacing w:before="0" w:after="0" w:line="240" w:lineRule="auto"/>
              <w:jc w:val="center"/>
              <w:rPr>
                <w:rFonts w:eastAsia="Times New Roman" w:cs="Arial"/>
                <w:b/>
                <w:bCs/>
                <w:color w:val="000000"/>
                <w:sz w:val="18"/>
                <w:szCs w:val="18"/>
                <w:lang w:eastAsia="en-AU"/>
              </w:rPr>
            </w:pPr>
            <w:r w:rsidRPr="001E2F25">
              <w:rPr>
                <w:rFonts w:eastAsia="Times New Roman" w:cs="Arial"/>
                <w:b/>
                <w:bCs/>
                <w:color w:val="000000"/>
                <w:sz w:val="18"/>
                <w:szCs w:val="18"/>
                <w:lang w:eastAsia="en-AU"/>
              </w:rPr>
              <w:t>4</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4.1</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4.3</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4.5</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20"/>
                <w:lang w:eastAsia="en-AU"/>
              </w:rPr>
            </w:pPr>
            <w:r w:rsidRPr="002A6340">
              <w:rPr>
                <w:rFonts w:eastAsia="Times New Roman" w:cs="Arial"/>
                <w:color w:val="FFFFFF" w:themeColor="background1"/>
                <w:sz w:val="18"/>
                <w:szCs w:val="20"/>
                <w:lang w:eastAsia="en-AU"/>
              </w:rPr>
              <w:t>4.7</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5.7</w:t>
            </w:r>
          </w:p>
        </w:tc>
        <w:tc>
          <w:tcPr>
            <w:tcW w:w="528" w:type="dxa"/>
            <w:tcBorders>
              <w:top w:val="nil"/>
              <w:left w:val="nil"/>
              <w:bottom w:val="single" w:sz="8" w:space="0" w:color="auto"/>
              <w:right w:val="single" w:sz="8" w:space="0" w:color="auto"/>
            </w:tcBorders>
            <w:shd w:val="clear" w:color="auto" w:fill="365F91" w:themeFill="accent1" w:themeFillShade="BF"/>
            <w:vAlign w:val="center"/>
            <w:hideMark/>
          </w:tcPr>
          <w:p w:rsidR="001E2F25" w:rsidRPr="002A6340" w:rsidRDefault="001E2F25" w:rsidP="001E2F25">
            <w:pPr>
              <w:spacing w:before="0" w:after="0" w:line="240" w:lineRule="auto"/>
              <w:jc w:val="center"/>
              <w:rPr>
                <w:rFonts w:eastAsia="Times New Roman" w:cs="Arial"/>
                <w:color w:val="FFFFFF" w:themeColor="background1"/>
                <w:sz w:val="18"/>
                <w:szCs w:val="18"/>
                <w:lang w:eastAsia="en-AU"/>
              </w:rPr>
            </w:pPr>
            <w:r w:rsidRPr="002A6340">
              <w:rPr>
                <w:rFonts w:eastAsia="Times New Roman" w:cs="Arial"/>
                <w:color w:val="FFFFFF" w:themeColor="background1"/>
                <w:sz w:val="18"/>
                <w:szCs w:val="18"/>
                <w:lang w:eastAsia="en-AU"/>
              </w:rPr>
              <w:t>6.4</w:t>
            </w:r>
          </w:p>
        </w:tc>
      </w:tr>
    </w:tbl>
    <w:p w:rsidR="00A07057" w:rsidRDefault="00A07057" w:rsidP="00A07057"/>
    <w:p w:rsidR="00A07057" w:rsidRDefault="00ED1ED3" w:rsidP="00A07057">
      <w:r>
        <w:t>Generally, w</w:t>
      </w:r>
      <w:r w:rsidR="00D57B25">
        <w:t xml:space="preserve">ave forecasting becomes </w:t>
      </w:r>
      <w:r w:rsidR="001E2F25">
        <w:t>less</w:t>
      </w:r>
      <w:r w:rsidR="00D57B25">
        <w:t xml:space="preserve"> precise </w:t>
      </w:r>
      <w:r w:rsidR="00A07057">
        <w:t>when the model predicts further into the future</w:t>
      </w:r>
      <w:r w:rsidR="00D57B25">
        <w:t xml:space="preserve">, </w:t>
      </w:r>
      <w:r w:rsidR="005A4B08">
        <w:t xml:space="preserve">but </w:t>
      </w:r>
      <w:r w:rsidR="00D57B25">
        <w:t xml:space="preserve">there is always a margin of error at any </w:t>
      </w:r>
      <w:r w:rsidR="00A07057">
        <w:t>forecast time period</w:t>
      </w:r>
      <w:r w:rsidR="00D57B25">
        <w:t xml:space="preserve">. The modelled waves are only applicable </w:t>
      </w:r>
      <w:r w:rsidR="00E53246">
        <w:t xml:space="preserve">in </w:t>
      </w:r>
      <w:r w:rsidR="00D57B25">
        <w:t xml:space="preserve">offshore depths of 25-metres or more. Waves in the coastal zone may have undergone shoaling, reflection, refraction, diffraction, and will ultimately be different </w:t>
      </w:r>
      <w:r w:rsidR="009D3FBD">
        <w:t>from</w:t>
      </w:r>
      <w:r w:rsidR="00D57B25">
        <w:t xml:space="preserve"> the wave forecast.</w:t>
      </w:r>
    </w:p>
    <w:p w:rsidR="00A07057" w:rsidRDefault="00A07057" w:rsidP="00A07057"/>
    <w:p w:rsidR="00DB0D0F" w:rsidRDefault="006C150A" w:rsidP="00DB0D0F">
      <w:pPr>
        <w:pStyle w:val="Headingnon-numbered"/>
      </w:pPr>
      <w:r>
        <w:t>Using the Portal</w:t>
      </w:r>
    </w:p>
    <w:p w:rsidR="00250F55" w:rsidRPr="00AF7EEE" w:rsidRDefault="00250F55" w:rsidP="00AF7EEE">
      <w:pPr>
        <w:pStyle w:val="BodyText"/>
        <w:rPr>
          <w:lang w:eastAsia="en-AU"/>
        </w:rPr>
      </w:pPr>
    </w:p>
    <w:p w:rsidR="00471643" w:rsidRPr="00DB0D0F" w:rsidRDefault="00B064FB" w:rsidP="00C4438D">
      <w:pPr>
        <w:ind w:left="1080" w:firstLine="360"/>
        <w:jc w:val="center"/>
      </w:pPr>
      <w:r>
        <w:rPr>
          <w:noProof/>
          <w:lang w:eastAsia="en-AU"/>
        </w:rPr>
        <mc:AlternateContent>
          <mc:Choice Requires="wps">
            <w:drawing>
              <wp:anchor distT="0" distB="0" distL="114300" distR="114300" simplePos="0" relativeHeight="251665408" behindDoc="0" locked="0" layoutInCell="1" allowOverlap="1" wp14:anchorId="3CBEE25A" wp14:editId="01FE6380">
                <wp:simplePos x="0" y="0"/>
                <wp:positionH relativeFrom="column">
                  <wp:posOffset>4042105</wp:posOffset>
                </wp:positionH>
                <wp:positionV relativeFrom="paragraph">
                  <wp:posOffset>440106</wp:posOffset>
                </wp:positionV>
                <wp:extent cx="2552700" cy="497433"/>
                <wp:effectExtent l="533400" t="95250" r="19050" b="17145"/>
                <wp:wrapNone/>
                <wp:docPr id="3" name="Rounded Rectangular Callout 3"/>
                <wp:cNvGraphicFramePr/>
                <a:graphic xmlns:a="http://schemas.openxmlformats.org/drawingml/2006/main">
                  <a:graphicData uri="http://schemas.microsoft.com/office/word/2010/wordprocessingShape">
                    <wps:wsp>
                      <wps:cNvSpPr/>
                      <wps:spPr>
                        <a:xfrm>
                          <a:off x="0" y="0"/>
                          <a:ext cx="2552700" cy="497433"/>
                        </a:xfrm>
                        <a:prstGeom prst="wedgeRoundRectCallout">
                          <a:avLst>
                            <a:gd name="adj1" fmla="val -70503"/>
                            <a:gd name="adj2" fmla="val -68752"/>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F55" w:rsidRPr="00B064FB" w:rsidRDefault="00B064FB" w:rsidP="00B064FB">
                            <w:pPr>
                              <w:spacing w:before="0" w:after="0" w:line="240" w:lineRule="auto"/>
                              <w:rPr>
                                <w:color w:val="000000" w:themeColor="text1"/>
                              </w:rPr>
                            </w:pPr>
                            <w:r>
                              <w:rPr>
                                <w:color w:val="000000" w:themeColor="text1"/>
                              </w:rPr>
                              <w:t xml:space="preserve">(2) </w:t>
                            </w:r>
                            <w:r w:rsidR="00250F55" w:rsidRPr="00B064FB">
                              <w:rPr>
                                <w:color w:val="000000" w:themeColor="text1"/>
                              </w:rPr>
                              <w:t>Select the wave or wind parameter using the ‘Variable’ drop down box.</w:t>
                            </w:r>
                          </w:p>
                          <w:p w:rsidR="00250F55" w:rsidRDefault="00250F55" w:rsidP="00B064FB">
                            <w:pPr>
                              <w:spacing w:before="0" w:after="0" w:line="240" w:lineRule="auto"/>
                              <w:jc w:val="center"/>
                            </w:pPr>
                          </w:p>
                          <w:p w:rsidR="00AF7EEE" w:rsidRDefault="00AF7EEE" w:rsidP="00B064FB">
                            <w:pPr>
                              <w:spacing w:before="0" w:after="0" w:line="240" w:lineRule="auto"/>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6" type="#_x0000_t62" style="position:absolute;left:0;text-align:left;margin-left:318.3pt;margin-top:34.65pt;width:201pt;height:3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" adj="-4429,-4050" fillcolor="#f79646 [3209]" strokecolor="#974706 [1609]" strokeweight="2pt">
                <v:textbox inset="1mm,1mm,1mm,1mm">
                  <w:txbxContent>
                    <w:p w:rsidR="00250F55" w:rsidRPr="00B064FB" w:rsidRDefault="00B064FB" w:rsidP="00B064FB">
                      <w:pPr>
                        <w:spacing w:before="0" w:after="0" w:line="240" w:lineRule="auto"/>
                        <w:rPr>
                          <w:color w:val="000000" w:themeColor="text1"/>
                        </w:rPr>
                      </w:pPr>
                      <w:r>
                        <w:rPr>
                          <w:color w:val="000000" w:themeColor="text1"/>
                        </w:rPr>
                        <w:t xml:space="preserve">(2) </w:t>
                      </w:r>
                      <w:r w:rsidR="00250F55" w:rsidRPr="00B064FB">
                        <w:rPr>
                          <w:color w:val="000000" w:themeColor="text1"/>
                        </w:rPr>
                        <w:t>Select the wave or wind parameter using the ‘Variable’ drop down box.</w:t>
                      </w:r>
                    </w:p>
                    <w:p w:rsidR="00250F55" w:rsidRDefault="00250F55" w:rsidP="00B064FB">
                      <w:pPr>
                        <w:spacing w:before="0" w:after="0" w:line="240" w:lineRule="auto"/>
                        <w:jc w:val="center"/>
                      </w:pPr>
                    </w:p>
                    <w:p w:rsidR="00AF7EEE" w:rsidRDefault="00AF7EEE" w:rsidP="00B064FB">
                      <w:pPr>
                        <w:spacing w:before="0" w:after="0" w:line="240" w:lineRule="auto"/>
                        <w:jc w:val="center"/>
                      </w:pP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173BDFF2" wp14:editId="6F0B1477">
                <wp:simplePos x="0" y="0"/>
                <wp:positionH relativeFrom="column">
                  <wp:posOffset>-164135</wp:posOffset>
                </wp:positionH>
                <wp:positionV relativeFrom="paragraph">
                  <wp:posOffset>67031</wp:posOffset>
                </wp:positionV>
                <wp:extent cx="1475740" cy="1170432"/>
                <wp:effectExtent l="0" t="0" r="257810" b="10795"/>
                <wp:wrapNone/>
                <wp:docPr id="6" name="Rounded Rectangular Callout 6"/>
                <wp:cNvGraphicFramePr/>
                <a:graphic xmlns:a="http://schemas.openxmlformats.org/drawingml/2006/main">
                  <a:graphicData uri="http://schemas.microsoft.com/office/word/2010/wordprocessingShape">
                    <wps:wsp>
                      <wps:cNvSpPr/>
                      <wps:spPr>
                        <a:xfrm>
                          <a:off x="0" y="0"/>
                          <a:ext cx="1475740" cy="1170432"/>
                        </a:xfrm>
                        <a:prstGeom prst="wedgeRoundRectCallout">
                          <a:avLst>
                            <a:gd name="adj1" fmla="val 66847"/>
                            <a:gd name="adj2" fmla="val -46398"/>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F55" w:rsidRPr="00B064FB" w:rsidRDefault="00B064FB" w:rsidP="00B064FB">
                            <w:pPr>
                              <w:spacing w:before="0" w:after="0" w:line="240" w:lineRule="auto"/>
                              <w:rPr>
                                <w:color w:val="000000" w:themeColor="text1"/>
                              </w:rPr>
                            </w:pPr>
                            <w:r>
                              <w:rPr>
                                <w:color w:val="000000" w:themeColor="text1"/>
                              </w:rPr>
                              <w:t xml:space="preserve">(1) </w:t>
                            </w:r>
                            <w:r w:rsidR="00C4438D" w:rsidRPr="00B064FB">
                              <w:rPr>
                                <w:color w:val="000000" w:themeColor="text1"/>
                              </w:rPr>
                              <w:t xml:space="preserve">For a regional view of a Pacific Nation’s EEZ, select the </w:t>
                            </w:r>
                            <w:r w:rsidR="007C5B68" w:rsidRPr="00B064FB">
                              <w:rPr>
                                <w:color w:val="000000" w:themeColor="text1"/>
                              </w:rPr>
                              <w:t xml:space="preserve">country’s name </w:t>
                            </w:r>
                            <w:r w:rsidR="00C4438D" w:rsidRPr="00B064FB">
                              <w:rPr>
                                <w:color w:val="000000" w:themeColor="text1"/>
                              </w:rPr>
                              <w:t>from this drop down box.</w:t>
                            </w:r>
                          </w:p>
                          <w:p w:rsidR="00250F55" w:rsidRDefault="00250F55" w:rsidP="00C4438D">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6" o:spid="_x0000_s1027" type="#_x0000_t62" style="position:absolute;left:0;text-align:left;margin-left:-12.9pt;margin-top:5.3pt;width:116.2pt;height:9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" adj="25239,778" fillcolor="#f79646 [3209]" strokecolor="#974706 [1609]" strokeweight="2pt">
                <v:textbox inset="1mm,1mm,1mm,1mm">
                  <w:txbxContent>
                    <w:p w:rsidR="00250F55" w:rsidRPr="00B064FB" w:rsidRDefault="00B064FB" w:rsidP="00B064FB">
                      <w:pPr>
                        <w:spacing w:before="0" w:after="0" w:line="240" w:lineRule="auto"/>
                        <w:rPr>
                          <w:color w:val="000000" w:themeColor="text1"/>
                        </w:rPr>
                      </w:pPr>
                      <w:r>
                        <w:rPr>
                          <w:color w:val="000000" w:themeColor="text1"/>
                        </w:rPr>
                        <w:t xml:space="preserve">(1) </w:t>
                      </w:r>
                      <w:r w:rsidR="00C4438D" w:rsidRPr="00B064FB">
                        <w:rPr>
                          <w:color w:val="000000" w:themeColor="text1"/>
                        </w:rPr>
                        <w:t xml:space="preserve">For a regional view of a Pacific Nation’s EEZ, select the </w:t>
                      </w:r>
                      <w:r w:rsidR="007C5B68" w:rsidRPr="00B064FB">
                        <w:rPr>
                          <w:color w:val="000000" w:themeColor="text1"/>
                        </w:rPr>
                        <w:t xml:space="preserve">country’s name </w:t>
                      </w:r>
                      <w:r w:rsidR="00C4438D" w:rsidRPr="00B064FB">
                        <w:rPr>
                          <w:color w:val="000000" w:themeColor="text1"/>
                        </w:rPr>
                        <w:t>from this drop down box.</w:t>
                      </w:r>
                    </w:p>
                    <w:p w:rsidR="00250F55" w:rsidRDefault="00250F55" w:rsidP="00C4438D">
                      <w:pPr>
                        <w:ind w:left="426"/>
                        <w:jc w:val="center"/>
                      </w:pPr>
                    </w:p>
                  </w:txbxContent>
                </v:textbox>
              </v:shape>
            </w:pict>
          </mc:Fallback>
        </mc:AlternateContent>
      </w:r>
      <w:r w:rsidR="006854FF">
        <w:rPr>
          <w:noProof/>
          <w:lang w:eastAsia="en-AU"/>
        </w:rPr>
        <w:drawing>
          <wp:inline distT="0" distB="0" distL="0" distR="0" wp14:anchorId="171D0A00" wp14:editId="501563B6">
            <wp:extent cx="4008729" cy="16667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4870" cy="1669324"/>
                    </a:xfrm>
                    <a:prstGeom prst="rect">
                      <a:avLst/>
                    </a:prstGeom>
                    <a:noFill/>
                    <a:ln>
                      <a:noFill/>
                    </a:ln>
                  </pic:spPr>
                </pic:pic>
              </a:graphicData>
            </a:graphic>
          </wp:inline>
        </w:drawing>
      </w:r>
    </w:p>
    <w:p w:rsidR="00DB0D0F" w:rsidRPr="006C150A" w:rsidRDefault="00B064FB" w:rsidP="00604FC0">
      <w:pPr>
        <w:pStyle w:val="BodyText"/>
        <w:jc w:val="center"/>
        <w:rPr>
          <w:lang w:eastAsia="en-AU"/>
        </w:rPr>
      </w:pPr>
      <w:r>
        <w:rPr>
          <w:noProof/>
          <w:lang w:eastAsia="en-AU"/>
        </w:rPr>
        <mc:AlternateContent>
          <mc:Choice Requires="wps">
            <w:drawing>
              <wp:anchor distT="0" distB="0" distL="114300" distR="114300" simplePos="0" relativeHeight="251673600" behindDoc="0" locked="0" layoutInCell="1" allowOverlap="1" wp14:anchorId="20A08F13" wp14:editId="4A9D922F">
                <wp:simplePos x="0" y="0"/>
                <wp:positionH relativeFrom="column">
                  <wp:posOffset>3369107</wp:posOffset>
                </wp:positionH>
                <wp:positionV relativeFrom="paragraph">
                  <wp:posOffset>43663</wp:posOffset>
                </wp:positionV>
                <wp:extent cx="2769870" cy="628650"/>
                <wp:effectExtent l="0" t="533400" r="11430" b="19050"/>
                <wp:wrapNone/>
                <wp:docPr id="9" name="Rounded Rectangular Callout 9"/>
                <wp:cNvGraphicFramePr/>
                <a:graphic xmlns:a="http://schemas.openxmlformats.org/drawingml/2006/main">
                  <a:graphicData uri="http://schemas.microsoft.com/office/word/2010/wordprocessingShape">
                    <wps:wsp>
                      <wps:cNvSpPr/>
                      <wps:spPr>
                        <a:xfrm>
                          <a:off x="0" y="0"/>
                          <a:ext cx="2769870" cy="628650"/>
                        </a:xfrm>
                        <a:prstGeom prst="wedgeRoundRectCallout">
                          <a:avLst>
                            <a:gd name="adj1" fmla="val 11688"/>
                            <a:gd name="adj2" fmla="val -133393"/>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064FB" w:rsidRPr="00AF7EEE" w:rsidRDefault="00B064FB" w:rsidP="00B064FB">
                            <w:pPr>
                              <w:pStyle w:val="BodyText"/>
                              <w:rPr>
                                <w:color w:val="000000" w:themeColor="text1"/>
                                <w:lang w:eastAsia="en-AU"/>
                              </w:rPr>
                            </w:pPr>
                            <w:r>
                              <w:rPr>
                                <w:color w:val="000000" w:themeColor="text1"/>
                                <w:lang w:eastAsia="en-AU"/>
                              </w:rPr>
                              <w:t xml:space="preserve">(4) </w:t>
                            </w:r>
                            <w:r w:rsidR="00D82B34">
                              <w:rPr>
                                <w:color w:val="000000" w:themeColor="text1"/>
                                <w:lang w:eastAsia="en-AU"/>
                              </w:rPr>
                              <w:t>Click the ‘Generate Picture’ button to create a map that you can download</w:t>
                            </w:r>
                            <w:r w:rsidRPr="00AF7EEE">
                              <w:rPr>
                                <w:color w:val="000000" w:themeColor="text1"/>
                                <w:lang w:eastAsia="en-AU"/>
                              </w:rPr>
                              <w:t xml:space="preserve"> </w:t>
                            </w:r>
                            <w:r w:rsidR="00AD4BB6">
                              <w:rPr>
                                <w:color w:val="000000" w:themeColor="text1"/>
                                <w:lang w:eastAsia="en-AU"/>
                              </w:rPr>
                              <w:t>and</w:t>
                            </w:r>
                            <w:r w:rsidR="00D82B34">
                              <w:rPr>
                                <w:color w:val="000000" w:themeColor="text1"/>
                                <w:lang w:eastAsia="en-AU"/>
                              </w:rPr>
                              <w:t xml:space="preserve"> insert into documents, presentations, etc.</w:t>
                            </w:r>
                          </w:p>
                          <w:p w:rsidR="00B064FB" w:rsidRDefault="00B064FB" w:rsidP="00B064FB">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9" o:spid="_x0000_s1028" type="#_x0000_t62" style="position:absolute;left:0;text-align:left;margin-left:265.3pt;margin-top:3.45pt;width:218.1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" adj="13325,-18013" fillcolor="#f79646 [3209]" strokecolor="#974706 [1609]" strokeweight="2pt">
                <v:textbox inset="1mm,1mm,1mm,1mm">
                  <w:txbxContent>
                    <w:p w:rsidR="00B064FB" w:rsidRPr="00AF7EEE" w:rsidRDefault="00B064FB" w:rsidP="00B064FB">
                      <w:pPr>
                        <w:pStyle w:val="BodyText"/>
                        <w:rPr>
                          <w:color w:val="000000" w:themeColor="text1"/>
                          <w:lang w:eastAsia="en-AU"/>
                        </w:rPr>
                      </w:pPr>
                      <w:r>
                        <w:rPr>
                          <w:color w:val="000000" w:themeColor="text1"/>
                          <w:lang w:eastAsia="en-AU"/>
                        </w:rPr>
                        <w:t>(4</w:t>
                      </w:r>
                      <w:r>
                        <w:rPr>
                          <w:color w:val="000000" w:themeColor="text1"/>
                          <w:lang w:eastAsia="en-AU"/>
                        </w:rPr>
                        <w:t xml:space="preserve">) </w:t>
                      </w:r>
                      <w:r w:rsidR="00D82B34">
                        <w:rPr>
                          <w:color w:val="000000" w:themeColor="text1"/>
                          <w:lang w:eastAsia="en-AU"/>
                        </w:rPr>
                        <w:t>Click the ‘Generate Picture’ button to create a map that you can download</w:t>
                      </w:r>
                      <w:r w:rsidRPr="00AF7EEE">
                        <w:rPr>
                          <w:color w:val="000000" w:themeColor="text1"/>
                          <w:lang w:eastAsia="en-AU"/>
                        </w:rPr>
                        <w:t xml:space="preserve"> </w:t>
                      </w:r>
                      <w:r w:rsidR="00AD4BB6">
                        <w:rPr>
                          <w:color w:val="000000" w:themeColor="text1"/>
                          <w:lang w:eastAsia="en-AU"/>
                        </w:rPr>
                        <w:t>and</w:t>
                      </w:r>
                      <w:bookmarkStart w:id="1" w:name="_GoBack"/>
                      <w:bookmarkEnd w:id="1"/>
                      <w:r w:rsidR="00D82B34">
                        <w:rPr>
                          <w:color w:val="000000" w:themeColor="text1"/>
                          <w:lang w:eastAsia="en-AU"/>
                        </w:rPr>
                        <w:t xml:space="preserve"> insert into documents, presentations, etc.</w:t>
                      </w:r>
                    </w:p>
                    <w:p w:rsidR="00B064FB" w:rsidRDefault="00B064FB" w:rsidP="00B064FB">
                      <w:pPr>
                        <w:ind w:left="426"/>
                        <w:jc w:val="center"/>
                      </w:pPr>
                    </w:p>
                  </w:txbxContent>
                </v:textbox>
              </v:shape>
            </w:pict>
          </mc:Fallback>
        </mc:AlternateContent>
      </w:r>
      <w:r w:rsidR="00AF7EEE">
        <w:rPr>
          <w:noProof/>
          <w:lang w:eastAsia="en-AU"/>
        </w:rPr>
        <mc:AlternateContent>
          <mc:Choice Requires="wps">
            <w:drawing>
              <wp:anchor distT="0" distB="0" distL="114300" distR="114300" simplePos="0" relativeHeight="251667456" behindDoc="0" locked="0" layoutInCell="1" allowOverlap="1" wp14:anchorId="061611CB" wp14:editId="17B55212">
                <wp:simplePos x="0" y="0"/>
                <wp:positionH relativeFrom="column">
                  <wp:posOffset>530581</wp:posOffset>
                </wp:positionH>
                <wp:positionV relativeFrom="paragraph">
                  <wp:posOffset>80645</wp:posOffset>
                </wp:positionV>
                <wp:extent cx="2295525" cy="590550"/>
                <wp:effectExtent l="0" t="342900" r="28575" b="19050"/>
                <wp:wrapNone/>
                <wp:docPr id="5" name="Rounded Rectangular Callout 5"/>
                <wp:cNvGraphicFramePr/>
                <a:graphic xmlns:a="http://schemas.openxmlformats.org/drawingml/2006/main">
                  <a:graphicData uri="http://schemas.microsoft.com/office/word/2010/wordprocessingShape">
                    <wps:wsp>
                      <wps:cNvSpPr/>
                      <wps:spPr>
                        <a:xfrm>
                          <a:off x="0" y="0"/>
                          <a:ext cx="2295525" cy="590550"/>
                        </a:xfrm>
                        <a:prstGeom prst="wedgeRoundRectCallout">
                          <a:avLst>
                            <a:gd name="adj1" fmla="val 20849"/>
                            <a:gd name="adj2" fmla="val -106854"/>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F7EEE" w:rsidRPr="00AF7EEE" w:rsidRDefault="00B064FB" w:rsidP="00B064FB">
                            <w:pPr>
                              <w:pStyle w:val="BodyText"/>
                              <w:rPr>
                                <w:color w:val="000000" w:themeColor="text1"/>
                                <w:lang w:eastAsia="en-AU"/>
                              </w:rPr>
                            </w:pPr>
                            <w:r>
                              <w:rPr>
                                <w:color w:val="000000" w:themeColor="text1"/>
                                <w:lang w:eastAsia="en-AU"/>
                              </w:rPr>
                              <w:t xml:space="preserve">(3) </w:t>
                            </w:r>
                            <w:r w:rsidR="00AF7EEE" w:rsidRPr="00AF7EEE">
                              <w:rPr>
                                <w:color w:val="000000" w:themeColor="text1"/>
                                <w:lang w:eastAsia="en-AU"/>
                              </w:rPr>
                              <w:t>The slider at the bottom lets you select the date and time for the forecast information.</w:t>
                            </w:r>
                          </w:p>
                          <w:p w:rsidR="00AF7EEE" w:rsidRDefault="00AF7EEE" w:rsidP="00C4438D">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 o:spid="_x0000_s1029" type="#_x0000_t62" style="position:absolute;left:0;text-align:left;margin-left:41.8pt;margin-top:6.35pt;width:180.7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" adj="15303,-12280" fillcolor="#f79646 [3209]" strokecolor="#974706 [1609]" strokeweight="2pt">
                <v:textbox inset="1mm,1mm,1mm,1mm">
                  <w:txbxContent>
                    <w:p w:rsidR="00AF7EEE" w:rsidRPr="00AF7EEE" w:rsidRDefault="00B064FB" w:rsidP="00B064FB">
                      <w:pPr>
                        <w:pStyle w:val="BodyText"/>
                        <w:rPr>
                          <w:color w:val="000000" w:themeColor="text1"/>
                          <w:lang w:eastAsia="en-AU"/>
                        </w:rPr>
                      </w:pPr>
                      <w:r>
                        <w:rPr>
                          <w:color w:val="000000" w:themeColor="text1"/>
                          <w:lang w:eastAsia="en-AU"/>
                        </w:rPr>
                        <w:t xml:space="preserve">(3) </w:t>
                      </w:r>
                      <w:r w:rsidR="00AF7EEE" w:rsidRPr="00AF7EEE">
                        <w:rPr>
                          <w:color w:val="000000" w:themeColor="text1"/>
                          <w:lang w:eastAsia="en-AU"/>
                        </w:rPr>
                        <w:t>The slider at the bottom lets you select the date and time for the forecast information.</w:t>
                      </w:r>
                    </w:p>
                    <w:p w:rsidR="00AF7EEE" w:rsidRDefault="00AF7EEE" w:rsidP="00C4438D">
                      <w:pPr>
                        <w:ind w:left="426"/>
                        <w:jc w:val="center"/>
                      </w:pPr>
                    </w:p>
                  </w:txbxContent>
                </v:textbox>
              </v:shape>
            </w:pict>
          </mc:Fallback>
        </mc:AlternateContent>
      </w:r>
    </w:p>
    <w:p w:rsidR="00604CF4" w:rsidRPr="00A07057" w:rsidRDefault="00604CF4" w:rsidP="00A07057"/>
    <w:p w:rsidR="00604CF4" w:rsidRPr="00A07057" w:rsidRDefault="00604CF4" w:rsidP="00A07057"/>
    <w:p w:rsidR="009968F9" w:rsidRDefault="009968F9" w:rsidP="003E39C5">
      <w:pPr>
        <w:pStyle w:val="Headingnon-numbered"/>
      </w:pPr>
    </w:p>
    <w:p w:rsidR="003E39C5" w:rsidRDefault="00EE37CD" w:rsidP="003E39C5">
      <w:pPr>
        <w:pStyle w:val="Headingnon-numbered"/>
      </w:pPr>
      <w:r>
        <w:t>Description</w:t>
      </w:r>
      <w:r w:rsidR="00C25789">
        <w:t xml:space="preserve"> of Parameters</w:t>
      </w:r>
    </w:p>
    <w:p w:rsidR="007131B9" w:rsidRPr="00344970" w:rsidRDefault="00344970" w:rsidP="00344970">
      <w:pPr>
        <w:rPr>
          <w:i/>
        </w:rPr>
      </w:pPr>
      <w:r w:rsidRPr="00344970">
        <w:rPr>
          <w:i/>
        </w:rPr>
        <w:t>Wind-sea Wave Height</w:t>
      </w:r>
      <w:r w:rsidR="00AE1ACA" w:rsidRPr="00344970">
        <w:rPr>
          <w:i/>
        </w:rPr>
        <w:t xml:space="preserve">: </w:t>
      </w:r>
    </w:p>
    <w:p w:rsidR="00344970" w:rsidRPr="00344970" w:rsidRDefault="00344970" w:rsidP="00344970">
      <w:r>
        <w:t xml:space="preserve">Wind-sea waves (also called ‘sea’ or ‘wind’ waves) </w:t>
      </w:r>
      <w:r w:rsidRPr="00344970">
        <w:t>waves are generated by the local prevailing wind and vary in size according to the length of time a particular wind has been blowing, the fetch (distance the wind has blown over the sea) and the water depth.</w:t>
      </w:r>
      <w:r>
        <w:t xml:space="preserve"> </w:t>
      </w:r>
    </w:p>
    <w:p w:rsidR="00344970" w:rsidRPr="00344970" w:rsidRDefault="00344970" w:rsidP="00344970">
      <w:pPr>
        <w:rPr>
          <w:i/>
        </w:rPr>
      </w:pPr>
      <w:r w:rsidRPr="00344970">
        <w:rPr>
          <w:i/>
        </w:rPr>
        <w:t>Swell Wave Height:</w:t>
      </w:r>
    </w:p>
    <w:p w:rsidR="00344970" w:rsidRDefault="00344970" w:rsidP="00344970">
      <w:r w:rsidRPr="00344970">
        <w:t>Swell waves are the regular longer period waves generated by distant weather systems. There may be several sets of swell waves travelling in different directions, causing a confused sea state.</w:t>
      </w:r>
    </w:p>
    <w:p w:rsidR="00344970" w:rsidRPr="00344970" w:rsidRDefault="00344970" w:rsidP="00344970">
      <w:pPr>
        <w:rPr>
          <w:i/>
        </w:rPr>
      </w:pPr>
      <w:r w:rsidRPr="00344970">
        <w:rPr>
          <w:i/>
        </w:rPr>
        <w:t>Combined Wind-sea and Swell Wave Height</w:t>
      </w:r>
    </w:p>
    <w:p w:rsidR="00EF5334" w:rsidRDefault="00344970" w:rsidP="00344970">
      <w:r w:rsidRPr="00344970">
        <w:t xml:space="preserve">Combined </w:t>
      </w:r>
      <w:r w:rsidR="00A72ACC">
        <w:t>wind-</w:t>
      </w:r>
      <w:r w:rsidRPr="00344970">
        <w:t xml:space="preserve">sea and swell is </w:t>
      </w:r>
      <w:r w:rsidR="00A72ACC">
        <w:t>also known as total wave height</w:t>
      </w:r>
      <w:r w:rsidRPr="00344970">
        <w:t xml:space="preserve">. Combined sea and swell describes the combined height of the sea and the swell that mariners </w:t>
      </w:r>
      <w:r>
        <w:t>observe</w:t>
      </w:r>
      <w:r w:rsidR="00A72ACC">
        <w:t xml:space="preserve"> on open waters.</w:t>
      </w:r>
    </w:p>
    <w:p w:rsidR="00566212" w:rsidRDefault="0026388B" w:rsidP="009968F9">
      <w:pPr>
        <w:jc w:val="both"/>
        <w:rPr>
          <w:b/>
        </w:rPr>
      </w:pPr>
      <w:r>
        <w:rPr>
          <w:noProof/>
          <w:lang w:eastAsia="en-AU"/>
        </w:rPr>
        <w:drawing>
          <wp:anchor distT="0" distB="0" distL="36195" distR="36195" simplePos="0" relativeHeight="251671552" behindDoc="1" locked="0" layoutInCell="1" allowOverlap="1" wp14:anchorId="7B98F2C4" wp14:editId="35A64F8D">
            <wp:simplePos x="0" y="0"/>
            <wp:positionH relativeFrom="column">
              <wp:posOffset>4326890</wp:posOffset>
            </wp:positionH>
            <wp:positionV relativeFrom="paragraph">
              <wp:posOffset>53340</wp:posOffset>
            </wp:positionV>
            <wp:extent cx="1744345" cy="1474470"/>
            <wp:effectExtent l="0" t="0" r="8255" b="0"/>
            <wp:wrapTight wrapText="bothSides">
              <wp:wrapPolygon edited="1">
                <wp:start x="-864" y="-1223"/>
                <wp:lineTo x="-864" y="22823"/>
                <wp:lineTo x="22630" y="23064"/>
                <wp:lineTo x="22630" y="-1019"/>
                <wp:lineTo x="-864" y="-122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345" cy="1474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212" w:rsidRPr="00566212">
        <w:rPr>
          <w:i/>
        </w:rPr>
        <w:t xml:space="preserve">Note </w:t>
      </w:r>
      <w:r w:rsidR="004B1A72">
        <w:rPr>
          <w:i/>
        </w:rPr>
        <w:t>on</w:t>
      </w:r>
      <w:r w:rsidR="00566212" w:rsidRPr="00566212">
        <w:rPr>
          <w:i/>
        </w:rPr>
        <w:t xml:space="preserve"> all wave heights:</w:t>
      </w:r>
      <w:r w:rsidR="00566212" w:rsidRPr="00566212">
        <w:t xml:space="preserve"> </w:t>
      </w:r>
      <w:r w:rsidR="00566212" w:rsidRPr="00A72ACC">
        <w:t xml:space="preserve">Wave height is measured in metres, from the wave trough to the wave crest. </w:t>
      </w:r>
      <w:r w:rsidR="00566212">
        <w:t>All wave heights are calculated as the</w:t>
      </w:r>
      <w:r w:rsidR="00566212" w:rsidRPr="00A72ACC">
        <w:t xml:space="preserve"> 'significant wave height' which repre</w:t>
      </w:r>
      <w:bookmarkStart w:id="0" w:name="_GoBack"/>
      <w:bookmarkEnd w:id="0"/>
      <w:r w:rsidR="00566212" w:rsidRPr="00A72ACC">
        <w:t>sents the average height of the highest one-third of the waves. Some waves will be higher and some lower than the significant wave height. </w:t>
      </w:r>
      <w:r w:rsidRPr="00A72ACC">
        <w:rPr>
          <w:b/>
        </w:rPr>
        <w:t>The probable maximum wave height can be up to twice the significant wave height</w:t>
      </w:r>
      <w:r>
        <w:rPr>
          <w:b/>
        </w:rPr>
        <w:t>, which can be expected to occur for about 3 waves in a 24 hour period.</w:t>
      </w:r>
    </w:p>
    <w:p w:rsidR="007131B9" w:rsidRPr="007131B9" w:rsidRDefault="00AE1ACA" w:rsidP="005667B6">
      <w:pPr>
        <w:pStyle w:val="BodyText"/>
        <w:rPr>
          <w:i/>
          <w:lang w:eastAsia="en-AU"/>
        </w:rPr>
      </w:pPr>
      <w:r w:rsidRPr="007131B9">
        <w:rPr>
          <w:i/>
          <w:lang w:eastAsia="en-AU"/>
        </w:rPr>
        <w:lastRenderedPageBreak/>
        <w:t xml:space="preserve">Wave Period: </w:t>
      </w:r>
    </w:p>
    <w:p w:rsidR="00AE1ACA" w:rsidRDefault="005936ED" w:rsidP="005667B6">
      <w:pPr>
        <w:pStyle w:val="BodyText"/>
        <w:rPr>
          <w:lang w:eastAsia="en-AU"/>
        </w:rPr>
      </w:pPr>
      <w:r>
        <w:rPr>
          <w:lang w:eastAsia="en-AU"/>
        </w:rPr>
        <w:t>‘</w:t>
      </w:r>
      <w:r w:rsidR="002D7A90">
        <w:rPr>
          <w:lang w:eastAsia="en-AU"/>
        </w:rPr>
        <w:t>Peak wave p</w:t>
      </w:r>
      <w:r w:rsidR="00565522">
        <w:rPr>
          <w:lang w:eastAsia="en-AU"/>
        </w:rPr>
        <w:t>eriod</w:t>
      </w:r>
      <w:r>
        <w:rPr>
          <w:lang w:eastAsia="en-AU"/>
        </w:rPr>
        <w:t>’</w:t>
      </w:r>
      <w:r w:rsidR="00565522">
        <w:rPr>
          <w:lang w:eastAsia="en-AU"/>
        </w:rPr>
        <w:t xml:space="preserve"> is a measurement of the time difference (in seconds) between two successive wave crests</w:t>
      </w:r>
      <w:r w:rsidR="00FF6956">
        <w:rPr>
          <w:lang w:eastAsia="en-AU"/>
        </w:rPr>
        <w:t xml:space="preserve"> </w:t>
      </w:r>
      <w:r w:rsidR="00A72ACC">
        <w:rPr>
          <w:lang w:eastAsia="en-AU"/>
        </w:rPr>
        <w:t>of the waves with the largest amount of energy</w:t>
      </w:r>
      <w:r w:rsidR="00565522">
        <w:rPr>
          <w:lang w:eastAsia="en-AU"/>
        </w:rPr>
        <w:t>.</w:t>
      </w:r>
      <w:r w:rsidR="00FF6956">
        <w:rPr>
          <w:lang w:eastAsia="en-AU"/>
        </w:rPr>
        <w:t xml:space="preserve"> Generally, </w:t>
      </w:r>
      <w:r w:rsidR="00A72ACC">
        <w:rPr>
          <w:lang w:eastAsia="en-AU"/>
        </w:rPr>
        <w:t>higher wave period indicates are more powerful wave.</w:t>
      </w:r>
      <w:r w:rsidR="00F66B45">
        <w:rPr>
          <w:lang w:eastAsia="en-AU"/>
        </w:rPr>
        <w:t xml:space="preserve"> </w:t>
      </w:r>
    </w:p>
    <w:p w:rsidR="007131B9" w:rsidRPr="007131B9" w:rsidRDefault="003F3C28" w:rsidP="005667B6">
      <w:pPr>
        <w:pStyle w:val="BodyText"/>
        <w:rPr>
          <w:i/>
          <w:lang w:eastAsia="en-AU"/>
        </w:rPr>
      </w:pPr>
      <w:r w:rsidRPr="007131B9">
        <w:rPr>
          <w:i/>
          <w:lang w:eastAsia="en-AU"/>
        </w:rPr>
        <w:t xml:space="preserve">Wave Direction: </w:t>
      </w:r>
    </w:p>
    <w:p w:rsidR="003F3C28" w:rsidRDefault="003F3C28" w:rsidP="005667B6">
      <w:pPr>
        <w:pStyle w:val="BodyText"/>
        <w:rPr>
          <w:lang w:eastAsia="en-AU"/>
        </w:rPr>
      </w:pPr>
      <w:r>
        <w:rPr>
          <w:lang w:eastAsia="en-AU"/>
        </w:rPr>
        <w:t>The average wave direction</w:t>
      </w:r>
      <w:r w:rsidR="00565522">
        <w:rPr>
          <w:lang w:eastAsia="en-AU"/>
        </w:rPr>
        <w:t xml:space="preserve"> of all of the waves</w:t>
      </w:r>
      <w:r w:rsidR="00FF6956">
        <w:rPr>
          <w:lang w:eastAsia="en-AU"/>
        </w:rPr>
        <w:t xml:space="preserve"> in the spectrum,</w:t>
      </w:r>
      <w:r w:rsidR="00565522">
        <w:rPr>
          <w:lang w:eastAsia="en-AU"/>
        </w:rPr>
        <w:t xml:space="preserve"> given a</w:t>
      </w:r>
      <w:r w:rsidR="00FF6956">
        <w:rPr>
          <w:lang w:eastAsia="en-AU"/>
        </w:rPr>
        <w:t>s a compass bearing in degrees</w:t>
      </w:r>
      <w:r w:rsidR="005936ED">
        <w:rPr>
          <w:lang w:eastAsia="en-AU"/>
        </w:rPr>
        <w:t>,</w:t>
      </w:r>
      <w:r w:rsidR="00FF6956">
        <w:rPr>
          <w:lang w:eastAsia="en-AU"/>
        </w:rPr>
        <w:t xml:space="preserve"> </w:t>
      </w:r>
      <w:r w:rsidR="00565522">
        <w:rPr>
          <w:lang w:eastAsia="en-AU"/>
        </w:rPr>
        <w:t xml:space="preserve">and </w:t>
      </w:r>
      <w:r w:rsidR="009C1442">
        <w:rPr>
          <w:lang w:eastAsia="en-AU"/>
        </w:rPr>
        <w:t xml:space="preserve">the arrow </w:t>
      </w:r>
      <w:r w:rsidR="00565522">
        <w:rPr>
          <w:lang w:eastAsia="en-AU"/>
        </w:rPr>
        <w:t>show</w:t>
      </w:r>
      <w:r w:rsidR="009C1442">
        <w:rPr>
          <w:lang w:eastAsia="en-AU"/>
        </w:rPr>
        <w:t>s</w:t>
      </w:r>
      <w:r w:rsidR="00565522">
        <w:rPr>
          <w:lang w:eastAsia="en-AU"/>
        </w:rPr>
        <w:t xml:space="preserve"> the direction the waves are </w:t>
      </w:r>
      <w:r w:rsidR="009C1442">
        <w:rPr>
          <w:lang w:eastAsia="en-AU"/>
        </w:rPr>
        <w:t>moving towards</w:t>
      </w:r>
      <w:r w:rsidR="00565522">
        <w:rPr>
          <w:lang w:eastAsia="en-AU"/>
        </w:rPr>
        <w:t>.</w:t>
      </w:r>
    </w:p>
    <w:p w:rsidR="00D9409D" w:rsidRDefault="00932B39" w:rsidP="005667B6">
      <w:pPr>
        <w:pStyle w:val="BodyText"/>
        <w:rPr>
          <w:i/>
          <w:lang w:eastAsia="en-AU"/>
        </w:rPr>
      </w:pPr>
      <w:r w:rsidRPr="007131B9">
        <w:rPr>
          <w:i/>
          <w:lang w:eastAsia="en-AU"/>
        </w:rPr>
        <w:t xml:space="preserve">Wind </w:t>
      </w:r>
      <w:r w:rsidR="007131B9">
        <w:rPr>
          <w:i/>
          <w:lang w:eastAsia="en-AU"/>
        </w:rPr>
        <w:t>S</w:t>
      </w:r>
      <w:r w:rsidRPr="007131B9">
        <w:rPr>
          <w:i/>
          <w:lang w:eastAsia="en-AU"/>
        </w:rPr>
        <w:t xml:space="preserve">peed and </w:t>
      </w:r>
      <w:r w:rsidR="007131B9">
        <w:rPr>
          <w:i/>
          <w:lang w:eastAsia="en-AU"/>
        </w:rPr>
        <w:t>D</w:t>
      </w:r>
      <w:r w:rsidRPr="007131B9">
        <w:rPr>
          <w:i/>
          <w:lang w:eastAsia="en-AU"/>
        </w:rPr>
        <w:t xml:space="preserve">irection: </w:t>
      </w:r>
    </w:p>
    <w:p w:rsidR="004B1A72" w:rsidRDefault="002D7A90" w:rsidP="004B1A72">
      <w:r>
        <w:rPr>
          <w:lang w:eastAsia="en-AU"/>
        </w:rPr>
        <w:t>These wind parameters d</w:t>
      </w:r>
      <w:r w:rsidR="00661649">
        <w:rPr>
          <w:lang w:eastAsia="en-AU"/>
        </w:rPr>
        <w:t>escribe the c</w:t>
      </w:r>
      <w:r w:rsidR="00932B39">
        <w:rPr>
          <w:lang w:eastAsia="en-AU"/>
        </w:rPr>
        <w:t xml:space="preserve">haracteristics of wind </w:t>
      </w:r>
      <w:r w:rsidR="004B1A72">
        <w:rPr>
          <w:lang w:eastAsia="en-AU"/>
        </w:rPr>
        <w:t xml:space="preserve">averaged over a 10-minute period </w:t>
      </w:r>
      <w:r w:rsidR="00932B39">
        <w:rPr>
          <w:lang w:eastAsia="en-AU"/>
        </w:rPr>
        <w:t xml:space="preserve">at 10 metres </w:t>
      </w:r>
      <w:r w:rsidR="00661649">
        <w:rPr>
          <w:lang w:eastAsia="en-AU"/>
        </w:rPr>
        <w:t>above</w:t>
      </w:r>
      <w:r w:rsidR="00932B39">
        <w:rPr>
          <w:lang w:eastAsia="en-AU"/>
        </w:rPr>
        <w:t xml:space="preserve"> the sea surface</w:t>
      </w:r>
      <w:r w:rsidR="00565522">
        <w:rPr>
          <w:lang w:eastAsia="en-AU"/>
        </w:rPr>
        <w:t xml:space="preserve">. Wind speed is </w:t>
      </w:r>
      <w:r w:rsidR="00FF6956">
        <w:rPr>
          <w:lang w:eastAsia="en-AU"/>
        </w:rPr>
        <w:t xml:space="preserve">given </w:t>
      </w:r>
      <w:r w:rsidR="00180886">
        <w:rPr>
          <w:lang w:eastAsia="en-AU"/>
        </w:rPr>
        <w:t xml:space="preserve">in </w:t>
      </w:r>
      <w:r w:rsidR="00FF6956">
        <w:rPr>
          <w:lang w:eastAsia="en-AU"/>
        </w:rPr>
        <w:t>the units of</w:t>
      </w:r>
      <w:r w:rsidR="00565522">
        <w:rPr>
          <w:lang w:eastAsia="en-AU"/>
        </w:rPr>
        <w:t xml:space="preserve"> </w:t>
      </w:r>
      <w:r w:rsidR="009C1442">
        <w:rPr>
          <w:lang w:eastAsia="en-AU"/>
        </w:rPr>
        <w:t>knots</w:t>
      </w:r>
      <w:r w:rsidR="00565522">
        <w:rPr>
          <w:lang w:eastAsia="en-AU"/>
        </w:rPr>
        <w:t xml:space="preserve">, and the </w:t>
      </w:r>
      <w:r w:rsidR="009C1442">
        <w:rPr>
          <w:lang w:eastAsia="en-AU"/>
        </w:rPr>
        <w:t xml:space="preserve">arrow </w:t>
      </w:r>
      <w:r w:rsidR="00565522">
        <w:rPr>
          <w:lang w:eastAsia="en-AU"/>
        </w:rPr>
        <w:t xml:space="preserve">direction is a </w:t>
      </w:r>
      <w:r w:rsidR="00565522" w:rsidRPr="004B1A72">
        <w:t xml:space="preserve">compass bearing that shows the direction the wind </w:t>
      </w:r>
      <w:r w:rsidR="00180886" w:rsidRPr="004B1A72">
        <w:t>is</w:t>
      </w:r>
      <w:r w:rsidR="00565522" w:rsidRPr="004B1A72">
        <w:t xml:space="preserve"> </w:t>
      </w:r>
      <w:r w:rsidR="009C1442" w:rsidRPr="004B1A72">
        <w:t>moving towards.</w:t>
      </w:r>
    </w:p>
    <w:p w:rsidR="004B1A72" w:rsidRPr="004B1A72" w:rsidRDefault="004B1A72" w:rsidP="004B1A72">
      <w:r>
        <w:t>The wind forecasts does not show g</w:t>
      </w:r>
      <w:r w:rsidRPr="004B1A72">
        <w:t>usts</w:t>
      </w:r>
      <w:r>
        <w:t xml:space="preserve">, which </w:t>
      </w:r>
      <w:r w:rsidRPr="004B1A72">
        <w:t>are increases in wind speed lasting for just a few seconds. The speeds are typically 30 to 40 per cent higher than the average wind speed, but stronger gusts are likely in the vicinity of showers, thunderstorms and frontal systems.</w:t>
      </w:r>
    </w:p>
    <w:p w:rsidR="00EE37CD" w:rsidRPr="004B1A72" w:rsidRDefault="00EE37CD" w:rsidP="004B1A72"/>
    <w:p w:rsidR="00066B03" w:rsidRDefault="00EE37CD" w:rsidP="00066B03">
      <w:pPr>
        <w:pStyle w:val="Headingnon-numbered"/>
      </w:pPr>
      <w:r>
        <w:t>Examples</w:t>
      </w:r>
      <w:r w:rsidR="00DE7FE4">
        <w:t xml:space="preserve"> of Applications</w:t>
      </w:r>
    </w:p>
    <w:p w:rsidR="00820978" w:rsidRDefault="00066B03" w:rsidP="007C5B68">
      <w:pPr>
        <w:pStyle w:val="ListParagraph"/>
        <w:numPr>
          <w:ilvl w:val="0"/>
          <w:numId w:val="16"/>
        </w:numPr>
      </w:pPr>
      <w:r w:rsidRPr="0013261B">
        <w:rPr>
          <w:b/>
        </w:rPr>
        <w:t>Shipping/Boating:</w:t>
      </w:r>
      <w:r>
        <w:t xml:space="preserve"> </w:t>
      </w:r>
      <w:r w:rsidR="00964CF3">
        <w:t>Critical shipping and ferry activities between islands can be postponed during high wave events</w:t>
      </w:r>
      <w:r w:rsidR="005936ED">
        <w:t xml:space="preserve"> that are</w:t>
      </w:r>
      <w:r w:rsidR="00964CF3">
        <w:t xml:space="preserve"> </w:t>
      </w:r>
      <w:r w:rsidR="00D04CBC">
        <w:t>predicted</w:t>
      </w:r>
      <w:r w:rsidR="00964CF3">
        <w:t xml:space="preserve"> by the wave forecasts. </w:t>
      </w:r>
      <w:r w:rsidR="005936ED">
        <w:t>Additionally, o</w:t>
      </w:r>
      <w:r w:rsidR="00964CF3">
        <w:t xml:space="preserve">perators of smaller boats may be more interested in the local wind forecast, as many experienced boaters have traditional knowledge regarding what wind conditions </w:t>
      </w:r>
      <w:r w:rsidR="00180886">
        <w:t xml:space="preserve">can </w:t>
      </w:r>
      <w:r w:rsidR="00964CF3">
        <w:t xml:space="preserve">create </w:t>
      </w:r>
      <w:r w:rsidR="00180886">
        <w:t xml:space="preserve">smaller </w:t>
      </w:r>
      <w:r w:rsidR="00964CF3">
        <w:t>choppy waves that impact smaller vessels.</w:t>
      </w:r>
    </w:p>
    <w:p w:rsidR="00066B03" w:rsidRDefault="00066B03" w:rsidP="00066B03">
      <w:pPr>
        <w:pStyle w:val="ListParagraph"/>
      </w:pPr>
    </w:p>
    <w:p w:rsidR="00066B03" w:rsidRDefault="00066B03" w:rsidP="007C5B68">
      <w:pPr>
        <w:pStyle w:val="ListParagraph"/>
        <w:numPr>
          <w:ilvl w:val="0"/>
          <w:numId w:val="16"/>
        </w:numPr>
      </w:pPr>
      <w:r w:rsidRPr="0013261B">
        <w:rPr>
          <w:b/>
        </w:rPr>
        <w:t>Tourism/Recreation:</w:t>
      </w:r>
      <w:r>
        <w:t xml:space="preserve"> </w:t>
      </w:r>
      <w:r w:rsidR="001F7BC9">
        <w:t xml:space="preserve">There are many activities that rely on wind and waves for </w:t>
      </w:r>
      <w:r w:rsidR="00180886">
        <w:t xml:space="preserve">maximum </w:t>
      </w:r>
      <w:r w:rsidR="001F7BC9">
        <w:t xml:space="preserve">enjoyment </w:t>
      </w:r>
      <w:r w:rsidR="00180886">
        <w:t xml:space="preserve">and safety </w:t>
      </w:r>
      <w:r w:rsidR="001F7BC9">
        <w:t>of the participants. Some examples of these are surf</w:t>
      </w:r>
      <w:r w:rsidR="005936ED">
        <w:t>ing</w:t>
      </w:r>
      <w:r w:rsidR="001F7BC9">
        <w:t>, windsurf</w:t>
      </w:r>
      <w:r w:rsidR="005936ED">
        <w:t>ing</w:t>
      </w:r>
      <w:r w:rsidR="001F7BC9">
        <w:t>, kitesurf</w:t>
      </w:r>
      <w:r w:rsidR="005936ED">
        <w:t>ing</w:t>
      </w:r>
      <w:r w:rsidR="001F7BC9">
        <w:t xml:space="preserve">, fishing, scuba diving, snorkelling, boating, and any other recreational activities occurring </w:t>
      </w:r>
      <w:r w:rsidR="005936ED">
        <w:t>in (or near)</w:t>
      </w:r>
      <w:r w:rsidR="001F7BC9">
        <w:t xml:space="preserve"> the ocean.</w:t>
      </w:r>
    </w:p>
    <w:p w:rsidR="00066B03" w:rsidRDefault="00066B03" w:rsidP="00066B03">
      <w:pPr>
        <w:pStyle w:val="ListParagraph"/>
      </w:pPr>
    </w:p>
    <w:p w:rsidR="00180886" w:rsidRDefault="006A754C" w:rsidP="007C5B68">
      <w:pPr>
        <w:pStyle w:val="ListParagraph"/>
        <w:numPr>
          <w:ilvl w:val="0"/>
          <w:numId w:val="16"/>
        </w:numPr>
      </w:pPr>
      <w:r w:rsidRPr="0013261B">
        <w:rPr>
          <w:b/>
          <w:noProof/>
          <w:lang w:eastAsia="en-AU"/>
        </w:rPr>
        <w:drawing>
          <wp:anchor distT="0" distB="0" distL="36195" distR="36195" simplePos="0" relativeHeight="251659264" behindDoc="0" locked="0" layoutInCell="1" allowOverlap="1" wp14:anchorId="4F1909DC" wp14:editId="0E9C1198">
            <wp:simplePos x="0" y="0"/>
            <wp:positionH relativeFrom="column">
              <wp:posOffset>2947035</wp:posOffset>
            </wp:positionH>
            <wp:positionV relativeFrom="paragraph">
              <wp:posOffset>32385</wp:posOffset>
            </wp:positionV>
            <wp:extent cx="3171825" cy="10477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B03" w:rsidRPr="0013261B">
        <w:rPr>
          <w:b/>
        </w:rPr>
        <w:t>Inundation:</w:t>
      </w:r>
      <w:r w:rsidR="00066B03">
        <w:t xml:space="preserve"> </w:t>
      </w:r>
      <w:r w:rsidR="00980E1C">
        <w:t>Flooding of coastal areas can occur in certain low lying regions when spring tides coincide with large wave events created by storms many kilometres away. This can become even more problematic when there is a strong onshore wind pushing more water towards the coastline.</w:t>
      </w:r>
      <w:r w:rsidR="00180886">
        <w:t xml:space="preserve"> </w:t>
      </w:r>
      <w:r w:rsidR="005936ED">
        <w:t>W</w:t>
      </w:r>
      <w:r w:rsidR="00180886">
        <w:t>ave forecast</w:t>
      </w:r>
      <w:r w:rsidR="005C73B9">
        <w:t>s</w:t>
      </w:r>
      <w:r w:rsidR="00180886">
        <w:t xml:space="preserve"> </w:t>
      </w:r>
      <w:r w:rsidR="005C73B9">
        <w:t xml:space="preserve">can show when there’s the potential for </w:t>
      </w:r>
      <w:r w:rsidR="00180886">
        <w:t xml:space="preserve">a large wave event </w:t>
      </w:r>
      <w:r w:rsidR="005C73B9">
        <w:t xml:space="preserve">to affect </w:t>
      </w:r>
      <w:r w:rsidR="00180886">
        <w:t xml:space="preserve">a region </w:t>
      </w:r>
      <w:r w:rsidR="005C73B9">
        <w:t xml:space="preserve">coinciding with </w:t>
      </w:r>
      <w:r w:rsidR="00180886">
        <w:t>a spring tide</w:t>
      </w:r>
      <w:r w:rsidR="005C73B9">
        <w:t xml:space="preserve"> and </w:t>
      </w:r>
      <w:r w:rsidR="00180886">
        <w:t xml:space="preserve">onshore winds. Tidal information can be accessed from: </w:t>
      </w:r>
      <w:hyperlink r:id="rId13" w:history="1">
        <w:r w:rsidR="008A57E9" w:rsidRPr="008925BC">
          <w:rPr>
            <w:rStyle w:val="Hyperlink"/>
          </w:rPr>
          <w:t>http://www.bom.gov.au/oceanography/projects/spslcmp/tidecalendars.shtml</w:t>
        </w:r>
      </w:hyperlink>
    </w:p>
    <w:p w:rsidR="00820978" w:rsidRDefault="00820978" w:rsidP="00820978">
      <w:pPr>
        <w:pStyle w:val="ListParagraph"/>
      </w:pPr>
    </w:p>
    <w:p w:rsidR="008F55D4" w:rsidRDefault="00D12FF6" w:rsidP="007C5B68">
      <w:pPr>
        <w:pStyle w:val="ListParagraph"/>
        <w:numPr>
          <w:ilvl w:val="0"/>
          <w:numId w:val="16"/>
        </w:numPr>
      </w:pPr>
      <w:r w:rsidRPr="0013261B">
        <w:rPr>
          <w:b/>
        </w:rPr>
        <w:t>Other Ocean</w:t>
      </w:r>
      <w:r w:rsidR="008F55D4" w:rsidRPr="0013261B">
        <w:rPr>
          <w:b/>
        </w:rPr>
        <w:t xml:space="preserve"> </w:t>
      </w:r>
      <w:r w:rsidR="00013E05" w:rsidRPr="0013261B">
        <w:rPr>
          <w:b/>
        </w:rPr>
        <w:t>Activities</w:t>
      </w:r>
      <w:r w:rsidR="008F55D4" w:rsidRPr="0013261B">
        <w:rPr>
          <w:b/>
        </w:rPr>
        <w:t>:</w:t>
      </w:r>
      <w:r>
        <w:t xml:space="preserve"> Construction works, </w:t>
      </w:r>
      <w:r w:rsidR="009317E6">
        <w:t xml:space="preserve">equipment </w:t>
      </w:r>
      <w:r>
        <w:t xml:space="preserve">maintenance, or any other development occurring near the ocean may need to have </w:t>
      </w:r>
      <w:r w:rsidR="009317E6">
        <w:t xml:space="preserve">knowledge of possible unmanageable wind and </w:t>
      </w:r>
      <w:r>
        <w:t xml:space="preserve">wave </w:t>
      </w:r>
      <w:r w:rsidR="009317E6">
        <w:t>conditions</w:t>
      </w:r>
      <w:r>
        <w:t>.</w:t>
      </w:r>
    </w:p>
    <w:p w:rsidR="00C340A3" w:rsidRPr="00C340A3" w:rsidRDefault="00C340A3" w:rsidP="00C340A3">
      <w:pPr>
        <w:pStyle w:val="BodyText"/>
        <w:rPr>
          <w:lang w:eastAsia="en-AU"/>
        </w:rPr>
      </w:pPr>
    </w:p>
    <w:p w:rsidR="003E39C5" w:rsidRDefault="002D4DF3" w:rsidP="003E39C5">
      <w:pPr>
        <w:pStyle w:val="Headingnon-numbered"/>
      </w:pPr>
      <w:r>
        <w:lastRenderedPageBreak/>
        <w:t>Data Source</w:t>
      </w:r>
    </w:p>
    <w:p w:rsidR="00FB56F0" w:rsidRPr="003E39C5" w:rsidRDefault="000404F6" w:rsidP="003E39C5">
      <w:r w:rsidRPr="003E39C5">
        <w:t>The Bureau of Meteorology operates a global wave forecast model</w:t>
      </w:r>
      <w:r w:rsidR="006203E8" w:rsidRPr="003E39C5">
        <w:t xml:space="preserve"> called AUSWAVE</w:t>
      </w:r>
      <w:r w:rsidRPr="003E39C5">
        <w:t xml:space="preserve"> that runs twice a day. It is based on version 3.14 of WAVEWATCH III</w:t>
      </w:r>
      <w:r w:rsidR="00FB56F0" w:rsidRPr="003E39C5">
        <w:t>. Operational runs are performed using surface wind data from the Australian Community Climate and Earth-System Simulator (ACCESS). Model spatial resolution i</w:t>
      </w:r>
      <w:r w:rsidR="006203E8" w:rsidRPr="003E39C5">
        <w:t>s</w:t>
      </w:r>
      <w:r w:rsidR="00FB56F0" w:rsidRPr="003E39C5">
        <w:t xml:space="preserve"> 0.4 degrees globally.</w:t>
      </w:r>
      <w:r w:rsidR="000211CD" w:rsidRPr="003E39C5">
        <w:t xml:space="preserve"> Additional details </w:t>
      </w:r>
      <w:r w:rsidR="006203E8" w:rsidRPr="003E39C5">
        <w:t>of the model</w:t>
      </w:r>
      <w:r w:rsidR="000211CD" w:rsidRPr="003E39C5">
        <w:t xml:space="preserve"> can be found in </w:t>
      </w:r>
      <w:hyperlink r:id="rId14" w:history="1">
        <w:r w:rsidR="00BB3AF4" w:rsidRPr="003E39C5">
          <w:rPr>
            <w:rStyle w:val="Hyperlink"/>
          </w:rPr>
          <w:t>NMOC Operations Bulletin Number 92</w:t>
        </w:r>
      </w:hyperlink>
      <w:r w:rsidR="00BB3AF4" w:rsidRPr="003E39C5">
        <w:t xml:space="preserve"> (Bureau of Meteorology, 2012).</w:t>
      </w:r>
    </w:p>
    <w:p w:rsidR="00FB56F0" w:rsidRDefault="00FB56F0" w:rsidP="00661649">
      <w:pPr>
        <w:pStyle w:val="BodyText"/>
        <w:rPr>
          <w:lang w:eastAsia="en-AU"/>
        </w:rPr>
      </w:pPr>
    </w:p>
    <w:p w:rsidR="003E39C5" w:rsidRDefault="00661649" w:rsidP="003E39C5">
      <w:pPr>
        <w:pStyle w:val="Headingnon-numbered"/>
      </w:pPr>
      <w:r>
        <w:t>Links</w:t>
      </w:r>
    </w:p>
    <w:p w:rsidR="00661649" w:rsidRPr="003E39C5" w:rsidRDefault="00FB56F0" w:rsidP="003E39C5">
      <w:r w:rsidRPr="003E39C5">
        <w:t xml:space="preserve">AUSWAVE description: </w:t>
      </w:r>
      <w:hyperlink r:id="rId15" w:history="1">
        <w:r w:rsidR="00661649" w:rsidRPr="003E39C5">
          <w:rPr>
            <w:rStyle w:val="Hyperlink"/>
          </w:rPr>
          <w:t>http://www.bom.gov.au/nwp/doc/auswave/data.shtml</w:t>
        </w:r>
      </w:hyperlink>
    </w:p>
    <w:p w:rsidR="002D4DF3" w:rsidRDefault="002D4DF3" w:rsidP="00235A8D">
      <w:pPr>
        <w:autoSpaceDE w:val="0"/>
        <w:autoSpaceDN w:val="0"/>
        <w:adjustRightInd w:val="0"/>
        <w:spacing w:before="0" w:after="0" w:line="240" w:lineRule="auto"/>
        <w:rPr>
          <w:rFonts w:cs="Arial"/>
          <w:szCs w:val="20"/>
        </w:rPr>
      </w:pPr>
    </w:p>
    <w:p w:rsidR="00964CF3" w:rsidRDefault="00964CF3" w:rsidP="00964CF3">
      <w:pPr>
        <w:pStyle w:val="Headingnon-numbered"/>
      </w:pPr>
      <w:r w:rsidRPr="00821AF4">
        <w:t>Disclaimer</w:t>
      </w:r>
    </w:p>
    <w:p w:rsidR="00964CF3" w:rsidRPr="00964CF3" w:rsidRDefault="00964CF3" w:rsidP="00964CF3">
      <w:r w:rsidRPr="00964CF3">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964CF3" w:rsidRPr="00A07057" w:rsidRDefault="00964CF3" w:rsidP="00A07057"/>
    <w:p w:rsidR="003E39C5" w:rsidRDefault="00746BC9" w:rsidP="003E39C5">
      <w:pPr>
        <w:pStyle w:val="Headingnon-numbered"/>
      </w:pPr>
      <w:r>
        <w:t>References</w:t>
      </w:r>
    </w:p>
    <w:p w:rsidR="00E36595" w:rsidRPr="003E39C5" w:rsidRDefault="00FB56F0" w:rsidP="003E39C5">
      <w:proofErr w:type="gramStart"/>
      <w:r w:rsidRPr="003E39C5">
        <w:t>Bureau of Meteorology, 2012.</w:t>
      </w:r>
      <w:proofErr w:type="gramEnd"/>
      <w:r w:rsidRPr="003E39C5">
        <w:t xml:space="preserve"> </w:t>
      </w:r>
      <w:proofErr w:type="gramStart"/>
      <w:r w:rsidRPr="003E39C5">
        <w:t>Operational Upgrade to the AUSWAVE Global Wave Model (AUSWAVE-G).</w:t>
      </w:r>
      <w:proofErr w:type="gramEnd"/>
      <w:r w:rsidRPr="003E39C5">
        <w:t xml:space="preserve"> </w:t>
      </w:r>
      <w:proofErr w:type="gramStart"/>
      <w:r w:rsidRPr="003E39C5">
        <w:t>NMOC Operations Bulletin Number 92, 10p.</w:t>
      </w:r>
      <w:proofErr w:type="gramEnd"/>
    </w:p>
    <w:p w:rsidR="00235A8D" w:rsidRPr="00235A8D" w:rsidRDefault="00235A8D" w:rsidP="00235A8D">
      <w:pPr>
        <w:autoSpaceDE w:val="0"/>
        <w:autoSpaceDN w:val="0"/>
        <w:adjustRightInd w:val="0"/>
        <w:spacing w:before="0" w:after="0" w:line="240" w:lineRule="auto"/>
        <w:rPr>
          <w:rFonts w:cs="Arial"/>
          <w:i/>
          <w:szCs w:val="20"/>
        </w:rPr>
      </w:pPr>
    </w:p>
    <w:p w:rsidR="003E39C5" w:rsidRDefault="00EE37CD" w:rsidP="003E39C5">
      <w:pPr>
        <w:pStyle w:val="Headingnon-numbered"/>
      </w:pPr>
      <w:r>
        <w:t>Contact</w:t>
      </w:r>
    </w:p>
    <w:p w:rsidR="00E36595" w:rsidRPr="003E39C5" w:rsidRDefault="00E36595" w:rsidP="003E39C5">
      <w:r w:rsidRPr="003E39C5">
        <w:t xml:space="preserve">For more information, please email </w:t>
      </w:r>
      <w:hyperlink r:id="rId16" w:history="1">
        <w:r w:rsidRPr="003E39C5">
          <w:rPr>
            <w:rStyle w:val="Hyperlink"/>
          </w:rPr>
          <w:t>cosppac_comp_unit@bom.gov.au</w:t>
        </w:r>
      </w:hyperlink>
    </w:p>
    <w:p w:rsidR="00E36595" w:rsidRPr="00E36595" w:rsidRDefault="00E36595" w:rsidP="00E36595">
      <w:pPr>
        <w:pStyle w:val="BodyText"/>
        <w:rPr>
          <w:lang w:eastAsia="en-AU"/>
        </w:rPr>
      </w:pPr>
    </w:p>
    <w:sectPr w:rsidR="00E36595" w:rsidRPr="00E36595" w:rsidSect="003742F3">
      <w:headerReference w:type="default" r:id="rId17"/>
      <w:footerReference w:type="default" r:id="rId18"/>
      <w:headerReference w:type="first" r:id="rId19"/>
      <w:footerReference w:type="first" r:id="rId20"/>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216" w:rsidRDefault="00BC3216" w:rsidP="00F423EC">
      <w:pPr>
        <w:spacing w:after="0"/>
      </w:pPr>
      <w:r>
        <w:separator/>
      </w:r>
    </w:p>
  </w:endnote>
  <w:endnote w:type="continuationSeparator" w:id="0">
    <w:p w:rsidR="00BC3216" w:rsidRDefault="00BC3216"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2F3" w:rsidRDefault="003742F3" w:rsidP="003742F3">
    <w:pPr>
      <w:pStyle w:val="Footer"/>
      <w:jc w:val="left"/>
    </w:pPr>
    <w:r>
      <w:rPr>
        <w:noProof/>
        <w:lang w:eastAsia="en-AU"/>
      </w:rPr>
      <w:drawing>
        <wp:anchor distT="0" distB="0" distL="114300" distR="114300" simplePos="0" relativeHeight="251676672" behindDoc="0" locked="0" layoutInCell="1" allowOverlap="1" wp14:anchorId="06C2FB04" wp14:editId="01247411">
          <wp:simplePos x="0" y="0"/>
          <wp:positionH relativeFrom="page">
            <wp:posOffset>-29845</wp:posOffset>
          </wp:positionH>
          <wp:positionV relativeFrom="page">
            <wp:posOffset>9440384</wp:posOffset>
          </wp:positionV>
          <wp:extent cx="7610475" cy="1266825"/>
          <wp:effectExtent l="0" t="0" r="9525" b="9525"/>
          <wp:wrapNone/>
          <wp:docPr id="17" name="Picture 1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p w:rsidR="00D9409D" w:rsidRPr="003742F3" w:rsidRDefault="00D9409D" w:rsidP="00374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87" w:rsidRDefault="00010687" w:rsidP="00E32578">
    <w:pPr>
      <w:pStyle w:val="Footer"/>
      <w:jc w:val="left"/>
    </w:pPr>
    <w:r>
      <w:rPr>
        <w:noProof/>
        <w:lang w:eastAsia="en-AU"/>
      </w:rPr>
      <w:drawing>
        <wp:anchor distT="0" distB="0" distL="114300" distR="114300" simplePos="0" relativeHeight="251671552" behindDoc="0" locked="0" layoutInCell="1" allowOverlap="1" wp14:anchorId="0553BA55" wp14:editId="781FF17E">
          <wp:simplePos x="0" y="0"/>
          <wp:positionH relativeFrom="page">
            <wp:posOffset>-29845</wp:posOffset>
          </wp:positionH>
          <wp:positionV relativeFrom="page">
            <wp:posOffset>9440384</wp:posOffset>
          </wp:positionV>
          <wp:extent cx="7610475" cy="1266825"/>
          <wp:effectExtent l="0" t="0" r="9525" b="9525"/>
          <wp:wrapNone/>
          <wp:docPr id="14" name="Picture 14"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216" w:rsidRDefault="00BC3216" w:rsidP="00F423EC">
      <w:pPr>
        <w:spacing w:after="0"/>
      </w:pPr>
      <w:r>
        <w:separator/>
      </w:r>
    </w:p>
  </w:footnote>
  <w:footnote w:type="continuationSeparator" w:id="0">
    <w:p w:rsidR="00BC3216" w:rsidRDefault="00BC3216" w:rsidP="00F423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2F3" w:rsidRPr="00F04D00" w:rsidRDefault="00C7168F" w:rsidP="003742F3">
    <w:r w:rsidRPr="007F7B1E">
      <w:rPr>
        <w:noProof/>
        <w:lang w:eastAsia="en-AU"/>
      </w:rPr>
      <w:drawing>
        <wp:anchor distT="0" distB="0" distL="114300" distR="114300" simplePos="0" relativeHeight="251678720" behindDoc="1" locked="0" layoutInCell="1" allowOverlap="1" wp14:anchorId="40271C48" wp14:editId="3774CB0D">
          <wp:simplePos x="0" y="0"/>
          <wp:positionH relativeFrom="column">
            <wp:posOffset>31750</wp:posOffset>
          </wp:positionH>
          <wp:positionV relativeFrom="paragraph">
            <wp:posOffset>8255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504">
      <w:rPr>
        <w:noProof/>
        <w:lang w:eastAsia="en-AU"/>
      </w:rPr>
      <w:drawing>
        <wp:anchor distT="0" distB="0" distL="114300" distR="114300" simplePos="0" relativeHeight="251673600" behindDoc="0" locked="0" layoutInCell="1" allowOverlap="1" wp14:anchorId="33202BC1" wp14:editId="743B4F5F">
          <wp:simplePos x="0" y="0"/>
          <wp:positionH relativeFrom="column">
            <wp:posOffset>3444875</wp:posOffset>
          </wp:positionH>
          <wp:positionV relativeFrom="paragraph">
            <wp:posOffset>-106680</wp:posOffset>
          </wp:positionV>
          <wp:extent cx="923925" cy="866775"/>
          <wp:effectExtent l="0" t="0" r="9525" b="9525"/>
          <wp:wrapSquare wrapText="bothSides"/>
          <wp:docPr id="16" name="Picture 1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504">
      <w:rPr>
        <w:noProof/>
        <w:lang w:eastAsia="en-AU"/>
      </w:rPr>
      <mc:AlternateContent>
        <mc:Choice Requires="wps">
          <w:drawing>
            <wp:anchor distT="0" distB="0" distL="114300" distR="114300" simplePos="0" relativeHeight="251674624" behindDoc="0" locked="0" layoutInCell="1" allowOverlap="1" wp14:anchorId="2260DB8F" wp14:editId="78D3D416">
              <wp:simplePos x="0" y="0"/>
              <wp:positionH relativeFrom="column">
                <wp:posOffset>4489450</wp:posOffset>
              </wp:positionH>
              <wp:positionV relativeFrom="paragraph">
                <wp:posOffset>33020</wp:posOffset>
              </wp:positionV>
              <wp:extent cx="1651000" cy="520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2F3" w:rsidRDefault="003742F3" w:rsidP="003742F3">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0" type="#_x0000_t202" style="position:absolute;margin-left:353.5pt;margin-top:2.6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" filled="f" stroked="f" strokeweight=".5pt">
              <v:textbox>
                <w:txbxContent>
                  <w:p w:rsidR="003742F3" w:rsidRDefault="003742F3" w:rsidP="003742F3">
                    <w:pPr>
                      <w:pStyle w:val="Headertitlepage"/>
                    </w:pPr>
                    <w:r>
                      <w:t>Climate and Oceans Support</w:t>
                    </w:r>
                    <w:r w:rsidRPr="00B025A4">
                      <w:t xml:space="preserve"> </w:t>
                    </w:r>
                    <w:r>
                      <w:br/>
                    </w:r>
                    <w:r w:rsidRPr="00B025A4">
                      <w:t>Program in the Pacific</w:t>
                    </w:r>
                  </w:p>
                </w:txbxContent>
              </v:textbox>
            </v:shape>
          </w:pict>
        </mc:Fallback>
      </mc:AlternateContent>
    </w:r>
  </w:p>
  <w:p w:rsidR="00F9553F" w:rsidRPr="003742F3" w:rsidRDefault="00F9553F" w:rsidP="003742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2CF" w:rsidRPr="00F04D00" w:rsidRDefault="00F9553F" w:rsidP="007632CF">
    <w:r>
      <w:rPr>
        <w:noProof/>
        <w:lang w:eastAsia="en-AU"/>
      </w:rPr>
      <w:drawing>
        <wp:anchor distT="0" distB="0" distL="114300" distR="114300" simplePos="0" relativeHeight="251668480" behindDoc="0" locked="0" layoutInCell="1" allowOverlap="1" wp14:anchorId="6E8558B6" wp14:editId="0CA9223A">
          <wp:simplePos x="0" y="0"/>
          <wp:positionH relativeFrom="column">
            <wp:posOffset>6985</wp:posOffset>
          </wp:positionH>
          <wp:positionV relativeFrom="paragraph">
            <wp:posOffset>-91440</wp:posOffset>
          </wp:positionV>
          <wp:extent cx="923925" cy="866775"/>
          <wp:effectExtent l="0" t="0" r="9525" b="9525"/>
          <wp:wrapSquare wrapText="bothSides"/>
          <wp:docPr id="13" name="Picture 13"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2CF">
      <w:rPr>
        <w:noProof/>
        <w:lang w:eastAsia="en-AU"/>
      </w:rPr>
      <mc:AlternateContent>
        <mc:Choice Requires="wps">
          <w:drawing>
            <wp:anchor distT="0" distB="0" distL="114300" distR="114300" simplePos="0" relativeHeight="251669504" behindDoc="0" locked="0" layoutInCell="1" allowOverlap="1" wp14:anchorId="4F92BD7F" wp14:editId="4B7C9457">
              <wp:simplePos x="0" y="0"/>
              <wp:positionH relativeFrom="column">
                <wp:posOffset>1051721</wp:posOffset>
              </wp:positionH>
              <wp:positionV relativeFrom="paragraph">
                <wp:posOffset>48260</wp:posOffset>
              </wp:positionV>
              <wp:extent cx="1651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2CF" w:rsidRDefault="007632CF"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7632CF" w:rsidRDefault="007632CF" w:rsidP="00E06DC9">
                    <w:pPr>
                      <w:pStyle w:val="Headertitlepage"/>
                    </w:pPr>
                    <w:r>
                      <w:t>Climate and Oceans Support</w:t>
                    </w:r>
                    <w:r w:rsidRPr="00B025A4">
                      <w:t xml:space="preserve"> </w:t>
                    </w:r>
                    <w:r>
                      <w:br/>
                    </w:r>
                    <w:r w:rsidRPr="00B025A4">
                      <w:t>Program in the Pacific</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7137"/>
    <w:multiLevelType w:val="hybridMultilevel"/>
    <w:tmpl w:val="55AAE46E"/>
    <w:lvl w:ilvl="0" w:tplc="F18E8A0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2C54569"/>
    <w:multiLevelType w:val="multilevel"/>
    <w:tmpl w:val="AA4479C8"/>
    <w:numStyleLink w:val="TableListBulletmaster"/>
  </w:abstractNum>
  <w:abstractNum w:abstractNumId="3">
    <w:nsid w:val="1654517F"/>
    <w:multiLevelType w:val="hybridMultilevel"/>
    <w:tmpl w:val="617EAD4C"/>
    <w:lvl w:ilvl="0" w:tplc="06D209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AE127D3"/>
    <w:multiLevelType w:val="multilevel"/>
    <w:tmpl w:val="28F46D40"/>
    <w:numStyleLink w:val="ListNumbermaster"/>
  </w:abstractNum>
  <w:abstractNum w:abstractNumId="8">
    <w:nsid w:val="2D8C0C9F"/>
    <w:multiLevelType w:val="hybridMultilevel"/>
    <w:tmpl w:val="20CCB1D6"/>
    <w:lvl w:ilvl="0" w:tplc="AAA4F8B6">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00F721D"/>
    <w:multiLevelType w:val="multilevel"/>
    <w:tmpl w:val="904AEB3A"/>
    <w:numStyleLink w:val="TableListNumbermaster"/>
  </w:abstractNum>
  <w:abstractNum w:abstractNumId="11">
    <w:nsid w:val="322B5675"/>
    <w:multiLevelType w:val="multilevel"/>
    <w:tmpl w:val="28E66356"/>
    <w:numStyleLink w:val="ListAlphanumericmaster"/>
  </w:abstractNum>
  <w:abstractNum w:abstractNumId="12">
    <w:nsid w:val="3C5E1CB5"/>
    <w:multiLevelType w:val="multilevel"/>
    <w:tmpl w:val="A0042134"/>
    <w:numStyleLink w:val="ListBulletmaster"/>
  </w:abstractNum>
  <w:abstractNum w:abstractNumId="13">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08C4E67"/>
    <w:multiLevelType w:val="multilevel"/>
    <w:tmpl w:val="E8D621D4"/>
    <w:numStyleLink w:val="AppendixHeadingmaster"/>
  </w:abstractNum>
  <w:abstractNum w:abstractNumId="15">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7"/>
  </w:num>
  <w:num w:numId="5">
    <w:abstractNumId w:val="9"/>
  </w:num>
  <w:num w:numId="6">
    <w:abstractNumId w:val="15"/>
  </w:num>
  <w:num w:numId="7">
    <w:abstractNumId w:val="6"/>
  </w:num>
  <w:num w:numId="8">
    <w:abstractNumId w:val="14"/>
  </w:num>
  <w:num w:numId="9">
    <w:abstractNumId w:val="16"/>
  </w:num>
  <w:num w:numId="10">
    <w:abstractNumId w:val="5"/>
  </w:num>
  <w:num w:numId="11">
    <w:abstractNumId w:val="11"/>
  </w:num>
  <w:num w:numId="12">
    <w:abstractNumId w:val="2"/>
  </w:num>
  <w:num w:numId="13">
    <w:abstractNumId w:val="10"/>
  </w:num>
  <w:num w:numId="14">
    <w:abstractNumId w:val="12"/>
  </w:num>
  <w:num w:numId="15">
    <w:abstractNumId w:val="7"/>
  </w:num>
  <w:num w:numId="16">
    <w:abstractNumId w:val="3"/>
  </w:num>
  <w:num w:numId="17">
    <w:abstractNumId w:val="8"/>
  </w:num>
  <w:num w:numId="18">
    <w:abstractNumId w:val="0"/>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06811"/>
    <w:rsid w:val="00010687"/>
    <w:rsid w:val="00013E05"/>
    <w:rsid w:val="000211CD"/>
    <w:rsid w:val="00021B12"/>
    <w:rsid w:val="00024CD1"/>
    <w:rsid w:val="000404F6"/>
    <w:rsid w:val="00061F46"/>
    <w:rsid w:val="0006598A"/>
    <w:rsid w:val="00066B03"/>
    <w:rsid w:val="00070C59"/>
    <w:rsid w:val="00073949"/>
    <w:rsid w:val="00073EE2"/>
    <w:rsid w:val="00084670"/>
    <w:rsid w:val="00093021"/>
    <w:rsid w:val="00095E8D"/>
    <w:rsid w:val="000A471A"/>
    <w:rsid w:val="000C04D3"/>
    <w:rsid w:val="000D62AE"/>
    <w:rsid w:val="000F0B8C"/>
    <w:rsid w:val="00121826"/>
    <w:rsid w:val="0013261B"/>
    <w:rsid w:val="00137B47"/>
    <w:rsid w:val="00143AA4"/>
    <w:rsid w:val="00161A15"/>
    <w:rsid w:val="00180886"/>
    <w:rsid w:val="00191932"/>
    <w:rsid w:val="001A6053"/>
    <w:rsid w:val="001B516B"/>
    <w:rsid w:val="001E08F3"/>
    <w:rsid w:val="001E2F25"/>
    <w:rsid w:val="001F7BC9"/>
    <w:rsid w:val="00207C9C"/>
    <w:rsid w:val="002205BA"/>
    <w:rsid w:val="00223DA0"/>
    <w:rsid w:val="00235A8D"/>
    <w:rsid w:val="00250F55"/>
    <w:rsid w:val="00251A4F"/>
    <w:rsid w:val="00262B88"/>
    <w:rsid w:val="0026388B"/>
    <w:rsid w:val="00275C30"/>
    <w:rsid w:val="00285063"/>
    <w:rsid w:val="0028539D"/>
    <w:rsid w:val="00287596"/>
    <w:rsid w:val="002A6340"/>
    <w:rsid w:val="002D26B4"/>
    <w:rsid w:val="002D4DF3"/>
    <w:rsid w:val="002D7A90"/>
    <w:rsid w:val="00312915"/>
    <w:rsid w:val="00321CF4"/>
    <w:rsid w:val="00323FEB"/>
    <w:rsid w:val="00344970"/>
    <w:rsid w:val="003612C2"/>
    <w:rsid w:val="00363E5F"/>
    <w:rsid w:val="003709D7"/>
    <w:rsid w:val="003742F3"/>
    <w:rsid w:val="003845A8"/>
    <w:rsid w:val="003A6D59"/>
    <w:rsid w:val="003E39C5"/>
    <w:rsid w:val="003F1F36"/>
    <w:rsid w:val="003F3C28"/>
    <w:rsid w:val="00400ED2"/>
    <w:rsid w:val="004051CC"/>
    <w:rsid w:val="004060A9"/>
    <w:rsid w:val="00411CCA"/>
    <w:rsid w:val="00426F72"/>
    <w:rsid w:val="004369C5"/>
    <w:rsid w:val="00444765"/>
    <w:rsid w:val="00467957"/>
    <w:rsid w:val="00471643"/>
    <w:rsid w:val="0048750D"/>
    <w:rsid w:val="004911E6"/>
    <w:rsid w:val="00497504"/>
    <w:rsid w:val="004A7649"/>
    <w:rsid w:val="004B1A72"/>
    <w:rsid w:val="004C5B3C"/>
    <w:rsid w:val="004D2FCB"/>
    <w:rsid w:val="004D752E"/>
    <w:rsid w:val="004F1CE9"/>
    <w:rsid w:val="004F4674"/>
    <w:rsid w:val="005437E3"/>
    <w:rsid w:val="00544864"/>
    <w:rsid w:val="0056049D"/>
    <w:rsid w:val="00564318"/>
    <w:rsid w:val="00565522"/>
    <w:rsid w:val="00566212"/>
    <w:rsid w:val="005667B6"/>
    <w:rsid w:val="00585CB6"/>
    <w:rsid w:val="0059255C"/>
    <w:rsid w:val="005936ED"/>
    <w:rsid w:val="00597592"/>
    <w:rsid w:val="005A4B08"/>
    <w:rsid w:val="005C73B9"/>
    <w:rsid w:val="005D7D2F"/>
    <w:rsid w:val="005E0AF9"/>
    <w:rsid w:val="005F0DB7"/>
    <w:rsid w:val="00604CF4"/>
    <w:rsid w:val="00604FC0"/>
    <w:rsid w:val="006203E8"/>
    <w:rsid w:val="00620713"/>
    <w:rsid w:val="006231EE"/>
    <w:rsid w:val="00624D37"/>
    <w:rsid w:val="0062719C"/>
    <w:rsid w:val="00661649"/>
    <w:rsid w:val="006722C0"/>
    <w:rsid w:val="00682BD7"/>
    <w:rsid w:val="006854FF"/>
    <w:rsid w:val="006937C5"/>
    <w:rsid w:val="006A50EF"/>
    <w:rsid w:val="006A754C"/>
    <w:rsid w:val="006C0986"/>
    <w:rsid w:val="006C150A"/>
    <w:rsid w:val="006C3C9E"/>
    <w:rsid w:val="006D26D8"/>
    <w:rsid w:val="006F32D0"/>
    <w:rsid w:val="006F6AC7"/>
    <w:rsid w:val="007131B9"/>
    <w:rsid w:val="0072661F"/>
    <w:rsid w:val="0074046F"/>
    <w:rsid w:val="00746BC9"/>
    <w:rsid w:val="007632CF"/>
    <w:rsid w:val="0077730F"/>
    <w:rsid w:val="00780627"/>
    <w:rsid w:val="007950C6"/>
    <w:rsid w:val="007C3335"/>
    <w:rsid w:val="007C5B68"/>
    <w:rsid w:val="007E27E6"/>
    <w:rsid w:val="007F246B"/>
    <w:rsid w:val="007F5AAE"/>
    <w:rsid w:val="007F5B24"/>
    <w:rsid w:val="00810375"/>
    <w:rsid w:val="00817581"/>
    <w:rsid w:val="00820978"/>
    <w:rsid w:val="00821AF4"/>
    <w:rsid w:val="00832CE5"/>
    <w:rsid w:val="00853FD9"/>
    <w:rsid w:val="00865A66"/>
    <w:rsid w:val="008A57E9"/>
    <w:rsid w:val="008B5D74"/>
    <w:rsid w:val="008B5EA8"/>
    <w:rsid w:val="008D0816"/>
    <w:rsid w:val="008D4405"/>
    <w:rsid w:val="008D6FEE"/>
    <w:rsid w:val="008D7763"/>
    <w:rsid w:val="008E12F7"/>
    <w:rsid w:val="008F07D9"/>
    <w:rsid w:val="008F264B"/>
    <w:rsid w:val="008F55D4"/>
    <w:rsid w:val="00910B06"/>
    <w:rsid w:val="00912C8D"/>
    <w:rsid w:val="009317E6"/>
    <w:rsid w:val="00932B39"/>
    <w:rsid w:val="0094517F"/>
    <w:rsid w:val="00950F9B"/>
    <w:rsid w:val="00964CF3"/>
    <w:rsid w:val="00980E1C"/>
    <w:rsid w:val="0098688E"/>
    <w:rsid w:val="009968F9"/>
    <w:rsid w:val="009A3958"/>
    <w:rsid w:val="009B7CB4"/>
    <w:rsid w:val="009C1442"/>
    <w:rsid w:val="009D3FBD"/>
    <w:rsid w:val="009F6D61"/>
    <w:rsid w:val="00A07057"/>
    <w:rsid w:val="00A5252F"/>
    <w:rsid w:val="00A5732D"/>
    <w:rsid w:val="00A70B32"/>
    <w:rsid w:val="00A72ACC"/>
    <w:rsid w:val="00A971FD"/>
    <w:rsid w:val="00AA75A3"/>
    <w:rsid w:val="00AC04EF"/>
    <w:rsid w:val="00AD3F81"/>
    <w:rsid w:val="00AD4BB6"/>
    <w:rsid w:val="00AE1ACA"/>
    <w:rsid w:val="00AF241B"/>
    <w:rsid w:val="00AF783D"/>
    <w:rsid w:val="00AF7EEE"/>
    <w:rsid w:val="00B064FB"/>
    <w:rsid w:val="00B35F09"/>
    <w:rsid w:val="00B5059C"/>
    <w:rsid w:val="00B51E45"/>
    <w:rsid w:val="00B5220A"/>
    <w:rsid w:val="00B80308"/>
    <w:rsid w:val="00B80A89"/>
    <w:rsid w:val="00B925E7"/>
    <w:rsid w:val="00BB3AF4"/>
    <w:rsid w:val="00BB7FF5"/>
    <w:rsid w:val="00BC3216"/>
    <w:rsid w:val="00C0785E"/>
    <w:rsid w:val="00C10629"/>
    <w:rsid w:val="00C200F7"/>
    <w:rsid w:val="00C25789"/>
    <w:rsid w:val="00C340A3"/>
    <w:rsid w:val="00C4438D"/>
    <w:rsid w:val="00C54DD4"/>
    <w:rsid w:val="00C61035"/>
    <w:rsid w:val="00C63CC2"/>
    <w:rsid w:val="00C7168F"/>
    <w:rsid w:val="00C84E1E"/>
    <w:rsid w:val="00C9597C"/>
    <w:rsid w:val="00CA1B5E"/>
    <w:rsid w:val="00CA6AC2"/>
    <w:rsid w:val="00CA7621"/>
    <w:rsid w:val="00CB4B34"/>
    <w:rsid w:val="00CD3697"/>
    <w:rsid w:val="00D04CBC"/>
    <w:rsid w:val="00D12FF6"/>
    <w:rsid w:val="00D14C91"/>
    <w:rsid w:val="00D20DC6"/>
    <w:rsid w:val="00D40393"/>
    <w:rsid w:val="00D425DC"/>
    <w:rsid w:val="00D45D24"/>
    <w:rsid w:val="00D57139"/>
    <w:rsid w:val="00D57B25"/>
    <w:rsid w:val="00D82B34"/>
    <w:rsid w:val="00D93365"/>
    <w:rsid w:val="00D9409D"/>
    <w:rsid w:val="00D961F7"/>
    <w:rsid w:val="00DA56CE"/>
    <w:rsid w:val="00DA5FEB"/>
    <w:rsid w:val="00DB0D0F"/>
    <w:rsid w:val="00DB6E0F"/>
    <w:rsid w:val="00DB7892"/>
    <w:rsid w:val="00DD114A"/>
    <w:rsid w:val="00DD7724"/>
    <w:rsid w:val="00DE7FE4"/>
    <w:rsid w:val="00DF7713"/>
    <w:rsid w:val="00E06DC9"/>
    <w:rsid w:val="00E10168"/>
    <w:rsid w:val="00E27476"/>
    <w:rsid w:val="00E32578"/>
    <w:rsid w:val="00E36595"/>
    <w:rsid w:val="00E40D4E"/>
    <w:rsid w:val="00E412D7"/>
    <w:rsid w:val="00E44EAC"/>
    <w:rsid w:val="00E53246"/>
    <w:rsid w:val="00E57245"/>
    <w:rsid w:val="00E67554"/>
    <w:rsid w:val="00E853D3"/>
    <w:rsid w:val="00EC356D"/>
    <w:rsid w:val="00ED1ED3"/>
    <w:rsid w:val="00EE37CD"/>
    <w:rsid w:val="00EF0E01"/>
    <w:rsid w:val="00EF5334"/>
    <w:rsid w:val="00F04D00"/>
    <w:rsid w:val="00F13398"/>
    <w:rsid w:val="00F423EC"/>
    <w:rsid w:val="00F45F1F"/>
    <w:rsid w:val="00F5399D"/>
    <w:rsid w:val="00F57C48"/>
    <w:rsid w:val="00F630A4"/>
    <w:rsid w:val="00F66B45"/>
    <w:rsid w:val="00F9179B"/>
    <w:rsid w:val="00F9553F"/>
    <w:rsid w:val="00FB4E9E"/>
    <w:rsid w:val="00FB56F0"/>
    <w:rsid w:val="00FF35B3"/>
    <w:rsid w:val="00FF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2683">
      <w:bodyDiv w:val="1"/>
      <w:marLeft w:val="0"/>
      <w:marRight w:val="0"/>
      <w:marTop w:val="0"/>
      <w:marBottom w:val="0"/>
      <w:divBdr>
        <w:top w:val="none" w:sz="0" w:space="0" w:color="auto"/>
        <w:left w:val="none" w:sz="0" w:space="0" w:color="auto"/>
        <w:bottom w:val="none" w:sz="0" w:space="0" w:color="auto"/>
        <w:right w:val="none" w:sz="0" w:space="0" w:color="auto"/>
      </w:divBdr>
    </w:div>
    <w:div w:id="259870850">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9983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om.gov.au/oceanography/projects/spslcmp/tidecalendars.s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cosppac_comp_unit@bom.gov.a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om.gov.au/nwp/doc/auswave/data.shtml" TargetMode="Externa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om.gov.au/australia/charts/bulletins/apob92.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F18D-FB51-4010-A550-7BD448A1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21</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16</cp:revision>
  <dcterms:created xsi:type="dcterms:W3CDTF">2015-01-27T04:36:00Z</dcterms:created>
  <dcterms:modified xsi:type="dcterms:W3CDTF">2016-02-12T00:52:00Z</dcterms:modified>
</cp:coreProperties>
</file>