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66534"/>
          <w:sz w:val="44"/>
        </w:rPr>
        <w:t>WattWise AI — Project Evaluation &amp; Technical Report</w:t>
      </w:r>
    </w:p>
    <w:p>
      <w:pPr>
        <w:spacing w:after="320"/>
      </w:pPr>
      <w:r>
        <w:rPr>
          <w:b/>
          <w:color w:val="0F766E"/>
          <w:sz w:val="26"/>
        </w:rPr>
        <w:t>Smart Energy Consumption Optimizer for InnoTech Hackathon</w:t>
      </w:r>
    </w:p>
    <w:p>
      <w:pPr>
        <w:spacing w:before="280" w:after="120"/>
      </w:pPr>
      <w:r>
        <w:rPr>
          <w:b/>
          <w:color w:val="166534"/>
          <w:sz w:val="28"/>
        </w:rP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Project Name</w:t>
            </w:r>
          </w:p>
        </w:tc>
        <w:tc>
          <w:tcPr>
            <w:tcW w:type="dxa" w:w="69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WattWise AI — Smart Energy Consumption Optimizer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Hackathon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InnoTech Hackathon</w:t>
            </w:r>
          </w:p>
        </w:tc>
      </w:tr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Category</w:t>
            </w:r>
          </w:p>
        </w:tc>
        <w:tc>
          <w:tcPr>
            <w:tcW w:type="dxa" w:w="69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Smart Solution &amp; Smart Society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Domain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Renewable Energy &amp; Sustainable Engineering</w:t>
            </w:r>
          </w:p>
        </w:tc>
      </w:tr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Core Objective</w:t>
            </w:r>
          </w:p>
        </w:tc>
        <w:tc>
          <w:tcPr>
            <w:tcW w:type="dxa" w:w="69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Software-based energy management platform helping households, campuses, and businesses track electricity, detect wastage anomalies, forecast usage via ML, reduce bills, and plan solar PV sizing.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</w:rPr>
              <w:t>System Status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Fully operational — React 18 / Tailwind CSS frontend coupled with Python / Flask / Scikit-learn backend.</w:t>
            </w:r>
          </w:p>
        </w:tc>
      </w:tr>
    </w:tbl>
    <w:p>
      <w:pPr>
        <w:spacing w:before="280" w:after="120"/>
      </w:pPr>
      <w:r>
        <w:rPr>
          <w:b/>
          <w:color w:val="166534"/>
          <w:sz w:val="28"/>
        </w:rPr>
        <w:t>2. System Architecture &amp; Technology Stack</w:t>
      </w:r>
    </w:p>
    <w:p>
      <w:pPr>
        <w:spacing w:after="160"/>
      </w:pPr>
      <w:r>
        <w:t>WattWise AI utilizes a decoupled architecture with a modern reactive single-page frontend and a high-performance Flask analytical backend communicating via asynchronous REST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6653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264"/>
            <w:shd w:fill="16653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264"/>
            <w:shd w:fill="16653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Role &amp; Engineering Responsibility</w:t>
            </w:r>
          </w:p>
        </w:tc>
      </w:tr>
      <w:tr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Frontend Framework</w:t>
            </w:r>
          </w:p>
        </w:tc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React 18.3 + Vite 5.4</w:t>
            </w:r>
          </w:p>
        </w:tc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Single-page responsive application with component isolation and rapid hot-module replacement.</w:t>
            </w:r>
          </w:p>
        </w:tc>
      </w:tr>
      <w:tr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Styling System</w:t>
            </w:r>
          </w:p>
        </w:tc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Tailwind CSS v4</w:t>
            </w:r>
          </w:p>
        </w:tc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Curated sustainability design system using deep green (#166534) and soft slate neutrals (#f7f8f6).</w:t>
            </w:r>
          </w:p>
        </w:tc>
      </w:tr>
      <w:tr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Data Visualization</w:t>
            </w:r>
          </w:p>
        </w:tc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Recharts 2.12</w:t>
            </w:r>
          </w:p>
        </w:tc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Interactive bar, line, and composed time-series charts for daily, weekly, and forecast curves.</w:t>
            </w:r>
          </w:p>
        </w:tc>
      </w:tr>
      <w:tr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Iconography</w:t>
            </w:r>
          </w:p>
        </w:tc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Lucide React</w:t>
            </w:r>
          </w:p>
        </w:tc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Lightweight, accessible icon set (Zap, Leaf, IndianRupee, Sun, etc.).</w:t>
            </w:r>
          </w:p>
        </w:tc>
      </w:tr>
      <w:tr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Backend Framework</w:t>
            </w:r>
          </w:p>
        </w:tc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Python 3.11 + Flask 3.0</w:t>
            </w:r>
          </w:p>
        </w:tc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RESTful API handling CORS, file streaming, validation, calculations, and data endpoints.</w:t>
            </w:r>
          </w:p>
        </w:tc>
      </w:tr>
      <w:tr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Data Manipulation</w:t>
            </w:r>
          </w:p>
        </w:tc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Pandas 2.2 + NumPy 1.26</w:t>
            </w:r>
          </w:p>
        </w:tc>
        <w:tc>
          <w:tcPr>
            <w:tcW w:type="dxa" w:w="32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Time-series daily resampling, rolling-window calculations, and standard deviation anomaly math.</w:t>
            </w:r>
          </w:p>
        </w:tc>
      </w:tr>
      <w:tr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Machine Learning</w:t>
            </w:r>
          </w:p>
        </w:tc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</w:rPr>
              <w:t>Scikit-learn 1.4</w:t>
            </w:r>
          </w:p>
        </w:tc>
        <w:tc>
          <w:tcPr>
            <w:tcW w:type="dxa" w:w="32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t>Time-series feature engineering, chronological train/test split, and Ridge regression model.</w:t>
            </w:r>
          </w:p>
        </w:tc>
      </w:tr>
    </w:tbl>
    <w:p>
      <w:pPr>
        <w:spacing w:before="280" w:after="120"/>
      </w:pPr>
      <w:r>
        <w:rPr>
          <w:b/>
          <w:color w:val="166534"/>
          <w:sz w:val="28"/>
        </w:rPr>
        <w:t>3. Core Functional Modules</w:t>
      </w:r>
    </w:p>
    <w:p>
      <w:pPr>
        <w:spacing w:before="200" w:after="80"/>
      </w:pPr>
      <w:r>
        <w:rPr>
          <w:b/>
          <w:color w:val="0F766E"/>
          <w:sz w:val="24"/>
        </w:rPr>
        <w:t>A. Dashboard Overview</w:t>
      </w:r>
    </w:p>
    <w:p>
      <w:pPr>
        <w:pStyle w:val="ListBullet"/>
        <w:spacing w:before="20" w:after="40"/>
      </w:pPr>
      <w:r>
        <w:rPr>
          <w:b/>
        </w:rPr>
        <w:t>Real-time KPI Cards:</w:t>
      </w:r>
      <w:r>
        <w:t xml:space="preserve"> Total consumption (kWh), Estimated bill (₹), Carbon footprint (kg CO2e), and Savings vs baseline.</w:t>
      </w:r>
    </w:p>
    <w:p>
      <w:pPr>
        <w:pStyle w:val="ListBullet"/>
        <w:spacing w:before="20" w:after="40"/>
      </w:pPr>
      <w:r>
        <w:rPr>
          <w:b/>
        </w:rPr>
        <w:t>Visual Consumption Trends:</w:t>
      </w:r>
      <w:r>
        <w:t xml:space="preserve"> Switchable daily (last 30 days), weekly, and monthly bar charts rendered via Recharts.</w:t>
      </w:r>
    </w:p>
    <w:p>
      <w:pPr>
        <w:pStyle w:val="ListBullet"/>
        <w:spacing w:before="20" w:after="40"/>
      </w:pPr>
      <w:r>
        <w:rPr>
          <w:b/>
        </w:rPr>
        <w:t>Energy Efficiency Score (0–100):</w:t>
      </w:r>
      <w:r>
        <w:t xml:space="preserve"> Calculated based on coefficient of variation (CV), week-over-week trends, and anomaly penalties.</w:t>
      </w:r>
    </w:p>
    <w:p>
      <w:pPr>
        <w:pStyle w:val="ListBullet"/>
        <w:spacing w:before="20" w:after="40"/>
      </w:pPr>
      <w:r>
        <w:rPr>
          <w:b/>
        </w:rPr>
        <w:t>Top Categories:</w:t>
      </w:r>
      <w:r>
        <w:t xml:space="preserve"> Proportional breakdown for Cooling, Lighting, Office Equipment, and Appliances.</w:t>
      </w:r>
    </w:p>
    <w:p>
      <w:pPr>
        <w:pStyle w:val="ListBullet"/>
        <w:spacing w:before="20" w:after="40"/>
      </w:pPr>
      <w:r>
        <w:rPr>
          <w:b/>
        </w:rPr>
        <w:t>Solar Feasibility Hint:</w:t>
      </w:r>
      <w:r>
        <w:t xml:space="preserve"> Instant solar system capacity suggestion based on average daily consumption load.</w:t>
      </w:r>
    </w:p>
    <w:p>
      <w:pPr>
        <w:spacing w:before="200" w:after="80"/>
      </w:pPr>
      <w:r>
        <w:rPr>
          <w:b/>
          <w:color w:val="0F766E"/>
          <w:sz w:val="24"/>
        </w:rPr>
        <w:t>B. Energy Data Entry &amp; Management</w:t>
      </w:r>
    </w:p>
    <w:p>
      <w:pPr>
        <w:pStyle w:val="ListBullet"/>
        <w:spacing w:before="20" w:after="40"/>
      </w:pPr>
      <w:r>
        <w:rPr>
          <w:b/>
        </w:rPr>
        <w:t>Manual Record Creation:</w:t>
      </w:r>
      <w:r>
        <w:t xml:space="preserve"> Date, consumption (kWh), category, tariff (₹/kWh), and operational notes.</w:t>
      </w:r>
    </w:p>
    <w:p>
      <w:pPr>
        <w:pStyle w:val="ListBullet"/>
        <w:spacing w:before="20" w:after="40"/>
      </w:pPr>
      <w:r>
        <w:rPr>
          <w:b/>
        </w:rPr>
        <w:t>Inline Edit &amp; Delete:</w:t>
      </w:r>
      <w:r>
        <w:t xml:space="preserve"> Edit existing records or remove outliers with immediate state persistence in data.json.</w:t>
      </w:r>
    </w:p>
    <w:p>
      <w:pPr>
        <w:pStyle w:val="ListBullet"/>
        <w:spacing w:before="20" w:after="40"/>
      </w:pPr>
      <w:r>
        <w:rPr>
          <w:b/>
        </w:rPr>
        <w:t>CSV Upload Engine:</w:t>
      </w:r>
      <w:r>
        <w:t xml:space="preserve"> Ingestion with date format normalization, missing value handling, and skip warnings.</w:t>
      </w:r>
    </w:p>
    <w:p>
      <w:pPr>
        <w:pStyle w:val="ListBullet"/>
        <w:spacing w:before="20" w:after="40"/>
      </w:pPr>
      <w:r>
        <w:rPr>
          <w:b/>
        </w:rPr>
        <w:t>CSV Template Download:</w:t>
      </w:r>
      <w:r>
        <w:t xml:space="preserve"> Generates a sample CSV template for instant user onboarding.</w:t>
      </w:r>
    </w:p>
    <w:p>
      <w:pPr>
        <w:pStyle w:val="ListBullet"/>
        <w:spacing w:before="20" w:after="40"/>
      </w:pPr>
      <w:r>
        <w:rPr>
          <w:b/>
        </w:rPr>
        <w:t>Demo Mode Controls:</w:t>
      </w:r>
      <w:r>
        <w:t xml:space="preserve"> Dedicated buttons to reset 45 realistic demo records or clear demo data for user testing.</w:t>
      </w:r>
    </w:p>
    <w:p>
      <w:pPr>
        <w:spacing w:before="200" w:after="80"/>
      </w:pPr>
      <w:r>
        <w:rPr>
          <w:b/>
          <w:color w:val="0F766E"/>
          <w:sz w:val="24"/>
        </w:rPr>
        <w:t>C. AI Energy Insights &amp; Explainability</w:t>
      </w:r>
    </w:p>
    <w:p>
      <w:pPr>
        <w:pStyle w:val="ListBullet"/>
        <w:spacing w:before="20" w:after="40"/>
      </w:pPr>
      <w:r>
        <w:rPr>
          <w:b/>
        </w:rPr>
        <w:t>High-Consumption Days:</w:t>
      </w:r>
      <w:r>
        <w:t xml:space="preserve"> Identifies days exceeding mean + 1.5 standard deviations (μ + 1.5σ).</w:t>
      </w:r>
    </w:p>
    <w:p>
      <w:pPr>
        <w:pStyle w:val="ListBullet"/>
        <w:spacing w:before="20" w:after="40"/>
      </w:pPr>
      <w:r>
        <w:rPr>
          <w:b/>
        </w:rPr>
        <w:t>Weekday vs. Weekend Load Ratio:</w:t>
      </w:r>
      <w:r>
        <w:t xml:space="preserve"> Calculates idle baseload ratios to detect phantom weekend energy leaks.</w:t>
      </w:r>
    </w:p>
    <w:p>
      <w:pPr>
        <w:pStyle w:val="ListBullet"/>
        <w:spacing w:before="20" w:after="40"/>
      </w:pPr>
      <w:r>
        <w:rPr>
          <w:b/>
        </w:rPr>
        <w:t>Unusual Spikes:</w:t>
      </w:r>
      <w:r>
        <w:t xml:space="preserve"> Alerts when daily consumption surges &gt; 30% above the trailing 7-day average.</w:t>
      </w:r>
    </w:p>
    <w:p>
      <w:pPr>
        <w:pStyle w:val="ListBullet"/>
        <w:spacing w:before="20" w:after="40"/>
      </w:pPr>
      <w:r>
        <w:rPr>
          <w:b/>
        </w:rPr>
        <w:t>Actionable Recommendations:</w:t>
      </w:r>
      <w:r>
        <w:t xml:space="preserve"> Rule-based advice with transparent rationale, kWh savings, and monthly ₹ savings.</w:t>
      </w:r>
    </w:p>
    <w:p>
      <w:pPr>
        <w:spacing w:before="200" w:after="80"/>
      </w:pPr>
      <w:r>
        <w:rPr>
          <w:b/>
          <w:color w:val="0F766E"/>
          <w:sz w:val="24"/>
        </w:rPr>
        <w:t>D. Machine Learning Forecasting</w:t>
      </w:r>
    </w:p>
    <w:p>
      <w:pPr>
        <w:pStyle w:val="ListBullet"/>
        <w:spacing w:before="20" w:after="40"/>
      </w:pPr>
      <w:r>
        <w:rPr>
          <w:b/>
        </w:rPr>
        <w:t>Dual-Model Strategy:</w:t>
      </w:r>
      <w:r>
        <w:t xml:space="preserve"> 7-day moving baseline (used when &lt; 21 days) vs. Supervised Ridge Regression.</w:t>
      </w:r>
    </w:p>
    <w:p>
      <w:pPr>
        <w:pStyle w:val="ListBullet"/>
        <w:spacing w:before="20" w:after="40"/>
      </w:pPr>
      <w:r>
        <w:rPr>
          <w:b/>
        </w:rPr>
        <w:t>Chronological Hold-Out:</w:t>
      </w:r>
      <w:r>
        <w:t xml:space="preserve"> Zero future data leakage by reserving the final 20% of data for validation.</w:t>
      </w:r>
    </w:p>
    <w:p>
      <w:pPr>
        <w:pStyle w:val="ListBullet"/>
        <w:spacing w:before="20" w:after="40"/>
      </w:pPr>
      <w:r>
        <w:rPr>
          <w:b/>
        </w:rPr>
        <w:t>Evaluation Metrics:</w:t>
      </w:r>
      <w:r>
        <w:t xml:space="preserve"> Reports test set MAE (Model vs. Baseline). Reverts to baseline if ML fails to outperform it.</w:t>
      </w:r>
    </w:p>
    <w:p>
      <w:pPr>
        <w:pStyle w:val="ListBullet"/>
        <w:spacing w:before="20" w:after="40"/>
      </w:pPr>
      <w:r>
        <w:rPr>
          <w:b/>
        </w:rPr>
        <w:t>Statistical Uncertainty:</w:t>
      </w:r>
      <w:r>
        <w:t xml:space="preserve"> Clearly marks forecasts as probabilistic estimates with confidence disclaimers.</w:t>
      </w:r>
    </w:p>
    <w:p>
      <w:pPr>
        <w:spacing w:before="200" w:after="80"/>
      </w:pPr>
      <w:r>
        <w:rPr>
          <w:b/>
          <w:color w:val="0F766E"/>
          <w:sz w:val="24"/>
        </w:rPr>
        <w:t>E. Cost &amp; Carbon Calculator</w:t>
      </w:r>
    </w:p>
    <w:p>
      <w:pPr>
        <w:pStyle w:val="ListBullet"/>
        <w:spacing w:before="20" w:after="40"/>
      </w:pPr>
      <w:r>
        <w:rPr>
          <w:b/>
        </w:rPr>
        <w:t>Tariff &amp; Factor Customization:</w:t>
      </w:r>
      <w:r>
        <w:t xml:space="preserve"> Configurable electricity rate (₹/kWh) and regional emissions factor (kg CO2e/kWh).</w:t>
      </w:r>
    </w:p>
    <w:p>
      <w:pPr>
        <w:pStyle w:val="ListBullet"/>
        <w:spacing w:before="20" w:after="40"/>
      </w:pPr>
      <w:r>
        <w:rPr>
          <w:b/>
        </w:rPr>
        <w:t>Factor Source Attribution:</w:t>
      </w:r>
      <w:r>
        <w:t xml:space="preserve"> User-specifiable citation (e.g. Central Electricity Authority baseline).</w:t>
      </w:r>
    </w:p>
    <w:p>
      <w:pPr>
        <w:pStyle w:val="ListBullet"/>
        <w:spacing w:before="20" w:after="40"/>
      </w:pPr>
      <w:r>
        <w:rPr>
          <w:b/>
        </w:rPr>
        <w:t>What-If Savings Simulator:</w:t>
      </w:r>
      <w:r>
        <w:t xml:space="preserve"> Interactive calculator computing ₹ bill savings and kg CO2e reductions across 5%–50% reduction scenarios.</w:t>
      </w:r>
    </w:p>
    <w:p>
      <w:pPr>
        <w:spacing w:before="200" w:after="80"/>
      </w:pPr>
      <w:r>
        <w:rPr>
          <w:b/>
          <w:color w:val="0F766E"/>
          <w:sz w:val="24"/>
        </w:rPr>
        <w:t>F. Renewable Energy Planner (Solar PV)</w:t>
      </w:r>
    </w:p>
    <w:p>
      <w:pPr>
        <w:pStyle w:val="ListBullet"/>
        <w:spacing w:before="20" w:after="40"/>
      </w:pPr>
      <w:r>
        <w:rPr>
          <w:b/>
        </w:rPr>
        <w:t>Physical Sizing Engine:</w:t>
      </w:r>
      <w:r>
        <w:t xml:space="preserve"> Calculates required capacity based on roof area (m²) and daily kWh consumption.</w:t>
      </w:r>
    </w:p>
    <w:p>
      <w:pPr>
        <w:pStyle w:val="ListBullet"/>
        <w:spacing w:before="20" w:after="40"/>
      </w:pPr>
      <w:r>
        <w:rPr>
          <w:b/>
        </w:rPr>
        <w:t>Engineering Loss Model:</w:t>
      </w:r>
      <w:r>
        <w:t xml:space="preserve"> Incorporates 75% performance factor (accounting for temperature, dust, and inverter losses).</w:t>
      </w:r>
    </w:p>
    <w:p>
      <w:pPr>
        <w:pStyle w:val="ListBullet"/>
        <w:spacing w:before="20" w:after="40"/>
      </w:pPr>
      <w:r>
        <w:rPr>
          <w:b/>
        </w:rPr>
        <w:t>Payback &amp; Offsets:</w:t>
      </w:r>
      <w:r>
        <w:t xml:space="preserve"> Computes annual generation, monthly savings (₹), annual avoided CO2 (kg), and roof limit warnings.</w:t>
      </w:r>
    </w:p>
    <w:p>
      <w:pPr>
        <w:spacing w:before="200" w:after="80"/>
      </w:pPr>
      <w:r>
        <w:rPr>
          <w:b/>
          <w:color w:val="0F766E"/>
          <w:sz w:val="24"/>
        </w:rPr>
        <w:t>G. Reports &amp; Data Export</w:t>
      </w:r>
    </w:p>
    <w:p>
      <w:pPr>
        <w:pStyle w:val="ListBullet"/>
        <w:spacing w:before="20" w:after="40"/>
      </w:pPr>
      <w:r>
        <w:rPr>
          <w:b/>
        </w:rPr>
        <w:t>Multi-Period Tabular Summaries:</w:t>
      </w:r>
      <w:r>
        <w:t xml:space="preserve"> Aggregated daily, weekly, and monthly operational reports.</w:t>
      </w:r>
    </w:p>
    <w:p>
      <w:pPr>
        <w:pStyle w:val="ListBullet"/>
        <w:spacing w:before="20" w:after="40"/>
      </w:pPr>
      <w:r>
        <w:rPr>
          <w:b/>
        </w:rPr>
        <w:t>CSV Export Buttons:</w:t>
      </w:r>
      <w:r>
        <w:t xml:space="preserve"> One-click export for itemized raw records and summarized periodic reports.</w:t>
      </w:r>
    </w:p>
    <w:p>
      <w:pPr>
        <w:spacing w:before="280" w:after="120"/>
      </w:pPr>
      <w:r>
        <w:rPr>
          <w:b/>
          <w:color w:val="166534"/>
          <w:sz w:val="28"/>
        </w:rPr>
        <w:t>4. Mathematical Formulas &amp; Engineering Equations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66534"/>
          </w:tcPr>
          <w:p>
            <w:r>
              <w:rPr>
                <w:b/>
                <w:color w:val="FFFFFF"/>
              </w:rPr>
              <w:t>Metric / Equation</w:t>
            </w:r>
          </w:p>
        </w:tc>
        <w:tc>
          <w:tcPr>
            <w:tcW w:type="dxa" w:w="4896"/>
            <w:shd w:fill="166534"/>
          </w:tcPr>
          <w:p>
            <w:r>
              <w:rPr>
                <w:b/>
                <w:color w:val="FFFFFF"/>
              </w:rPr>
              <w:t>Mathematical Definition</w:t>
            </w:r>
          </w:p>
        </w:tc>
      </w:tr>
      <w:tr>
        <w:tc>
          <w:tcPr>
            <w:tcW w:type="dxa" w:w="489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>Electricity Cost (₹)</w:t>
            </w:r>
          </w:p>
        </w:tc>
        <w:tc>
          <w:tcPr>
            <w:tcW w:type="dxa" w:w="489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Cost = Sum(Consumption_i * Tariff_i)</w:t>
            </w:r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>Carbon Footprint (kg CO2e)</w:t>
            </w:r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Emissions = Total_kWh * Emission_Factor (Default: 0.82 kg CO2e/kWh)</w:t>
            </w:r>
          </w:p>
        </w:tc>
      </w:tr>
      <w:tr>
        <w:tc>
          <w:tcPr>
            <w:tcW w:type="dxa" w:w="489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>Baseline Savings (kWh)</w:t>
            </w:r>
          </w:p>
        </w:tc>
        <w:tc>
          <w:tcPr>
            <w:tcW w:type="dxa" w:w="489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Saved_kWh = (Baseline_Daily_Avg * Total_Days) - Total_kWh</w:t>
            </w:r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>Anomaly Spike Threshold</w:t>
            </w:r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Spike_Condition = Daily_kWh &gt; 1.30 * Rolling_7_Day_Mean</w:t>
            </w:r>
          </w:p>
        </w:tc>
      </w:tr>
      <w:tr>
        <w:tc>
          <w:tcPr>
            <w:tcW w:type="dxa" w:w="489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>Efficiency Score (0–100)</w:t>
            </w:r>
          </w:p>
        </w:tc>
        <w:tc>
          <w:tcPr>
            <w:tcW w:type="dxa" w:w="489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Score = 100 - (30 * min(CV/0.4, 1)) - (40 * min(max(WoW_Change, 0)/30, 1)) - (5 * min(Anomalies, 6))</w:t>
            </w:r>
          </w:p>
        </w:tc>
      </w:tr>
      <w:tr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>Solar Capacity Sizing (kW)</w:t>
            </w:r>
          </w:p>
        </w:tc>
        <w:tc>
          <w:tcPr>
            <w:tcW w:type="dxa" w:w="48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Capacity = min(Rooftop_Area / 6.0 m2/kW, Daily_kWh / (Peak_Sun_Hours * Performance_Factor))</w:t>
            </w:r>
          </w:p>
        </w:tc>
      </w:tr>
      <w:tr>
        <w:tc>
          <w:tcPr>
            <w:tcW w:type="dxa" w:w="489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</w:rPr>
              <w:t>Solar Daily Output (kWh)</w:t>
            </w:r>
          </w:p>
        </w:tc>
        <w:tc>
          <w:tcPr>
            <w:tcW w:type="dxa" w:w="4896"/>
            <w:shd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Daily_Generation = System_Capacity_kW * Sun_Hours * Performance_Ratio (0.75)</w:t>
            </w:r>
          </w:p>
        </w:tc>
      </w:tr>
    </w:tbl>
    <w:p>
      <w:pPr>
        <w:spacing w:before="280" w:after="120"/>
      </w:pPr>
      <w:r>
        <w:rPr>
          <w:b/>
          <w:color w:val="166534"/>
          <w:sz w:val="28"/>
        </w:rPr>
        <w:t>5. Quality Assurance &amp; Verification Results</w:t>
      </w:r>
    </w:p>
    <w:p>
      <w:pPr>
        <w:spacing w:after="80"/>
      </w:pPr>
      <w:r>
        <w:t>All analytical and API features were subjected to automated unit testing and production build verification:</w:t>
      </w:r>
    </w:p>
    <w:p>
      <w:pPr>
        <w:pStyle w:val="ListBullet"/>
        <w:spacing w:before="20" w:after="40"/>
      </w:pPr>
      <w:r>
        <w:t>Backend Unit Tests (pytest test_wattwise.py): 8 out of 8 tests passed (100% pass rate).</w:t>
      </w:r>
    </w:p>
    <w:p>
      <w:pPr>
        <w:pStyle w:val="ListBullet"/>
        <w:spacing w:before="20" w:after="40"/>
      </w:pPr>
      <w:r>
        <w:t>Test Coverage: Tests validate percentage changes, data validation, solar physical math, scenario savings, CRUD operations, CSV ingestion, and ML forecasting fallbacks.</w:t>
      </w:r>
    </w:p>
    <w:p>
      <w:pPr>
        <w:pStyle w:val="ListBullet"/>
        <w:spacing w:before="20" w:after="40"/>
      </w:pPr>
      <w:r>
        <w:t>Frontend Production Compilation (vite build): Successfully compiled 2,382 modules in 21.37s with zero runtime or syntax errors.</w:t>
      </w:r>
    </w:p>
    <w:p>
      <w:pPr>
        <w:pStyle w:val="ListBullet"/>
        <w:spacing w:before="20" w:after="40"/>
      </w:pPr>
      <w:r>
        <w:t>CORS Validation: Configured to support local development ports (http://localhost:5173, http://127.0.0.1:5173) with strict origin whitelisting.</w:t>
      </w:r>
    </w:p>
    <w:p>
      <w:pPr>
        <w:spacing w:before="280" w:after="120"/>
      </w:pPr>
      <w:r>
        <w:rPr>
          <w:b/>
          <w:color w:val="166534"/>
          <w:sz w:val="28"/>
        </w:rPr>
        <w:t>6. InnoTech Hackathon Presentation Walkthrough</w:t>
      </w:r>
    </w:p>
    <w:p>
      <w:pPr>
        <w:spacing w:before="40" w:after="40"/>
      </w:pPr>
      <w:r>
        <w:rPr>
          <w:b/>
          <w:color w:val="166534"/>
        </w:rPr>
        <w:t xml:space="preserve">• Step 1: Introduction: </w:t>
      </w:r>
      <w:r>
        <w:t>Present the problem statement — unmonitored power wastage in commercial and campus environments — and introduce WattWise AI as the real-time optimizer.</w:t>
      </w:r>
    </w:p>
    <w:p>
      <w:pPr>
        <w:spacing w:before="40" w:after="40"/>
      </w:pPr>
      <w:r>
        <w:rPr>
          <w:b/>
          <w:color w:val="166534"/>
        </w:rPr>
        <w:t xml:space="preserve">• Step 2: Live Dashboard: </w:t>
      </w:r>
      <w:r>
        <w:t>Walk the judges through the real-time calculated KPI cards, 0–100 Energy Efficiency Score, and daily/weekly/monthly Recharts views.</w:t>
      </w:r>
    </w:p>
    <w:p>
      <w:pPr>
        <w:spacing w:before="40" w:after="40"/>
      </w:pPr>
      <w:r>
        <w:rPr>
          <w:b/>
          <w:color w:val="166534"/>
        </w:rPr>
        <w:t xml:space="preserve">• Step 3: Data Ingestion &amp; Demo Mode: </w:t>
      </w:r>
      <w:r>
        <w:t>Show manual record addition, one-click demo data reset, and test upload using sample_consumption.csv.</w:t>
      </w:r>
    </w:p>
    <w:p>
      <w:pPr>
        <w:spacing w:before="40" w:after="40"/>
      </w:pPr>
      <w:r>
        <w:rPr>
          <w:b/>
          <w:color w:val="166534"/>
        </w:rPr>
        <w:t xml:space="preserve">• Step 4: AI &amp; ML Engine: </w:t>
      </w:r>
      <w:r>
        <w:t>Demonstrate transparent recommendations (with explicit kWh and ₹ savings) and run the ML forecast showing MAE model vs. baseline accuracy comparison.</w:t>
      </w:r>
    </w:p>
    <w:p>
      <w:pPr>
        <w:spacing w:before="40" w:after="40"/>
      </w:pPr>
      <w:r>
        <w:rPr>
          <w:b/>
          <w:color w:val="166534"/>
        </w:rPr>
        <w:t xml:space="preserve">• Step 5: Renewable Solar Planner: </w:t>
      </w:r>
      <w:r>
        <w:t>Enter campus rooftop dimensions to showcase instant solar system sizing, annual bill savings, and carbon offset calculations.</w:t>
      </w:r>
    </w:p>
    <w:p>
      <w:pPr>
        <w:spacing w:before="40" w:after="40"/>
      </w:pPr>
      <w:r>
        <w:rPr>
          <w:b/>
          <w:color w:val="166534"/>
        </w:rPr>
        <w:t xml:space="preserve">• Step 6: Data Export: </w:t>
      </w:r>
      <w:r>
        <w:t>Demonstrate CSV export functionality for reporting and enterprise integration.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