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sz w:val="72"/>
          <w:szCs w:val="72"/>
          <w:rtl w:val="0"/>
        </w:rPr>
        <w:t xml:space="preserve">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4c6ef5"/>
          <w:sz w:val="56"/>
          <w:szCs w:val="56"/>
          <w:rtl w:val="0"/>
        </w:rPr>
        <w:t xml:space="preserve">Sales Data Analysis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jc w:val="center"/>
        <w:rPr/>
      </w:pPr>
      <w:r w:rsidDel="00000000" w:rsidR="00000000" w:rsidRPr="00000000">
        <w:rPr>
          <w:color w:val="868e96"/>
          <w:sz w:val="28"/>
          <w:szCs w:val="28"/>
          <w:rtl w:val="0"/>
        </w:rPr>
        <w:t xml:space="preserve">Interactive Sales Dashboard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Analysis period: January 1 – April 9,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0" w:lineRule="auto"/>
        <w:jc w:val="center"/>
        <w:rPr/>
      </w:pPr>
      <w:r w:rsidDel="00000000" w:rsidR="00000000" w:rsidRPr="00000000">
        <w:rPr>
          <w:i w:val="1"/>
          <w:iCs w:val="1"/>
          <w:color w:val="868e96"/>
          <w:sz w:val="22"/>
          <w:szCs w:val="22"/>
          <w:rtl w:val="0"/>
        </w:rPr>
        <w:t xml:space="preserve">Prepared July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</w:r>
    </w:p>
    <w:sdt>
      <w:sdtPr>
        <w:id w:val="-148472918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after="100" w:lineRule="auto"/>
            <w:rPr>
              <w:sz w:val="26"/>
              <w:szCs w:val="26"/>
            </w:rPr>
          </w:pPr>
          <w:r w:rsidDel="00000000" w:rsidR="00000000" w:rsidRPr="00000000">
            <w:rPr>
              <w:sz w:val="26"/>
              <w:szCs w:val="26"/>
              <w:rtl w:val="0"/>
            </w:rPr>
            <w:t xml:space="preserve">Table of Contents.............................................................................................................. 2</w:t>
          </w:r>
        </w:p>
        <w:p w:rsidR="00000000" w:rsidDel="00000000" w:rsidP="00000000" w:rsidRDefault="00000000" w:rsidRPr="00000000" w14:paraId="0000000C">
          <w:pPr>
            <w:spacing w:after="100" w:lineRule="auto"/>
            <w:rPr>
              <w:sz w:val="26"/>
              <w:szCs w:val="26"/>
            </w:rPr>
          </w:pPr>
          <w:r w:rsidDel="00000000" w:rsidR="00000000" w:rsidRPr="00000000">
            <w:rPr>
              <w:sz w:val="26"/>
              <w:szCs w:val="26"/>
              <w:rtl w:val="0"/>
            </w:rPr>
            <w:t xml:space="preserve">1. Overview...................................................................................................................... 3</w:t>
          </w:r>
        </w:p>
        <w:p w:rsidR="00000000" w:rsidDel="00000000" w:rsidP="00000000" w:rsidRDefault="00000000" w:rsidRPr="00000000" w14:paraId="0000000D">
          <w:pPr>
            <w:spacing w:after="100" w:lineRule="auto"/>
            <w:rPr>
              <w:sz w:val="26"/>
              <w:szCs w:val="26"/>
            </w:rPr>
          </w:pPr>
          <w:r w:rsidDel="00000000" w:rsidR="00000000" w:rsidRPr="00000000">
            <w:rPr>
              <w:sz w:val="26"/>
              <w:szCs w:val="26"/>
              <w:rtl w:val="0"/>
            </w:rPr>
            <w:t xml:space="preserve">2. Methodology................................................................................................................ 3</w:t>
          </w:r>
        </w:p>
        <w:p w:rsidR="00000000" w:rsidDel="00000000" w:rsidP="00000000" w:rsidRDefault="00000000" w:rsidRPr="00000000" w14:paraId="0000000E">
          <w:pPr>
            <w:spacing w:after="100" w:lineRule="auto"/>
            <w:rPr>
              <w:sz w:val="26"/>
              <w:szCs w:val="26"/>
            </w:rPr>
          </w:pPr>
          <w:r w:rsidDel="00000000" w:rsidR="00000000" w:rsidRPr="00000000">
            <w:rPr>
              <w:sz w:val="26"/>
              <w:szCs w:val="26"/>
              <w:rtl w:val="0"/>
            </w:rPr>
            <w:t xml:space="preserve">3. Key Findings.................................................................................................................. 3</w:t>
          </w:r>
        </w:p>
        <w:p w:rsidR="00000000" w:rsidDel="00000000" w:rsidP="00000000" w:rsidRDefault="00000000" w:rsidRPr="00000000" w14:paraId="0000000F">
          <w:pPr>
            <w:spacing w:after="100" w:lineRule="auto"/>
            <w:ind w:left="220" w:firstLine="0"/>
            <w:rPr>
              <w:sz w:val="26"/>
              <w:szCs w:val="26"/>
            </w:rPr>
          </w:pPr>
          <w:r w:rsidDel="00000000" w:rsidR="00000000" w:rsidRPr="00000000">
            <w:rPr>
              <w:sz w:val="26"/>
              <w:szCs w:val="26"/>
              <w:rtl w:val="0"/>
            </w:rPr>
            <w:t xml:space="preserve">3.1 Sales Trend.............................................................................................................. 3</w:t>
          </w:r>
        </w:p>
        <w:p w:rsidR="00000000" w:rsidDel="00000000" w:rsidP="00000000" w:rsidRDefault="00000000" w:rsidRPr="00000000" w14:paraId="00000010">
          <w:pPr>
            <w:spacing w:after="100" w:lineRule="auto"/>
            <w:ind w:left="220" w:firstLine="0"/>
            <w:rPr>
              <w:sz w:val="26"/>
              <w:szCs w:val="26"/>
            </w:rPr>
          </w:pPr>
          <w:r w:rsidDel="00000000" w:rsidR="00000000" w:rsidRPr="00000000">
            <w:rPr>
              <w:sz w:val="26"/>
              <w:szCs w:val="26"/>
              <w:rtl w:val="0"/>
            </w:rPr>
            <w:t xml:space="preserve">3.2 Product Performance............................................................................................... 3</w:t>
          </w:r>
        </w:p>
        <w:p w:rsidR="00000000" w:rsidDel="00000000" w:rsidP="00000000" w:rsidRDefault="00000000" w:rsidRPr="00000000" w14:paraId="00000011">
          <w:pPr>
            <w:spacing w:after="100" w:lineRule="auto"/>
            <w:ind w:left="220" w:firstLine="0"/>
            <w:rPr>
              <w:sz w:val="26"/>
              <w:szCs w:val="26"/>
            </w:rPr>
          </w:pPr>
          <w:r w:rsidDel="00000000" w:rsidR="00000000" w:rsidRPr="00000000">
            <w:rPr>
              <w:sz w:val="26"/>
              <w:szCs w:val="26"/>
              <w:rtl w:val="0"/>
            </w:rPr>
            <w:t xml:space="preserve">3.3 Regional Performance.............................................................................................. 5</w:t>
          </w:r>
        </w:p>
        <w:p w:rsidR="00000000" w:rsidDel="00000000" w:rsidP="00000000" w:rsidRDefault="00000000" w:rsidRPr="00000000" w14:paraId="00000012">
          <w:pPr>
            <w:spacing w:after="100" w:lineRule="auto"/>
            <w:ind w:left="220" w:firstLine="0"/>
            <w:rPr>
              <w:sz w:val="26"/>
              <w:szCs w:val="26"/>
            </w:rPr>
          </w:pPr>
          <w:r w:rsidDel="00000000" w:rsidR="00000000" w:rsidRPr="00000000">
            <w:rPr>
              <w:sz w:val="26"/>
              <w:szCs w:val="26"/>
              <w:rtl w:val="0"/>
            </w:rPr>
            <w:t xml:space="preserve">3.4 Customer Segmentation........................................................................................... 6</w:t>
          </w:r>
        </w:p>
        <w:p w:rsidR="00000000" w:rsidDel="00000000" w:rsidP="00000000" w:rsidRDefault="00000000" w:rsidRPr="00000000" w14:paraId="00000013">
          <w:pPr>
            <w:spacing w:after="100" w:lineRule="auto"/>
            <w:ind w:left="220" w:firstLine="0"/>
            <w:rPr>
              <w:sz w:val="26"/>
              <w:szCs w:val="26"/>
            </w:rPr>
          </w:pPr>
          <w:r w:rsidDel="00000000" w:rsidR="00000000" w:rsidRPr="00000000">
            <w:rPr>
              <w:sz w:val="26"/>
              <w:szCs w:val="26"/>
              <w:rtl w:val="0"/>
            </w:rPr>
            <w:t xml:space="preserve">3.5 Correlations............................................................................................................. 7</w:t>
          </w:r>
        </w:p>
        <w:p w:rsidR="00000000" w:rsidDel="00000000" w:rsidP="00000000" w:rsidRDefault="00000000" w:rsidRPr="00000000" w14:paraId="00000014">
          <w:pPr>
            <w:spacing w:after="100" w:lineRule="auto"/>
            <w:rPr>
              <w:sz w:val="26"/>
              <w:szCs w:val="26"/>
            </w:rPr>
          </w:pPr>
          <w:r w:rsidDel="00000000" w:rsidR="00000000" w:rsidRPr="00000000">
            <w:rPr>
              <w:sz w:val="26"/>
              <w:szCs w:val="26"/>
              <w:rtl w:val="0"/>
            </w:rPr>
            <w:t xml:space="preserve">4. Recommendations........................................................................................................ 7</w:t>
          </w:r>
        </w:p>
        <w:p w:rsidR="00000000" w:rsidDel="00000000" w:rsidP="00000000" w:rsidRDefault="00000000" w:rsidRPr="00000000" w14:paraId="00000015">
          <w:pPr>
            <w:spacing w:after="100" w:lineRule="auto"/>
            <w:rPr>
              <w:sz w:val="26"/>
              <w:szCs w:val="26"/>
            </w:rPr>
          </w:pPr>
          <w:r w:rsidDel="00000000" w:rsidR="00000000" w:rsidRPr="00000000">
            <w:rPr>
              <w:sz w:val="26"/>
              <w:szCs w:val="26"/>
              <w:rtl w:val="0"/>
            </w:rPr>
            <w:t xml:space="preserve">5. Limitations.................................................................................................................... 8</w:t>
          </w:r>
        </w:p>
        <w:p w:rsidR="00000000" w:rsidDel="00000000" w:rsidP="00000000" w:rsidRDefault="00000000" w:rsidRPr="00000000" w14:paraId="00000016">
          <w:pPr>
            <w:spacing w:after="100" w:lineRule="auto"/>
            <w:rPr>
              <w:sz w:val="26"/>
              <w:szCs w:val="26"/>
            </w:rPr>
          </w:pPr>
          <w:r w:rsidDel="00000000" w:rsidR="00000000" w:rsidRPr="00000000">
            <w:rPr>
              <w:sz w:val="26"/>
              <w:szCs w:val="26"/>
              <w:rtl w:val="0"/>
            </w:rPr>
            <w:t xml:space="preserve">6. Reproducibility.............................................................................................................. 8</w:t>
          </w:r>
        </w:p>
        <w:p w:rsidR="00000000" w:rsidDel="00000000" w:rsidP="00000000" w:rsidRDefault="00000000" w:rsidRPr="00000000" w14:paraId="00000017">
          <w:pPr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1A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This report summarizes an exploratory analysis of </w:t>
      </w:r>
      <w:r w:rsidDel="00000000" w:rsidR="00000000" w:rsidRPr="00000000">
        <w:rPr>
          <w:rFonts w:ascii="Consolas" w:cs="Consolas" w:eastAsia="Consolas" w:hAnsi="Consolas"/>
          <w:color w:val="c92a2a"/>
          <w:shd w:fill="f1f3f5" w:val="clear"/>
          <w:rtl w:val="0"/>
        </w:rPr>
        <w:t xml:space="preserve">sales_data.csv</w:t>
      </w:r>
      <w:r w:rsidDel="00000000" w:rsidR="00000000" w:rsidRPr="00000000">
        <w:rPr>
          <w:rtl w:val="0"/>
        </w:rPr>
        <w:t xml:space="preserve">, a 100-record retail transaction log spanning </w:t>
      </w:r>
      <w:r w:rsidDel="00000000" w:rsidR="00000000" w:rsidRPr="00000000">
        <w:rPr>
          <w:b w:val="1"/>
          <w:bCs w:val="1"/>
          <w:rtl w:val="0"/>
        </w:rPr>
        <w:t xml:space="preserve">January 1 – April 9, 2024</w:t>
      </w:r>
      <w:r w:rsidDel="00000000" w:rsidR="00000000" w:rsidRPr="00000000">
        <w:rPr>
          <w:rtl w:val="0"/>
        </w:rPr>
        <w:t xml:space="preserve"> across 5 electronics products and 4 U.S. regions. Total revenue across the period was </w:t>
      </w:r>
      <w:r w:rsidDel="00000000" w:rsidR="00000000" w:rsidRPr="00000000">
        <w:rPr>
          <w:b w:val="1"/>
          <w:bCs w:val="1"/>
          <w:rtl w:val="0"/>
        </w:rPr>
        <w:t xml:space="preserve">$12,365,048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2. Methodology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43a40"/>
          <w:sz w:val="22"/>
          <w:szCs w:val="22"/>
          <w:u w:val="none"/>
          <w:shd w:fill="auto" w:val="clear"/>
          <w:vertAlign w:val="baseline"/>
          <w:rtl w:val="0"/>
        </w:rPr>
        <w:t xml:space="preserve">Data validation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43a40"/>
          <w:sz w:val="22"/>
          <w:szCs w:val="22"/>
          <w:u w:val="none"/>
          <w:shd w:fill="auto" w:val="clear"/>
          <w:vertAlign w:val="baseline"/>
          <w:rtl w:val="0"/>
        </w:rPr>
        <w:t xml:space="preserve">confirmed no missing values across all 100 rows and 7 columns; verified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2a2a"/>
          <w:sz w:val="22"/>
          <w:szCs w:val="22"/>
          <w:u w:val="none"/>
          <w:shd w:fill="f1f3f5" w:val="clear"/>
          <w:vertAlign w:val="baseline"/>
          <w:rtl w:val="0"/>
        </w:rPr>
        <w:t xml:space="preserve">Total_Sales = Quantity × Price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43a40"/>
          <w:sz w:val="22"/>
          <w:szCs w:val="22"/>
          <w:u w:val="none"/>
          <w:shd w:fill="auto" w:val="clear"/>
          <w:vertAlign w:val="baseline"/>
          <w:rtl w:val="0"/>
        </w:rPr>
        <w:t xml:space="preserve"> for every record.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43a40"/>
          <w:sz w:val="22"/>
          <w:szCs w:val="22"/>
          <w:u w:val="none"/>
          <w:shd w:fill="auto" w:val="clear"/>
          <w:vertAlign w:val="baseline"/>
          <w:rtl w:val="0"/>
        </w:rPr>
        <w:t xml:space="preserve">Feature engineering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43a40"/>
          <w:sz w:val="22"/>
          <w:szCs w:val="22"/>
          <w:u w:val="none"/>
          <w:shd w:fill="auto" w:val="clear"/>
          <w:vertAlign w:val="baseline"/>
          <w:rtl w:val="0"/>
        </w:rPr>
        <w:t xml:space="preserve">added a 7-day rolling average of daily sales to smooth short-term noise, and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2a2a"/>
          <w:sz w:val="22"/>
          <w:szCs w:val="22"/>
          <w:u w:val="none"/>
          <w:shd w:fill="f1f3f5" w:val="clear"/>
          <w:vertAlign w:val="baseline"/>
          <w:rtl w:val="0"/>
        </w:rPr>
        <w:t xml:space="preserve">Value_Tier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43a40"/>
          <w:sz w:val="22"/>
          <w:szCs w:val="22"/>
          <w:u w:val="none"/>
          <w:shd w:fill="auto" w:val="clear"/>
          <w:vertAlign w:val="baseline"/>
          <w:rtl w:val="0"/>
        </w:rPr>
        <w:t xml:space="preserve"> field (Bronze/Silver/Gold/Platinum) from quartiles of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2a2a"/>
          <w:sz w:val="22"/>
          <w:szCs w:val="22"/>
          <w:u w:val="none"/>
          <w:shd w:fill="f1f3f5" w:val="clear"/>
          <w:vertAlign w:val="baseline"/>
          <w:rtl w:val="0"/>
        </w:rPr>
        <w:t xml:space="preserve">Total_Sales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43a40"/>
          <w:sz w:val="22"/>
          <w:szCs w:val="22"/>
          <w:u w:val="none"/>
          <w:shd w:fill="auto" w:val="clear"/>
          <w:vertAlign w:val="baseline"/>
          <w:rtl w:val="0"/>
        </w:rPr>
        <w:t xml:space="preserve">, used as a proxy for customer segmentation since each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2a2a"/>
          <w:sz w:val="22"/>
          <w:szCs w:val="22"/>
          <w:u w:val="none"/>
          <w:shd w:fill="f1f3f5" w:val="clear"/>
          <w:vertAlign w:val="baseline"/>
          <w:rtl w:val="0"/>
        </w:rPr>
        <w:t xml:space="preserve">Customer_ID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43a40"/>
          <w:sz w:val="22"/>
          <w:szCs w:val="22"/>
          <w:u w:val="none"/>
          <w:shd w:fill="auto" w:val="clear"/>
          <w:vertAlign w:val="baseline"/>
          <w:rtl w:val="0"/>
        </w:rPr>
        <w:t xml:space="preserve"> places only one order in this dataset.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43a40"/>
          <w:sz w:val="22"/>
          <w:szCs w:val="22"/>
          <w:u w:val="none"/>
          <w:shd w:fill="auto" w:val="clear"/>
          <w:vertAlign w:val="baseline"/>
          <w:rtl w:val="0"/>
        </w:rPr>
        <w:t xml:space="preserve">Statistical testing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43a40"/>
          <w:sz w:val="22"/>
          <w:szCs w:val="22"/>
          <w:u w:val="none"/>
          <w:shd w:fill="auto" w:val="clear"/>
          <w:vertAlign w:val="baseline"/>
          <w:rtl w:val="0"/>
        </w:rPr>
        <w:t xml:space="preserve">a one-way ANOVA was run on unit price across the five product categories to test whether differences in mean price are statistically significant.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43a40"/>
          <w:sz w:val="22"/>
          <w:szCs w:val="22"/>
          <w:u w:val="none"/>
          <w:shd w:fill="auto" w:val="clear"/>
          <w:vertAlign w:val="baseline"/>
          <w:rtl w:val="0"/>
        </w:rPr>
        <w:t xml:space="preserve">Visualization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43a40"/>
          <w:sz w:val="22"/>
          <w:szCs w:val="22"/>
          <w:u w:val="none"/>
          <w:shd w:fill="auto" w:val="clear"/>
          <w:vertAlign w:val="baseline"/>
          <w:rtl w:val="0"/>
        </w:rPr>
        <w:t xml:space="preserve">seven Seaborn statistical charts and four interactive Plotly views were produced, sharing one coordinated color palette.</w:t>
      </w:r>
    </w:p>
    <w:p w:rsidR="00000000" w:rsidDel="00000000" w:rsidP="00000000" w:rsidRDefault="00000000" w:rsidRPr="00000000" w14:paraId="00000020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3. Key Findings</w:t>
      </w:r>
    </w:p>
    <w:p w:rsidR="00000000" w:rsidDel="00000000" w:rsidP="00000000" w:rsidRDefault="00000000" w:rsidRPr="00000000" w14:paraId="00000021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  <w:t xml:space="preserve">3.1 Sales Trend</w:t>
      </w:r>
    </w:p>
    <w:p w:rsidR="00000000" w:rsidDel="00000000" w:rsidP="00000000" w:rsidRDefault="00000000" w:rsidRPr="00000000" w14:paraId="00000022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Daily sales are volatile (single orders ranging from ~$6.5K to ~$374K), but the 7-day rolling average shows an early spike in the first week of January, a relative lull through February and early March, and a recovery into late March / early April.</w:t>
      </w:r>
    </w:p>
    <w:p w:rsidR="00000000" w:rsidDel="00000000" w:rsidP="00000000" w:rsidRDefault="00000000" w:rsidRPr="00000000" w14:paraId="00000023">
      <w:pPr>
        <w:spacing w:after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210175" cy="23812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320" w:lineRule="auto"/>
        <w:jc w:val="center"/>
        <w:rPr/>
      </w:pPr>
      <w:r w:rsidDel="00000000" w:rsidR="00000000" w:rsidRPr="00000000">
        <w:rPr>
          <w:i w:val="1"/>
          <w:iCs w:val="1"/>
          <w:color w:val="868e96"/>
          <w:sz w:val="20"/>
          <w:szCs w:val="20"/>
          <w:rtl w:val="0"/>
        </w:rPr>
        <w:t xml:space="preserve">Figure 1. Daily sales trend with 7-day rolling average.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  <w:t xml:space="preserve">3.2 Product Performance</w:t>
      </w:r>
    </w:p>
    <w:p w:rsidR="00000000" w:rsidDel="00000000" w:rsidP="00000000" w:rsidRDefault="00000000" w:rsidRPr="00000000" w14:paraId="00000027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Total revenue by product:</w:t>
      </w:r>
    </w:p>
    <w:tbl>
      <w:tblPr>
        <w:tblStyle w:val="Table1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3000"/>
        <w:gridCol w:w="2700"/>
        <w:tblGridChange w:id="0">
          <w:tblGrid>
            <w:gridCol w:w="3600"/>
            <w:gridCol w:w="3000"/>
            <w:gridCol w:w="2700"/>
          </w:tblGrid>
        </w:tblGridChange>
      </w:tblGrid>
      <w:tr>
        <w:trPr>
          <w:cantSplit w:val="0"/>
          <w:tblHeader w:val="1"/>
        </w:trPr>
        <w:tc>
          <w:tcPr>
            <w:shd w:fill="4c6e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c6e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Total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c6e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Avg. Unit 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43a40"/>
                <w:rtl w:val="0"/>
              </w:rPr>
              <w:t xml:space="preserve">Laptop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43a40"/>
                <w:rtl w:val="0"/>
              </w:rPr>
              <w:t xml:space="preserve">$3,889,210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43a40"/>
                <w:rtl w:val="0"/>
              </w:rPr>
              <w:t xml:space="preserve">$27,651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43a40"/>
                <w:rtl w:val="0"/>
              </w:rPr>
              <w:t xml:space="preserve">Tablet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43a40"/>
                <w:rtl w:val="0"/>
              </w:rPr>
              <w:t xml:space="preserve">$2,884,340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43a40"/>
                <w:rtl w:val="0"/>
              </w:rPr>
              <w:t xml:space="preserve">$24,177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43a40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43a40"/>
                <w:rtl w:val="0"/>
              </w:rPr>
              <w:t xml:space="preserve">$2,859,394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43a40"/>
                <w:rtl w:val="0"/>
              </w:rPr>
              <w:t xml:space="preserve">$27,379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43a40"/>
                <w:rtl w:val="0"/>
              </w:rPr>
              <w:t xml:space="preserve">Headphones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43a40"/>
                <w:rtl w:val="0"/>
              </w:rPr>
              <w:t xml:space="preserve">$1,384,033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43a40"/>
                <w:rtl w:val="0"/>
              </w:rPr>
              <w:t xml:space="preserve">$28,692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43a40"/>
                <w:rtl w:val="0"/>
              </w:rPr>
              <w:t xml:space="preserve">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43a40"/>
                <w:rtl w:val="0"/>
              </w:rPr>
              <w:t xml:space="preserve">$1,348,071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43a40"/>
                <w:rtl w:val="0"/>
              </w:rPr>
              <w:t xml:space="preserve">$20,710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Laptops</w:t>
      </w:r>
      <w:r w:rsidDel="00000000" w:rsidR="00000000" w:rsidRPr="00000000">
        <w:rPr>
          <w:rtl w:val="0"/>
        </w:rPr>
        <w:t xml:space="preserve"> are the single largest revenue driver, roughly 35% ahead of the second-place Tablet/Phone tier. Headphones and Monitors lag well behind — likely a combination of lower order volume and (for Monitors specifically) the lowest average unit price of the five categories.</w:t>
      </w:r>
    </w:p>
    <w:p w:rsidR="00000000" w:rsidDel="00000000" w:rsidP="00000000" w:rsidRDefault="00000000" w:rsidRPr="00000000" w14:paraId="0000003C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A one-way ANOVA on unit price across products returned </w:t>
      </w:r>
      <w:r w:rsidDel="00000000" w:rsidR="00000000" w:rsidRPr="00000000">
        <w:rPr>
          <w:b w:val="1"/>
          <w:bCs w:val="1"/>
          <w:rtl w:val="0"/>
        </w:rPr>
        <w:t xml:space="preserve">F = 0.92, p = 0.456</w:t>
      </w:r>
      <w:r w:rsidDel="00000000" w:rsidR="00000000" w:rsidRPr="00000000">
        <w:rPr>
          <w:rtl w:val="0"/>
        </w:rPr>
        <w:t xml:space="preserve">, meaning there is </w:t>
      </w:r>
      <w:r w:rsidDel="00000000" w:rsidR="00000000" w:rsidRPr="00000000">
        <w:rPr>
          <w:b w:val="1"/>
          <w:bCs w:val="1"/>
          <w:rtl w:val="0"/>
        </w:rPr>
        <w:t xml:space="preserve">no statistically significant difference</w:t>
      </w:r>
      <w:r w:rsidDel="00000000" w:rsidR="00000000" w:rsidRPr="00000000">
        <w:rPr>
          <w:rtl w:val="0"/>
        </w:rPr>
        <w:t xml:space="preserve"> in average unit price between product categories at the 0.05 level — the revenue gap between Laptops and Monitors is driven more by order volume/mix than by price-point differences.</w:t>
      </w:r>
    </w:p>
    <w:p w:rsidR="00000000" w:rsidDel="00000000" w:rsidP="00000000" w:rsidRDefault="00000000" w:rsidRPr="00000000" w14:paraId="0000003D">
      <w:pPr>
        <w:spacing w:after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52975" cy="2971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320" w:lineRule="auto"/>
        <w:jc w:val="center"/>
        <w:rPr/>
      </w:pPr>
      <w:r w:rsidDel="00000000" w:rsidR="00000000" w:rsidRPr="00000000">
        <w:rPr>
          <w:i w:val="1"/>
          <w:iCs w:val="1"/>
          <w:color w:val="868e96"/>
          <w:sz w:val="20"/>
          <w:szCs w:val="20"/>
          <w:rtl w:val="0"/>
        </w:rPr>
        <w:t xml:space="preserve">Figure 2. Total sales by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52975" cy="2971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320" w:lineRule="auto"/>
        <w:jc w:val="center"/>
        <w:rPr/>
      </w:pPr>
      <w:r w:rsidDel="00000000" w:rsidR="00000000" w:rsidRPr="00000000">
        <w:rPr>
          <w:i w:val="1"/>
          <w:iCs w:val="1"/>
          <w:color w:val="868e96"/>
          <w:sz w:val="20"/>
          <w:szCs w:val="20"/>
          <w:rtl w:val="0"/>
        </w:rPr>
        <w:t xml:space="preserve">Figure 3. Price distribution by product, with one-way ANOVA annotation.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  <w:t xml:space="preserve">3.3 Regional Performance</w:t>
      </w:r>
    </w:p>
    <w:p w:rsidR="00000000" w:rsidDel="00000000" w:rsidP="00000000" w:rsidRDefault="00000000" w:rsidRPr="00000000" w14:paraId="00000042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Total revenue by region:</w:t>
      </w:r>
    </w:p>
    <w:tbl>
      <w:tblPr>
        <w:tblStyle w:val="Table2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0"/>
        <w:gridCol w:w="4500"/>
        <w:tblGridChange w:id="0">
          <w:tblGrid>
            <w:gridCol w:w="4800"/>
            <w:gridCol w:w="4500"/>
          </w:tblGrid>
        </w:tblGridChange>
      </w:tblGrid>
      <w:tr>
        <w:trPr>
          <w:cantSplit w:val="0"/>
          <w:tblHeader w:val="1"/>
        </w:trPr>
        <w:tc>
          <w:tcPr>
            <w:shd w:fill="4c6e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c6ef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Total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43a40"/>
                <w:rtl w:val="0"/>
              </w:rPr>
              <w:t xml:space="preserve">North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43a40"/>
                <w:rtl w:val="0"/>
              </w:rPr>
              <w:t xml:space="preserve">$3,983,635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43a40"/>
                <w:rtl w:val="0"/>
              </w:rPr>
              <w:t xml:space="preserve">South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43a40"/>
                <w:rtl w:val="0"/>
              </w:rPr>
              <w:t xml:space="preserve">$3,737,852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43a40"/>
                <w:rtl w:val="0"/>
              </w:rPr>
              <w:t xml:space="preserve">East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43a40"/>
                <w:rtl w:val="0"/>
              </w:rPr>
              <w:t xml:space="preserve">$2,519,639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343a40"/>
                <w:rtl w:val="0"/>
              </w:rPr>
              <w:t xml:space="preserve">West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343a40"/>
                <w:rtl w:val="0"/>
              </w:rPr>
              <w:t xml:space="preserve">$2,123,922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North and South together account for roughly 63% of total revenue, nearly double the combined East + West total. Order-quantity distributions (violin plot) are broadly similar in shape across all four regions, with North showing a slightly higher median quantity per order.</w:t>
      </w:r>
    </w:p>
    <w:p w:rsidR="00000000" w:rsidDel="00000000" w:rsidP="00000000" w:rsidRDefault="00000000" w:rsidRPr="00000000" w14:paraId="0000004F">
      <w:pPr>
        <w:spacing w:after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52975" cy="2971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320" w:lineRule="auto"/>
        <w:jc w:val="center"/>
        <w:rPr/>
      </w:pPr>
      <w:r w:rsidDel="00000000" w:rsidR="00000000" w:rsidRPr="00000000">
        <w:rPr>
          <w:i w:val="1"/>
          <w:iCs w:val="1"/>
          <w:color w:val="868e96"/>
          <w:sz w:val="20"/>
          <w:szCs w:val="20"/>
          <w:rtl w:val="0"/>
        </w:rPr>
        <w:t xml:space="preserve">Figure 4. Quantity sold distribution by region.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  <w:t xml:space="preserve">3.4 Customer Segmentation</w:t>
      </w:r>
    </w:p>
    <w:p w:rsidR="00000000" w:rsidDel="00000000" w:rsidP="00000000" w:rsidRDefault="00000000" w:rsidRPr="00000000" w14:paraId="00000052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Since every </w:t>
      </w:r>
      <w:r w:rsidDel="00000000" w:rsidR="00000000" w:rsidRPr="00000000">
        <w:rPr>
          <w:rFonts w:ascii="Consolas" w:cs="Consolas" w:eastAsia="Consolas" w:hAnsi="Consolas"/>
          <w:color w:val="c92a2a"/>
          <w:shd w:fill="f1f3f5" w:val="clear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 in this dataset corresponds to exactly one order, segmentation was performed on </w:t>
      </w:r>
      <w:r w:rsidDel="00000000" w:rsidR="00000000" w:rsidRPr="00000000">
        <w:rPr>
          <w:b w:val="1"/>
          <w:bCs w:val="1"/>
          <w:rtl w:val="0"/>
        </w:rPr>
        <w:t xml:space="preserve">order value</w:t>
      </w:r>
      <w:r w:rsidDel="00000000" w:rsidR="00000000" w:rsidRPr="00000000">
        <w:rPr>
          <w:rtl w:val="0"/>
        </w:rPr>
        <w:t xml:space="preserve"> rather than purchase frequency. Splitting all orders into value quartiles (Bronze → Platinum) and cross-tabulating by region shows that high-value ("Platinum") orders are not concentrated in any single region — they are fairly evenly distributed, suggesting big-ticket purchases aren't a purely regional phenomenon in this sample.</w:t>
      </w:r>
    </w:p>
    <w:p w:rsidR="00000000" w:rsidDel="00000000" w:rsidP="00000000" w:rsidRDefault="00000000" w:rsidRPr="00000000" w14:paraId="00000053">
      <w:pPr>
        <w:spacing w:after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52975" cy="2971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320" w:lineRule="auto"/>
        <w:jc w:val="center"/>
        <w:rPr/>
      </w:pPr>
      <w:r w:rsidDel="00000000" w:rsidR="00000000" w:rsidRPr="00000000">
        <w:rPr>
          <w:i w:val="1"/>
          <w:iCs w:val="1"/>
          <w:color w:val="868e96"/>
          <w:sz w:val="20"/>
          <w:szCs w:val="20"/>
          <w:rtl w:val="0"/>
        </w:rPr>
        <w:t xml:space="preserve">Figure 5. Customer value-tier segmentation by region.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  <w:t xml:space="preserve">3.5 Correlations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2a2a"/>
          <w:sz w:val="22"/>
          <w:szCs w:val="22"/>
          <w:u w:val="none"/>
          <w:shd w:fill="f1f3f5" w:val="clear"/>
          <w:vertAlign w:val="baseline"/>
          <w:rtl w:val="0"/>
        </w:rPr>
        <w:t xml:space="preserve">Quantity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43a40"/>
          <w:sz w:val="22"/>
          <w:szCs w:val="22"/>
          <w:u w:val="none"/>
          <w:shd w:fill="auto" w:val="clear"/>
          <w:vertAlign w:val="baseline"/>
          <w:rtl w:val="0"/>
        </w:rPr>
        <w:t xml:space="preserve"> ↔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2a2a"/>
          <w:sz w:val="22"/>
          <w:szCs w:val="22"/>
          <w:u w:val="none"/>
          <w:shd w:fill="f1f3f5" w:val="clear"/>
          <w:vertAlign w:val="baseline"/>
          <w:rtl w:val="0"/>
        </w:rPr>
        <w:t xml:space="preserve">Total_Sales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43a4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43a40"/>
          <w:sz w:val="22"/>
          <w:szCs w:val="22"/>
          <w:u w:val="none"/>
          <w:shd w:fill="auto" w:val="clear"/>
          <w:vertAlign w:val="baseline"/>
          <w:rtl w:val="0"/>
        </w:rPr>
        <w:t xml:space="preserve">r ≈ 0.69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43a40"/>
          <w:sz w:val="22"/>
          <w:szCs w:val="22"/>
          <w:u w:val="none"/>
          <w:shd w:fill="auto" w:val="clear"/>
          <w:vertAlign w:val="baseline"/>
          <w:rtl w:val="0"/>
        </w:rPr>
        <w:t xml:space="preserve"> (moderate-strong positive)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2a2a"/>
          <w:sz w:val="22"/>
          <w:szCs w:val="22"/>
          <w:u w:val="none"/>
          <w:shd w:fill="f1f3f5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43a40"/>
          <w:sz w:val="22"/>
          <w:szCs w:val="22"/>
          <w:u w:val="none"/>
          <w:shd w:fill="auto" w:val="clear"/>
          <w:vertAlign w:val="baseline"/>
          <w:rtl w:val="0"/>
        </w:rPr>
        <w:t xml:space="preserve"> ↔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2a2a"/>
          <w:sz w:val="22"/>
          <w:szCs w:val="22"/>
          <w:u w:val="none"/>
          <w:shd w:fill="f1f3f5" w:val="clear"/>
          <w:vertAlign w:val="baseline"/>
          <w:rtl w:val="0"/>
        </w:rPr>
        <w:t xml:space="preserve">Total_Sales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43a4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43a40"/>
          <w:sz w:val="22"/>
          <w:szCs w:val="22"/>
          <w:u w:val="none"/>
          <w:shd w:fill="auto" w:val="clear"/>
          <w:vertAlign w:val="baseline"/>
          <w:rtl w:val="0"/>
        </w:rPr>
        <w:t xml:space="preserve">r ≈ 0.65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43a40"/>
          <w:sz w:val="22"/>
          <w:szCs w:val="22"/>
          <w:u w:val="none"/>
          <w:shd w:fill="auto" w:val="clear"/>
          <w:vertAlign w:val="baseline"/>
          <w:rtl w:val="0"/>
        </w:rPr>
        <w:t xml:space="preserve"> (moderate-strong positive)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2a2a"/>
          <w:sz w:val="22"/>
          <w:szCs w:val="22"/>
          <w:u w:val="none"/>
          <w:shd w:fill="f1f3f5" w:val="clear"/>
          <w:vertAlign w:val="baseline"/>
          <w:rtl w:val="0"/>
        </w:rPr>
        <w:t xml:space="preserve">Quantity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43a40"/>
          <w:sz w:val="22"/>
          <w:szCs w:val="22"/>
          <w:u w:val="none"/>
          <w:shd w:fill="auto" w:val="clear"/>
          <w:vertAlign w:val="baseline"/>
          <w:rtl w:val="0"/>
        </w:rPr>
        <w:t xml:space="preserve"> ↔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92a2a"/>
          <w:sz w:val="22"/>
          <w:szCs w:val="22"/>
          <w:u w:val="none"/>
          <w:shd w:fill="f1f3f5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43a4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43a40"/>
          <w:sz w:val="22"/>
          <w:szCs w:val="22"/>
          <w:u w:val="none"/>
          <w:shd w:fill="auto" w:val="clear"/>
          <w:vertAlign w:val="baseline"/>
          <w:rtl w:val="0"/>
        </w:rPr>
        <w:t xml:space="preserve">r ≈ 0.01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43a40"/>
          <w:sz w:val="22"/>
          <w:szCs w:val="22"/>
          <w:u w:val="none"/>
          <w:shd w:fill="auto" w:val="clear"/>
          <w:vertAlign w:val="baseline"/>
          <w:rtl w:val="0"/>
        </w:rPr>
        <w:t xml:space="preserve"> (effectively no relationship)</w:t>
      </w:r>
    </w:p>
    <w:p w:rsidR="00000000" w:rsidDel="00000000" w:rsidP="00000000" w:rsidRDefault="00000000" w:rsidRPr="00000000" w14:paraId="0000005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Both quantity and price contribute comparably to total order value, and they are independent of one another — customers are not systematically buying more units of cheaper items or vice versa.</w:t>
      </w:r>
    </w:p>
    <w:p w:rsidR="00000000" w:rsidDel="00000000" w:rsidP="00000000" w:rsidRDefault="00000000" w:rsidRPr="00000000" w14:paraId="0000005B">
      <w:pPr>
        <w:spacing w:after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210050" cy="35623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320" w:lineRule="auto"/>
        <w:jc w:val="center"/>
        <w:rPr/>
      </w:pPr>
      <w:r w:rsidDel="00000000" w:rsidR="00000000" w:rsidRPr="00000000">
        <w:rPr>
          <w:i w:val="1"/>
          <w:iCs w:val="1"/>
          <w:color w:val="868e96"/>
          <w:sz w:val="20"/>
          <w:szCs w:val="20"/>
          <w:rtl w:val="0"/>
        </w:rPr>
        <w:t xml:space="preserve">Figure 6. Correlation matrix: Quantity, Price, Total Sales.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4. Recommendations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43a40"/>
          <w:sz w:val="22"/>
          <w:szCs w:val="22"/>
          <w:u w:val="none"/>
          <w:shd w:fill="auto" w:val="clear"/>
          <w:vertAlign w:val="baseline"/>
          <w:rtl w:val="0"/>
        </w:rPr>
        <w:t xml:space="preserve">Double down on Laptops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43a40"/>
          <w:sz w:val="22"/>
          <w:szCs w:val="22"/>
          <w:u w:val="none"/>
          <w:shd w:fill="auto" w:val="clear"/>
          <w:vertAlign w:val="baseline"/>
          <w:rtl w:val="0"/>
        </w:rPr>
        <w:t xml:space="preserve">, the clear revenue leader, e.g. bundling accessories (Headphones, Monitors) with laptop purchases to lift the weaker categories.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43a40"/>
          <w:sz w:val="22"/>
          <w:szCs w:val="22"/>
          <w:u w:val="none"/>
          <w:shd w:fill="auto" w:val="clear"/>
          <w:vertAlign w:val="baseline"/>
          <w:rtl w:val="0"/>
        </w:rPr>
        <w:t xml:space="preserve">Investigate the East/West revenue gap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43a40"/>
          <w:sz w:val="22"/>
          <w:szCs w:val="22"/>
          <w:u w:val="none"/>
          <w:shd w:fill="auto" w:val="clear"/>
          <w:vertAlign w:val="baseline"/>
          <w:rtl w:val="0"/>
        </w:rPr>
        <w:t xml:space="preserve"> — since unit prices don't differ significantly by product, the gap versus North/South is more likely a volume or market-size effect worth digging into with more granular data (e.g., number of unique buyers, marketing spend by region).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43a40"/>
          <w:sz w:val="22"/>
          <w:szCs w:val="22"/>
          <w:u w:val="none"/>
          <w:shd w:fill="auto" w:val="clear"/>
          <w:vertAlign w:val="baseline"/>
          <w:rtl w:val="0"/>
        </w:rPr>
        <w:t xml:space="preserve">Track true repeat-purchase behavior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43a40"/>
          <w:sz w:val="22"/>
          <w:szCs w:val="22"/>
          <w:u w:val="none"/>
          <w:shd w:fill="auto" w:val="clear"/>
          <w:vertAlign w:val="baseline"/>
          <w:rtl w:val="0"/>
        </w:rPr>
        <w:t xml:space="preserve"> — this dataset only contains one order per customer, so a genuine RFM (Recency/Frequency/Monetary) segmentation isn't possible yet. Capturing multiple orders per customer in future data collection would substantially improve the segmentation analysis.</w:t>
      </w:r>
    </w:p>
    <w:p w:rsidR="00000000" w:rsidDel="00000000" w:rsidP="00000000" w:rsidRDefault="00000000" w:rsidRPr="00000000" w14:paraId="00000061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5. Limitations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43a40"/>
          <w:sz w:val="22"/>
          <w:szCs w:val="22"/>
          <w:u w:val="none"/>
          <w:shd w:fill="auto" w:val="clear"/>
          <w:vertAlign w:val="baseline"/>
          <w:rtl w:val="0"/>
        </w:rPr>
        <w:t xml:space="preserve">Sample size is small (100 orders over ~100 days), so findings should be treated as directional rather than definitive.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43a40"/>
          <w:sz w:val="22"/>
          <w:szCs w:val="22"/>
          <w:u w:val="none"/>
          <w:shd w:fill="auto" w:val="clear"/>
          <w:vertAlign w:val="baseline"/>
          <w:rtl w:val="0"/>
        </w:rPr>
        <w:t xml:space="preserve">No customer demographic or marketing-channel data was available, limiting the depth of segmentation analysis.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4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43a40"/>
          <w:sz w:val="22"/>
          <w:szCs w:val="22"/>
          <w:u w:val="none"/>
          <w:shd w:fill="auto" w:val="clear"/>
          <w:vertAlign w:val="baseline"/>
          <w:rtl w:val="0"/>
        </w:rPr>
        <w:t xml:space="preserve">Each customer appears exactly once, so frequency- and loyalty-based segmentation could not be performed.</w:t>
      </w:r>
    </w:p>
    <w:p w:rsidR="00000000" w:rsidDel="00000000" w:rsidP="00000000" w:rsidRDefault="00000000" w:rsidRPr="00000000" w14:paraId="00000065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6. Reproducibility</w:t>
      </w:r>
    </w:p>
    <w:p w:rsidR="00000000" w:rsidDel="00000000" w:rsidP="00000000" w:rsidRDefault="00000000" w:rsidRPr="00000000" w14:paraId="00000066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All figures in this report were generated by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2a2a"/>
          <w:shd w:fill="f1f3f5" w:val="clear"/>
          <w:rtl w:val="0"/>
        </w:rPr>
        <w:t xml:space="preserve">dashboard.ipynb</w:t>
      </w:r>
      <w:r w:rsidDel="00000000" w:rsidR="00000000" w:rsidRPr="00000000">
        <w:rPr>
          <w:rtl w:val="0"/>
        </w:rPr>
        <w:t xml:space="preserve"> from the raw </w:t>
      </w:r>
      <w:r w:rsidDel="00000000" w:rsidR="00000000" w:rsidRPr="00000000">
        <w:rPr>
          <w:rFonts w:ascii="Consolas" w:cs="Consolas" w:eastAsia="Consolas" w:hAnsi="Consolas"/>
          <w:color w:val="c92a2a"/>
          <w:shd w:fill="f1f3f5" w:val="clear"/>
          <w:rtl w:val="0"/>
        </w:rPr>
        <w:t xml:space="preserve">sales_data.csv</w:t>
      </w:r>
      <w:r w:rsidDel="00000000" w:rsidR="00000000" w:rsidRPr="00000000">
        <w:rPr>
          <w:rtl w:val="0"/>
        </w:rPr>
        <w:t xml:space="preserve"> file — see </w:t>
      </w:r>
      <w:r w:rsidDel="00000000" w:rsidR="00000000" w:rsidRPr="00000000">
        <w:rPr>
          <w:rFonts w:ascii="Consolas" w:cs="Consolas" w:eastAsia="Consolas" w:hAnsi="Consolas"/>
          <w:color w:val="c92a2a"/>
          <w:shd w:fill="f1f3f5" w:val="clear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for setup and run instructions. Static chart images are in the </w:t>
      </w:r>
      <w:r w:rsidDel="00000000" w:rsidR="00000000" w:rsidRPr="00000000">
        <w:rPr>
          <w:rFonts w:ascii="Consolas" w:cs="Consolas" w:eastAsia="Consolas" w:hAnsi="Consolas"/>
          <w:color w:val="c92a2a"/>
          <w:shd w:fill="f1f3f5" w:val="clear"/>
          <w:rtl w:val="0"/>
        </w:rPr>
        <w:t xml:space="preserve">visualizations/</w:t>
      </w:r>
      <w:r w:rsidDel="00000000" w:rsidR="00000000" w:rsidRPr="00000000">
        <w:rPr>
          <w:rtl w:val="0"/>
        </w:rPr>
        <w:t xml:space="preserve"> folder, and the interactive dashboard is </w:t>
      </w:r>
      <w:r w:rsidDel="00000000" w:rsidR="00000000" w:rsidRPr="00000000">
        <w:rPr>
          <w:rFonts w:ascii="Consolas" w:cs="Consolas" w:eastAsia="Consolas" w:hAnsi="Consolas"/>
          <w:color w:val="c92a2a"/>
          <w:shd w:fill="f1f3f5" w:val="clear"/>
          <w:rtl w:val="0"/>
        </w:rPr>
        <w:t xml:space="preserve">interactive_dashboard.html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43a40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4c6ef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343a4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343a4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