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328"/>
          <w:sz w:val="48"/>
        </w:rPr>
        <w:t>Guidewire Upgrade Accelerators</w:t>
      </w:r>
    </w:p>
    <w:p>
      <w:pPr>
        <w:jc w:val="center"/>
      </w:pPr>
      <w:r>
        <w:rPr>
          <w:color w:val="656D76"/>
          <w:sz w:val="28"/>
        </w:rPr>
        <w:t>Return on Investment — Business Case</w:t>
      </w:r>
    </w:p>
    <w:p/>
    <w:p>
      <w:pPr>
        <w:pStyle w:val="Heading1"/>
      </w:pPr>
      <w:r>
        <w:rPr>
          <w:color w:val="0969DA"/>
        </w:rPr>
        <w:t>Executive summary</w:t>
      </w:r>
    </w:p>
    <w:p>
      <w:pPr>
        <w:spacing w:after="120"/>
      </w:pPr>
      <w:r>
        <w:t>The three accelerators — upgrade readiness scoring, vendor mocks &amp; contract tests, and data migration assist — reduce the cost and risk of a Guidewire InsuranceSuite cloud upgrade by assessing risk earlier, shifting integration and data defects left, and cutting expensive rework and dry-run cycles.</w:t>
      </w:r>
    </w:p>
    <w:p>
      <w:r>
        <w:rPr>
          <w:b/>
          <w:color w:val="1A7F37"/>
        </w:rPr>
        <w:t>Headline (base case): ~218% year-1 ROI, payback in ~4 months, and ~£300k net benefit per programme — rising sharply on every subsequent upgrade because the accelerators are reusable.</w:t>
      </w:r>
    </w:p>
    <w:p>
      <w:pPr>
        <w:pStyle w:val="Heading2"/>
      </w:pPr>
      <w:r>
        <w:rPr>
          <w:color w:val="1F2328"/>
        </w:rPr>
        <w:t>How the ROI is calculated</w:t>
      </w:r>
    </w:p>
    <w:p>
      <w:pPr>
        <w:spacing w:after="120"/>
      </w:pPr>
      <w:r>
        <w:t>ROI % = (Gross benefit − Investment) / Investment × 100.   Payback = Investment / monthly net benefit.   Risk avoided = Δ(probability of bad outcome) × cost of that outcome.</w:t>
      </w:r>
    </w:p>
    <w:p>
      <w:pPr>
        <w:pStyle w:val="ListNumber"/>
        <w:spacing w:after="40"/>
      </w:pPr>
      <w:r>
        <w:t>Baseline the as-is (effort, defect leakage, overrun %, dry-run counts) from prior upgrades or benchmarks.</w:t>
      </w:r>
    </w:p>
    <w:p>
      <w:pPr>
        <w:pStyle w:val="ListNumber"/>
        <w:spacing w:after="40"/>
      </w:pPr>
      <w:r>
        <w:t>Name the value levers the accelerator pulls (effort saved, defects shifted left, risk reduced, time-to-value).</w:t>
      </w:r>
    </w:p>
    <w:p>
      <w:pPr>
        <w:pStyle w:val="ListNumber"/>
        <w:spacing w:after="40"/>
      </w:pPr>
      <w:r>
        <w:t>Quantify with conservative / base / optimistic cases and a sensitivity check on the key drivers.</w:t>
      </w:r>
    </w:p>
    <w:p>
      <w:pPr>
        <w:pStyle w:val="ListNumber"/>
        <w:spacing w:after="40"/>
      </w:pPr>
      <w:r>
        <w:t>Track leading indicators after deployment to convert projected ROI into realised ROI.</w:t>
      </w:r>
    </w:p>
    <w:p>
      <w:pPr>
        <w:pStyle w:val="Heading2"/>
      </w:pPr>
      <w:r>
        <w:rPr>
          <w:color w:val="1F2328"/>
        </w:rPr>
        <w:t>Value levers and quantified benefits</w:t>
      </w:r>
    </w:p>
    <w:p>
      <w:r>
        <w:rPr>
          <w:b/>
          <w:color w:val="1F2328"/>
          <w:sz w:val="23"/>
        </w:rPr>
        <w:t>1. Upgrade Readiness Scoring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1F2328"/>
          </w:tcPr>
          <w:p>
            <w:r/>
            <w:r>
              <w:rPr>
                <w:b/>
                <w:color w:val="FFFFFF"/>
                <w:sz w:val="19"/>
              </w:rPr>
              <w:t>Value lever</w:t>
            </w:r>
          </w:p>
        </w:tc>
        <w:tc>
          <w:tcPr>
            <w:tcW w:type="dxa" w:w="4464"/>
            <w:shd w:val="clear" w:fill="1F2328"/>
          </w:tcPr>
          <w:p>
            <w:r/>
            <w:r>
              <w:rPr>
                <w:b/>
                <w:color w:val="FFFFFF"/>
                <w:sz w:val="19"/>
              </w:rPr>
              <w:t>Basis</w:t>
            </w:r>
          </w:p>
        </w:tc>
        <w:tc>
          <w:tcPr>
            <w:tcW w:type="dxa" w:w="1584"/>
            <w:shd w:val="clear" w:fill="1F2328"/>
          </w:tcPr>
          <w:p>
            <w:r/>
            <w:r>
              <w:rPr>
                <w:b/>
                <w:color w:val="FFFFFF"/>
                <w:sz w:val="19"/>
              </w:rPr>
              <w:t>Illustrative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Faster assessment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Replaces architect workshops (45 → 9 person-days)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~£25k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Fewer wasted sprints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Better sequencing avoids a misdirected sprint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~£40k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Overrun avoidance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Halves overrun probability (0.5 × 20% × £300k)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~£30k</w:t>
            </w:r>
          </w:p>
        </w:tc>
      </w:tr>
    </w:tbl>
    <w:p/>
    <w:p>
      <w:r>
        <w:rPr>
          <w:b/>
          <w:color w:val="1F2328"/>
          <w:sz w:val="23"/>
        </w:rPr>
        <w:t>2. Vendor Mocks &amp; Contract Tests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1F2328"/>
          </w:tcPr>
          <w:p>
            <w:r/>
            <w:r>
              <w:rPr>
                <w:b/>
                <w:color w:val="FFFFFF"/>
                <w:sz w:val="19"/>
              </w:rPr>
              <w:t>Value lever</w:t>
            </w:r>
          </w:p>
        </w:tc>
        <w:tc>
          <w:tcPr>
            <w:tcW w:type="dxa" w:w="4464"/>
            <w:shd w:val="clear" w:fill="1F2328"/>
          </w:tcPr>
          <w:p>
            <w:r/>
            <w:r>
              <w:rPr>
                <w:b/>
                <w:color w:val="FFFFFF"/>
                <w:sz w:val="19"/>
              </w:rPr>
              <w:t>Basis</w:t>
            </w:r>
          </w:p>
        </w:tc>
        <w:tc>
          <w:tcPr>
            <w:tcW w:type="dxa" w:w="1584"/>
            <w:shd w:val="clear" w:fill="1F2328"/>
          </w:tcPr>
          <w:p>
            <w:r/>
            <w:r>
              <w:rPr>
                <w:b/>
                <w:color w:val="FFFFFF"/>
                <w:sz w:val="19"/>
              </w:rPr>
              <w:t>Illustrative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Shift-left defects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Contract defects cost ~10× less in design than UAT (60 × £2,700)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~£162k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Schedule compression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Integration testing starts before vendor environments are ready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~£40k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Reusability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Mocks and contracts reused for regression and future upgrades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recurring</w:t>
            </w:r>
          </w:p>
        </w:tc>
      </w:tr>
    </w:tbl>
    <w:p/>
    <w:p>
      <w:r>
        <w:rPr>
          <w:b/>
          <w:color w:val="1F2328"/>
          <w:sz w:val="23"/>
        </w:rPr>
        <w:t>3. Data Migration Assist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1F2328"/>
          </w:tcPr>
          <w:p>
            <w:r/>
            <w:r>
              <w:rPr>
                <w:b/>
                <w:color w:val="FFFFFF"/>
                <w:sz w:val="19"/>
              </w:rPr>
              <w:t>Value lever</w:t>
            </w:r>
          </w:p>
        </w:tc>
        <w:tc>
          <w:tcPr>
            <w:tcW w:type="dxa" w:w="4464"/>
            <w:shd w:val="clear" w:fill="1F2328"/>
          </w:tcPr>
          <w:p>
            <w:r/>
            <w:r>
              <w:rPr>
                <w:b/>
                <w:color w:val="FFFFFF"/>
                <w:sz w:val="19"/>
              </w:rPr>
              <w:t>Basis</w:t>
            </w:r>
          </w:p>
        </w:tc>
        <w:tc>
          <w:tcPr>
            <w:tcW w:type="dxa" w:w="1584"/>
            <w:shd w:val="clear" w:fill="1F2328"/>
          </w:tcPr>
          <w:p>
            <w:r/>
            <w:r>
              <w:rPr>
                <w:b/>
                <w:color w:val="FFFFFF"/>
                <w:sz w:val="19"/>
              </w:rPr>
              <w:t>Illustrative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Fewer failed dry-runs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Early validation avoids ~2 reconciliation dry-runs (£40k each)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~£80k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Go-live defect avoidance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Avoided policy/claim/billing remediation and regulatory risk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~£50k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Automated profiling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Replaces ~20 analyst-days of manual SQL per cycle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~£14k</w:t>
            </w:r>
          </w:p>
        </w:tc>
      </w:tr>
    </w:tbl>
    <w:p/>
    <w:p>
      <w:pPr>
        <w:pStyle w:val="Heading2"/>
      </w:pPr>
      <w:r>
        <w:rPr>
          <w:color w:val="1F2328"/>
        </w:rPr>
        <w:t>Consolidated business case (per programme)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4176"/>
            <w:shd w:val="clear" w:fill="1F2328"/>
          </w:tcPr>
          <w:p>
            <w:r/>
            <w:r>
              <w:rPr>
                <w:b/>
                <w:color w:val="FFFFFF"/>
                <w:sz w:val="19"/>
              </w:rPr>
              <w:t>Line</w:t>
            </w:r>
          </w:p>
        </w:tc>
        <w:tc>
          <w:tcPr>
            <w:tcW w:type="dxa" w:w="1728"/>
            <w:shd w:val="clear" w:fill="1F2328"/>
          </w:tcPr>
          <w:p>
            <w:r/>
            <w:r>
              <w:rPr>
                <w:b/>
                <w:color w:val="FFFFFF"/>
                <w:sz w:val="19"/>
              </w:rPr>
              <w:t>Conservative</w:t>
            </w:r>
          </w:p>
        </w:tc>
        <w:tc>
          <w:tcPr>
            <w:tcW w:type="dxa" w:w="1584"/>
            <w:shd w:val="clear" w:fill="1F2328"/>
          </w:tcPr>
          <w:p>
            <w:r/>
            <w:r>
              <w:rPr>
                <w:b/>
                <w:color w:val="FFFFFF"/>
                <w:sz w:val="19"/>
              </w:rPr>
              <w:t>Base</w:t>
            </w:r>
          </w:p>
        </w:tc>
        <w:tc>
          <w:tcPr>
            <w:tcW w:type="dxa" w:w="1728"/>
            <w:shd w:val="clear" w:fill="1F2328"/>
          </w:tcPr>
          <w:p>
            <w:r/>
            <w:r>
              <w:rPr>
                <w:b/>
                <w:color w:val="FFFFFF"/>
                <w:sz w:val="19"/>
              </w:rPr>
              <w:t>Optimistic</w:t>
            </w:r>
          </w:p>
        </w:tc>
      </w:tr>
      <w:tr>
        <w:tc>
          <w:tcPr>
            <w:tcW w:type="dxa" w:w="4176"/>
          </w:tcPr>
          <w:p>
            <w:r/>
            <w:r>
              <w:rPr>
                <w:b w:val="0"/>
                <w:sz w:val="19"/>
              </w:rPr>
              <w:t>Upgrade readiness scoring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£60k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£95k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£140k</w:t>
            </w:r>
          </w:p>
        </w:tc>
      </w:tr>
      <w:tr>
        <w:tc>
          <w:tcPr>
            <w:tcW w:type="dxa" w:w="4176"/>
          </w:tcPr>
          <w:p>
            <w:r/>
            <w:r>
              <w:rPr>
                <w:b w:val="0"/>
                <w:sz w:val="19"/>
              </w:rPr>
              <w:t>Vendor mocks &amp; contract tests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£110k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£200k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£320k</w:t>
            </w:r>
          </w:p>
        </w:tc>
      </w:tr>
      <w:tr>
        <w:tc>
          <w:tcPr>
            <w:tcW w:type="dxa" w:w="4176"/>
          </w:tcPr>
          <w:p>
            <w:r/>
            <w:r>
              <w:rPr>
                <w:b w:val="0"/>
                <w:sz w:val="19"/>
              </w:rPr>
              <w:t>Data migration assist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£90k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£150k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£230k</w:t>
            </w:r>
          </w:p>
        </w:tc>
      </w:tr>
      <w:tr>
        <w:tc>
          <w:tcPr>
            <w:tcW w:type="dxa" w:w="4176"/>
            <w:shd w:val="clear" w:fill="F6F8FA"/>
          </w:tcPr>
          <w:p>
            <w:r/>
            <w:r>
              <w:rPr>
                <w:b/>
                <w:sz w:val="19"/>
              </w:rPr>
              <w:t>Total gross benefit / programme</w:t>
            </w:r>
          </w:p>
        </w:tc>
        <w:tc>
          <w:tcPr>
            <w:tcW w:type="dxa" w:w="1728"/>
            <w:shd w:val="clear" w:fill="F6F8FA"/>
          </w:tcPr>
          <w:p>
            <w:r/>
            <w:r>
              <w:rPr>
                <w:b/>
                <w:sz w:val="19"/>
              </w:rPr>
              <w:t>£260k</w:t>
            </w:r>
          </w:p>
        </w:tc>
        <w:tc>
          <w:tcPr>
            <w:tcW w:type="dxa" w:w="1584"/>
            <w:shd w:val="clear" w:fill="F6F8FA"/>
          </w:tcPr>
          <w:p>
            <w:r/>
            <w:r>
              <w:rPr>
                <w:b/>
                <w:sz w:val="19"/>
              </w:rPr>
              <w:t>£445k</w:t>
            </w:r>
          </w:p>
        </w:tc>
        <w:tc>
          <w:tcPr>
            <w:tcW w:type="dxa" w:w="1728"/>
            <w:shd w:val="clear" w:fill="F6F8FA"/>
          </w:tcPr>
          <w:p>
            <w:r/>
            <w:r>
              <w:rPr>
                <w:b/>
                <w:sz w:val="19"/>
              </w:rPr>
              <w:t>£690k</w:t>
            </w:r>
          </w:p>
        </w:tc>
      </w:tr>
      <w:tr>
        <w:tc>
          <w:tcPr>
            <w:tcW w:type="dxa" w:w="4176"/>
          </w:tcPr>
          <w:p>
            <w:r/>
            <w:r>
              <w:rPr>
                <w:b w:val="0"/>
                <w:sz w:val="19"/>
              </w:rPr>
              <w:t>Investment (year 1: £120k build + £20k run)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£140k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£140k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£140k</w:t>
            </w:r>
          </w:p>
        </w:tc>
      </w:tr>
      <w:tr>
        <w:tc>
          <w:tcPr>
            <w:tcW w:type="dxa" w:w="4176"/>
            <w:shd w:val="clear" w:fill="F6F8FA"/>
          </w:tcPr>
          <w:p>
            <w:r/>
            <w:r>
              <w:rPr>
                <w:b/>
                <w:sz w:val="19"/>
              </w:rPr>
              <w:t>Net benefit (year 1)</w:t>
            </w:r>
          </w:p>
        </w:tc>
        <w:tc>
          <w:tcPr>
            <w:tcW w:type="dxa" w:w="1728"/>
            <w:shd w:val="clear" w:fill="F6F8FA"/>
          </w:tcPr>
          <w:p>
            <w:r/>
            <w:r>
              <w:rPr>
                <w:b/>
                <w:sz w:val="19"/>
              </w:rPr>
              <w:t>£120k</w:t>
            </w:r>
          </w:p>
        </w:tc>
        <w:tc>
          <w:tcPr>
            <w:tcW w:type="dxa" w:w="1584"/>
            <w:shd w:val="clear" w:fill="F6F8FA"/>
          </w:tcPr>
          <w:p>
            <w:r/>
            <w:r>
              <w:rPr>
                <w:b/>
                <w:sz w:val="19"/>
              </w:rPr>
              <w:t>£305k</w:t>
            </w:r>
          </w:p>
        </w:tc>
        <w:tc>
          <w:tcPr>
            <w:tcW w:type="dxa" w:w="1728"/>
            <w:shd w:val="clear" w:fill="F6F8FA"/>
          </w:tcPr>
          <w:p>
            <w:r/>
            <w:r>
              <w:rPr>
                <w:b/>
                <w:sz w:val="19"/>
              </w:rPr>
              <w:t>£550k</w:t>
            </w:r>
          </w:p>
        </w:tc>
      </w:tr>
      <w:tr>
        <w:tc>
          <w:tcPr>
            <w:tcW w:type="dxa" w:w="4176"/>
            <w:shd w:val="clear" w:fill="F6F8FA"/>
          </w:tcPr>
          <w:p>
            <w:r/>
            <w:r>
              <w:rPr>
                <w:b/>
                <w:sz w:val="19"/>
              </w:rPr>
              <w:t>ROI (year 1)</w:t>
            </w:r>
          </w:p>
        </w:tc>
        <w:tc>
          <w:tcPr>
            <w:tcW w:type="dxa" w:w="1728"/>
            <w:shd w:val="clear" w:fill="F6F8FA"/>
          </w:tcPr>
          <w:p>
            <w:r/>
            <w:r>
              <w:rPr>
                <w:b/>
                <w:sz w:val="19"/>
              </w:rPr>
              <w:t>86%</w:t>
            </w:r>
          </w:p>
        </w:tc>
        <w:tc>
          <w:tcPr>
            <w:tcW w:type="dxa" w:w="1584"/>
            <w:shd w:val="clear" w:fill="F6F8FA"/>
          </w:tcPr>
          <w:p>
            <w:r/>
            <w:r>
              <w:rPr>
                <w:b/>
                <w:sz w:val="19"/>
              </w:rPr>
              <w:t>218%</w:t>
            </w:r>
          </w:p>
        </w:tc>
        <w:tc>
          <w:tcPr>
            <w:tcW w:type="dxa" w:w="1728"/>
            <w:shd w:val="clear" w:fill="F6F8FA"/>
          </w:tcPr>
          <w:p>
            <w:r/>
            <w:r>
              <w:rPr>
                <w:b/>
                <w:sz w:val="19"/>
              </w:rPr>
              <w:t>393%</w:t>
            </w:r>
          </w:p>
        </w:tc>
      </w:tr>
      <w:tr>
        <w:tc>
          <w:tcPr>
            <w:tcW w:type="dxa" w:w="4176"/>
            <w:shd w:val="clear" w:fill="F6F8FA"/>
          </w:tcPr>
          <w:p>
            <w:r/>
            <w:r>
              <w:rPr>
                <w:b/>
                <w:sz w:val="19"/>
              </w:rPr>
              <w:t>Payback period</w:t>
            </w:r>
          </w:p>
        </w:tc>
        <w:tc>
          <w:tcPr>
            <w:tcW w:type="dxa" w:w="1728"/>
            <w:shd w:val="clear" w:fill="F6F8FA"/>
          </w:tcPr>
          <w:p>
            <w:r/>
            <w:r>
              <w:rPr>
                <w:b/>
                <w:sz w:val="19"/>
              </w:rPr>
              <w:t>~7 months</w:t>
            </w:r>
          </w:p>
        </w:tc>
        <w:tc>
          <w:tcPr>
            <w:tcW w:type="dxa" w:w="1584"/>
            <w:shd w:val="clear" w:fill="F6F8FA"/>
          </w:tcPr>
          <w:p>
            <w:r/>
            <w:r>
              <w:rPr>
                <w:b/>
                <w:sz w:val="19"/>
              </w:rPr>
              <w:t>~4 months</w:t>
            </w:r>
          </w:p>
        </w:tc>
        <w:tc>
          <w:tcPr>
            <w:tcW w:type="dxa" w:w="1728"/>
            <w:shd w:val="clear" w:fill="F6F8FA"/>
          </w:tcPr>
          <w:p>
            <w:r/>
            <w:r>
              <w:rPr>
                <w:b/>
                <w:sz w:val="19"/>
              </w:rPr>
              <w:t>~2.5 months</w:t>
            </w:r>
          </w:p>
        </w:tc>
      </w:tr>
    </w:tbl>
    <w:p/>
    <w:p>
      <w:pPr>
        <w:pStyle w:val="Heading2"/>
      </w:pPr>
      <w:r>
        <w:rPr>
          <w:color w:val="1F2328"/>
        </w:rPr>
        <w:t>Key assumptions</w:t>
      </w:r>
    </w:p>
    <w:p>
      <w:pPr>
        <w:pStyle w:val="ListBullet"/>
        <w:spacing w:after="40"/>
      </w:pPr>
      <w:r>
        <w:t>Blended day rate £700; programme ~£2M over 6–12 months; ~20 integrations.</w:t>
      </w:r>
    </w:p>
    <w:p>
      <w:pPr>
        <w:pStyle w:val="ListBullet"/>
        <w:spacing w:after="40"/>
      </w:pPr>
      <w:r>
        <w:t>Defect remediation ~£300 in design vs ~£3,000 in UAT (~10× phase multiplier).</w:t>
      </w:r>
    </w:p>
    <w:p>
      <w:pPr>
        <w:pStyle w:val="ListBullet"/>
        <w:spacing w:after="40"/>
      </w:pPr>
      <w:r>
        <w:t>Investment: £120k one-off productionisation + £20k/year to run.</w:t>
      </w:r>
    </w:p>
    <w:p>
      <w:pPr>
        <w:pStyle w:val="ListBullet"/>
        <w:spacing w:after="40"/>
      </w:pPr>
      <w:r>
        <w:t>Cadence: 1–2 upgrade programmes/year. Accelerators are reusable assets — year 2+ carries only the ~£20k run cost, so ROI rises sharply.</w:t>
      </w:r>
    </w:p>
    <w:p>
      <w:pPr>
        <w:pStyle w:val="ListBullet"/>
        <w:spacing w:after="40"/>
      </w:pPr>
      <w:r>
        <w:t>All figures are illustrative; replace with client baselines. The app already captures many of the required inputs (integration inventory, coverage %, data quality, customisation footprint).</w:t>
      </w:r>
    </w:p>
    <w:p>
      <w:pPr>
        <w:pStyle w:val="Heading2"/>
      </w:pPr>
      <w:r>
        <w:rPr>
          <w:color w:val="1F2328"/>
        </w:rPr>
        <w:t>Sensitivity</w:t>
      </w:r>
    </w:p>
    <w:p>
      <w:pPr>
        <w:pStyle w:val="ListBullet"/>
        <w:spacing w:after="40"/>
      </w:pPr>
      <w:r>
        <w:t>Most sensitive to: blended day rate, defect-leakage volume and the phase multiplier, and number of programmes per year.</w:t>
      </w:r>
    </w:p>
    <w:p>
      <w:pPr>
        <w:pStyle w:val="ListBullet"/>
        <w:spacing w:after="40"/>
      </w:pPr>
      <w:r>
        <w:t>Reuse is the largest multiplier — each additional upgrade adds near-full benefit at close to zero marginal build cost.</w:t>
      </w:r>
    </w:p>
    <w:p>
      <w:pPr>
        <w:pStyle w:val="ListBullet"/>
        <w:spacing w:after="40"/>
      </w:pPr>
      <w:r>
        <w:t>Even at the conservative case (86% year-1 ROI) the suite pays back inside two quarters.</w:t>
      </w:r>
    </w:p>
    <w:p>
      <w:pPr>
        <w:pStyle w:val="Heading2"/>
      </w:pPr>
      <w:r>
        <w:rPr>
          <w:color w:val="1F2328"/>
        </w:rPr>
        <w:t>Evidencing realised ROI</w:t>
      </w:r>
    </w:p>
    <w:p>
      <w:pPr>
        <w:spacing w:after="120"/>
      </w:pPr>
      <w:r>
        <w:t>Track these leading indicators per area to prove the benefit is being realised: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4320"/>
        <w:gridCol w:w="4320"/>
      </w:tblGrid>
      <w:tr>
        <w:tc>
          <w:tcPr>
            <w:tcW w:type="dxa" w:w="3312"/>
            <w:shd w:val="clear" w:fill="1F2328"/>
          </w:tcPr>
          <w:p>
            <w:r/>
            <w:r>
              <w:rPr>
                <w:b/>
                <w:color w:val="FFFFFF"/>
                <w:sz w:val="19"/>
              </w:rPr>
              <w:t>Accelerator</w:t>
            </w:r>
          </w:p>
        </w:tc>
        <w:tc>
          <w:tcPr>
            <w:tcW w:type="dxa" w:w="5616"/>
            <w:shd w:val="clear" w:fill="1F2328"/>
          </w:tcPr>
          <w:p>
            <w:r/>
            <w:r>
              <w:rPr>
                <w:b/>
                <w:color w:val="FFFFFF"/>
                <w:sz w:val="19"/>
              </w:rPr>
              <w:t>Leading indicators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Upgrade Readiness Scoring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9"/>
              </w:rPr>
              <w:t>Assessment cycle time; blockers found pre-build vs in-build; estimate accuracy; overrun %.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Vendor Mocks &amp; Contract Tests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9"/>
              </w:rPr>
              <w:t>Defect escape rate by phase; integration test start vs vendor readiness; blocked test-days avoided; contract coverage %.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Data Migration Assist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9"/>
              </w:rPr>
              <w:t>Dry-run count; first-time reconciliation pass rate; defects per 10k records; post-go-live data incidents.</w:t>
            </w:r>
          </w:p>
        </w:tc>
      </w:tr>
    </w:tbl>
    <w:p/>
    <w:p>
      <w:r>
        <w:rPr>
          <w:i/>
          <w:color w:val="656D76"/>
          <w:sz w:val="18"/>
        </w:rPr>
        <w:t>Figures are illustrative and should be replaced with client baselines before use in a funding decision.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