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2328"/>
          <w:sz w:val="52"/>
        </w:rPr>
        <w:t>Guidewire Upgrade Readiness Assistant</w:t>
      </w:r>
    </w:p>
    <w:p>
      <w:pPr>
        <w:jc w:val="center"/>
      </w:pPr>
      <w:r>
        <w:rPr>
          <w:color w:val="656D76"/>
          <w:sz w:val="26"/>
        </w:rPr>
        <w:t>Feature Guide — Readiness Scoring, Risk Heatmap, Vendor Mocks, Contract Tests &amp; Data Migration</w:t>
      </w:r>
    </w:p>
    <w:p/>
    <w:p>
      <w:pPr>
        <w:jc w:val="center"/>
      </w:pPr>
      <w:r>
        <w:drawing>
          <wp:inline xmlns:a="http://schemas.openxmlformats.org/drawingml/2006/main" xmlns:pic="http://schemas.openxmlformats.org/drawingml/2006/picture">
            <wp:extent cx="5852160" cy="265176"/>
            <wp:docPr id="1" name="Picture 1"/>
            <wp:cNvGraphicFramePr>
              <a:graphicFrameLocks noChangeAspect="1"/>
            </wp:cNvGraphicFramePr>
            <a:graphic>
              <a:graphicData uri="http://schemas.openxmlformats.org/drawingml/2006/picture">
                <pic:pic>
                  <pic:nvPicPr>
                    <pic:cNvPr id="0" name="home_header.png"/>
                    <pic:cNvPicPr/>
                  </pic:nvPicPr>
                  <pic:blipFill>
                    <a:blip r:embed="rId9"/>
                    <a:stretch>
                      <a:fillRect/>
                    </a:stretch>
                  </pic:blipFill>
                  <pic:spPr>
                    <a:xfrm>
                      <a:off x="0" y="0"/>
                      <a:ext cx="5852160" cy="265176"/>
                    </a:xfrm>
                    <a:prstGeom prst="rect"/>
                  </pic:spPr>
                </pic:pic>
              </a:graphicData>
            </a:graphic>
          </wp:inline>
        </w:drawing>
      </w:r>
    </w:p>
    <w:p/>
    <w:p>
      <w:pPr>
        <w:spacing w:after="120"/>
      </w:pPr>
      <w:r>
        <w:t>The Guidewire Upgrade Readiness Assistant is a Next.js prototype delivery accelerator that helps programme managers, Guidewire architects, and test leads assess InsuranceSuite upgrade and cloud-migration risk before committing to a delivery plan. It pairs a deterministic rule engine with AI-generated steering recommendations produced by Claude (model claude-opus-4-8).</w:t>
      </w:r>
    </w:p>
    <w:p>
      <w:r>
        <w:rPr>
          <w:b/>
        </w:rPr>
        <w:t xml:space="preserve">What's new in this release: </w:t>
      </w:r>
      <w:r>
        <w:t>one-click sample scenarios across every tool, a six-dimension risk heatmap, and a downloadable / printable steering pack for the readiness assessment.</w:t>
      </w:r>
    </w:p>
    <w:p>
      <w:r>
        <w:rPr>
          <w:b/>
        </w:rPr>
        <w:t xml:space="preserve">AI configuration: </w:t>
      </w:r>
      <w:r>
        <w:t xml:space="preserve">AI features are enabled by setting the </w:t>
      </w:r>
      <w:r>
        <w:rPr>
          <w:rFonts w:ascii="Consolas" w:hAnsi="Consolas"/>
          <w:sz w:val="20"/>
        </w:rPr>
        <w:t>ANTHROPIC_API_KEY</w:t>
      </w:r>
      <w:r>
        <w:t xml:space="preserve"> environment variable. When it is not set, every screen falls back to deterministic summaries built from the rule engine, so the application is always demoable. The advisory and remediation screenshots in this document show that deterministic fallback; with a key configured, those sections are authored by Claude.</w:t>
      </w:r>
    </w:p>
    <w:p>
      <w:r>
        <w:br w:type="page"/>
      </w:r>
    </w:p>
    <w:p>
      <w:pPr>
        <w:pStyle w:val="Heading1"/>
      </w:pPr>
      <w:r>
        <w:rPr>
          <w:color w:val="0969DA"/>
        </w:rPr>
        <w:t>Overview</w:t>
      </w:r>
    </w:p>
    <w:p>
      <w:pPr>
        <w:spacing w:after="120"/>
      </w:pPr>
      <w:r>
        <w:t>The application is organised into a landing page and three feature tools, reachable from the top navigation bar:</w:t>
      </w:r>
    </w:p>
    <w:p>
      <w:pPr>
        <w:pStyle w:val="ListBullet"/>
        <w:spacing w:after="40"/>
      </w:pPr>
      <w:r>
        <w:t>Upgrade Readiness Scoring — score upgrade risk, view a risk heatmap, and generate an AI go/no-go advisory you can export as a steering pack.</w:t>
      </w:r>
    </w:p>
    <w:p>
      <w:pPr>
        <w:pStyle w:val="ListBullet"/>
        <w:spacing w:after="40"/>
      </w:pPr>
      <w:r>
        <w:t>Vendor Mocks &amp; Contract Tests — simulate vendor endpoints and validate integration payloads against agreed contracts.</w:t>
      </w:r>
    </w:p>
    <w:p>
      <w:pPr>
        <w:pStyle w:val="ListBullet"/>
        <w:spacing w:after="40"/>
      </w:pPr>
      <w:r>
        <w:t>Data Migration Assist — validate source-to-target records and generate an AI remediation plan.</w:t>
      </w:r>
    </w:p>
    <w:p>
      <w:pPr>
        <w:spacing w:after="120"/>
      </w:pPr>
      <w:r>
        <w:t>Each tool ships one-click sample scenarios so it is self-demonstrating without any data entry.</w:t>
      </w:r>
    </w:p>
    <w:p>
      <w:pPr>
        <w:jc w:val="center"/>
      </w:pPr>
      <w:r>
        <w:drawing>
          <wp:inline xmlns:a="http://schemas.openxmlformats.org/drawingml/2006/main" xmlns:pic="http://schemas.openxmlformats.org/drawingml/2006/picture">
            <wp:extent cx="5486400" cy="3779520"/>
            <wp:docPr id="2" name="Picture 2"/>
            <wp:cNvGraphicFramePr>
              <a:graphicFrameLocks noChangeAspect="1"/>
            </wp:cNvGraphicFramePr>
            <a:graphic>
              <a:graphicData uri="http://schemas.openxmlformats.org/drawingml/2006/picture">
                <pic:pic>
                  <pic:nvPicPr>
                    <pic:cNvPr id="0" name="home_main.png"/>
                    <pic:cNvPicPr/>
                  </pic:nvPicPr>
                  <pic:blipFill>
                    <a:blip r:embed="rId10"/>
                    <a:stretch>
                      <a:fillRect/>
                    </a:stretch>
                  </pic:blipFill>
                  <pic:spPr>
                    <a:xfrm>
                      <a:off x="0" y="0"/>
                      <a:ext cx="5486400" cy="3779520"/>
                    </a:xfrm>
                    <a:prstGeom prst="rect"/>
                  </pic:spPr>
                </pic:pic>
              </a:graphicData>
            </a:graphic>
          </wp:inline>
        </w:drawing>
      </w:r>
    </w:p>
    <w:p>
      <w:pPr>
        <w:spacing w:after="240"/>
        <w:jc w:val="center"/>
      </w:pPr>
      <w:r>
        <w:rPr>
          <w:i/>
          <w:color w:val="656D76"/>
          <w:sz w:val="18"/>
        </w:rPr>
        <w:t>Figure: Landing page with feature navigation and a summary of how scoring and AI advisories work.</w:t>
      </w:r>
    </w:p>
    <w:p>
      <w:r>
        <w:br w:type="page"/>
      </w:r>
    </w:p>
    <w:p>
      <w:pPr>
        <w:pStyle w:val="Heading1"/>
      </w:pPr>
      <w:r>
        <w:rPr>
          <w:color w:val="0969DA"/>
        </w:rPr>
        <w:t>1. Upgrade Readiness Scoring</w:t>
      </w:r>
    </w:p>
    <w:p>
      <w:pPr>
        <w:spacing w:after="120"/>
      </w:pPr>
      <w:r>
        <w:t>This tool captures the programme's upgrade profile — current and target versions, customisation footprint (Gosu classes, entities, typelists, PCF files), batch processes, test coverage, data quality, known blockers, and an integration inventory. All inputs are editable, and each integration can be toggled for whether it has a mock and a contract test.</w:t>
      </w:r>
    </w:p>
    <w:p>
      <w:r>
        <w:rPr>
          <w:b/>
        </w:rPr>
        <w:t>Sample scenarios.</w:t>
      </w:r>
      <w:r>
        <w:rPr>
          <w:b/>
          <w:color w:val="FFFFFF"/>
          <w:sz w:val="16"/>
          <w:shd w:val="clear" w:fill="8250DF"/>
        </w:rPr>
        <w:t xml:space="preserve">  NEW  </w:t>
      </w:r>
      <w:r>
        <w:t xml:space="preserve"> The 'Load a sample scenario' chips populate the entire form with one click — Cloud-ready (low risk), Typical programme (medium), or Heavy customisation (high risk) — so you can demonstrate the tool instantly. The screenshot below shows the Heavy customisation scenario loaded.</w:t>
      </w:r>
    </w:p>
    <w:p>
      <w:pPr>
        <w:jc w:val="center"/>
      </w:pPr>
      <w:r>
        <w:drawing>
          <wp:inline xmlns:a="http://schemas.openxmlformats.org/drawingml/2006/main" xmlns:pic="http://schemas.openxmlformats.org/drawingml/2006/picture">
            <wp:extent cx="5486400" cy="3285460"/>
            <wp:docPr id="3" name="Picture 3"/>
            <wp:cNvGraphicFramePr>
              <a:graphicFrameLocks noChangeAspect="1"/>
            </wp:cNvGraphicFramePr>
            <a:graphic>
              <a:graphicData uri="http://schemas.openxmlformats.org/drawingml/2006/picture">
                <pic:pic>
                  <pic:nvPicPr>
                    <pic:cNvPr id="0" name="readiness_presets.png"/>
                    <pic:cNvPicPr/>
                  </pic:nvPicPr>
                  <pic:blipFill>
                    <a:blip r:embed="rId11"/>
                    <a:stretch>
                      <a:fillRect/>
                    </a:stretch>
                  </pic:blipFill>
                  <pic:spPr>
                    <a:xfrm>
                      <a:off x="0" y="0"/>
                      <a:ext cx="5486400" cy="3285460"/>
                    </a:xfrm>
                    <a:prstGeom prst="rect"/>
                  </pic:spPr>
                </pic:pic>
              </a:graphicData>
            </a:graphic>
          </wp:inline>
        </w:drawing>
      </w:r>
    </w:p>
    <w:p>
      <w:pPr>
        <w:spacing w:after="240"/>
        <w:jc w:val="center"/>
      </w:pPr>
      <w:r>
        <w:rPr>
          <w:i/>
          <w:color w:val="656D76"/>
          <w:sz w:val="18"/>
        </w:rPr>
        <w:t>Figure: Editable programme inputs with one-click sample-scenario chips (Heavy customisation loaded).</w:t>
      </w:r>
    </w:p>
    <w:p>
      <w:pPr>
        <w:spacing w:after="120"/>
      </w:pPr>
      <w:r>
        <w:t>Submitting the form calls POST /api/ai/advisory, which runs the rule engine to produce a 0–100 readiness index and a risk level (LOW / MEDIUM / HIGH / CRITICAL), along with prioritised findings across customisation, integrations, testing, and data.</w:t>
      </w:r>
    </w:p>
    <w:p>
      <w:pPr>
        <w:jc w:val="center"/>
      </w:pPr>
      <w:r>
        <w:drawing>
          <wp:inline xmlns:a="http://schemas.openxmlformats.org/drawingml/2006/main" xmlns:pic="http://schemas.openxmlformats.org/drawingml/2006/picture">
            <wp:extent cx="5486400" cy="4752753"/>
            <wp:docPr id="4" name="Picture 4"/>
            <wp:cNvGraphicFramePr>
              <a:graphicFrameLocks noChangeAspect="1"/>
            </wp:cNvGraphicFramePr>
            <a:graphic>
              <a:graphicData uri="http://schemas.openxmlformats.org/drawingml/2006/picture">
                <pic:pic>
                  <pic:nvPicPr>
                    <pic:cNvPr id="0" name="readiness_score.png"/>
                    <pic:cNvPicPr/>
                  </pic:nvPicPr>
                  <pic:blipFill>
                    <a:blip r:embed="rId12"/>
                    <a:stretch>
                      <a:fillRect/>
                    </a:stretch>
                  </pic:blipFill>
                  <pic:spPr>
                    <a:xfrm>
                      <a:off x="0" y="0"/>
                      <a:ext cx="5486400" cy="4752753"/>
                    </a:xfrm>
                    <a:prstGeom prst="rect"/>
                  </pic:spPr>
                </pic:pic>
              </a:graphicData>
            </a:graphic>
          </wp:inline>
        </w:drawing>
      </w:r>
    </w:p>
    <w:p>
      <w:pPr>
        <w:spacing w:after="240"/>
        <w:jc w:val="center"/>
      </w:pPr>
      <w:r>
        <w:rPr>
          <w:i/>
          <w:color w:val="656D76"/>
          <w:sz w:val="18"/>
        </w:rPr>
        <w:t>Figure: Computed readiness score, risk level, and rule-based findings.</w:t>
      </w:r>
    </w:p>
    <w:p>
      <w:r>
        <w:rPr>
          <w:b/>
        </w:rPr>
        <w:t>Risk heatmap.</w:t>
      </w:r>
      <w:r>
        <w:rPr>
          <w:b/>
          <w:color w:val="FFFFFF"/>
          <w:sz w:val="16"/>
          <w:shd w:val="clear" w:fill="8250DF"/>
        </w:rPr>
        <w:t xml:space="preserve">  NEW  </w:t>
      </w:r>
      <w:r>
        <w:t xml:space="preserve"> The assessment now renders a colour-coded heatmap across the six upgrade dimensions — custom code, data, integration, testing, security, and environments. Custom code, data, integration, and testing are derived directly from the inputs; security and environments are lightweight heuristic estimates in this prototype and are flagged accordingly. Higher health scores mean lower risk.</w:t>
      </w:r>
    </w:p>
    <w:p>
      <w:pPr>
        <w:jc w:val="center"/>
      </w:pPr>
      <w:r>
        <w:drawing>
          <wp:inline xmlns:a="http://schemas.openxmlformats.org/drawingml/2006/main" xmlns:pic="http://schemas.openxmlformats.org/drawingml/2006/picture">
            <wp:extent cx="5852160" cy="1400662"/>
            <wp:docPr id="5" name="Picture 5"/>
            <wp:cNvGraphicFramePr>
              <a:graphicFrameLocks noChangeAspect="1"/>
            </wp:cNvGraphicFramePr>
            <a:graphic>
              <a:graphicData uri="http://schemas.openxmlformats.org/drawingml/2006/picture">
                <pic:pic>
                  <pic:nvPicPr>
                    <pic:cNvPr id="0" name="readiness_heatmap.png"/>
                    <pic:cNvPicPr/>
                  </pic:nvPicPr>
                  <pic:blipFill>
                    <a:blip r:embed="rId13"/>
                    <a:stretch>
                      <a:fillRect/>
                    </a:stretch>
                  </pic:blipFill>
                  <pic:spPr>
                    <a:xfrm>
                      <a:off x="0" y="0"/>
                      <a:ext cx="5852160" cy="1400662"/>
                    </a:xfrm>
                    <a:prstGeom prst="rect"/>
                  </pic:spPr>
                </pic:pic>
              </a:graphicData>
            </a:graphic>
          </wp:inline>
        </w:drawing>
      </w:r>
    </w:p>
    <w:p>
      <w:pPr>
        <w:spacing w:after="240"/>
        <w:jc w:val="center"/>
      </w:pPr>
      <w:r>
        <w:rPr>
          <w:i/>
          <w:color w:val="656D76"/>
          <w:sz w:val="18"/>
        </w:rPr>
        <w:t>Figure: Six-dimension risk heatmap; 'heuristic' dimensions are estimated from available inputs.</w:t>
      </w:r>
    </w:p>
    <w:p>
      <w:pPr>
        <w:spacing w:after="120"/>
      </w:pPr>
      <w:r>
        <w:t>Claude then turns that evidence into a steering advisory: an executive summary, a GO / CONDITIONAL GO / NO-GO recommendation with a confidence level, a key-risks table with business impact, a prioritised remediation backlog (P0–P3), and a suggested upgrade sprint plan.</w:t>
      </w:r>
    </w:p>
    <w:p>
      <w:r>
        <w:rPr>
          <w:b/>
        </w:rPr>
        <w:t>Steering pack export.</w:t>
      </w:r>
      <w:r>
        <w:rPr>
          <w:b/>
          <w:color w:val="FFFFFF"/>
          <w:sz w:val="16"/>
          <w:shd w:val="clear" w:fill="8250DF"/>
        </w:rPr>
        <w:t xml:space="preserve">  NEW  </w:t>
      </w:r>
      <w:r>
        <w:t xml:space="preserve"> From the advisory you can download a Markdown steering pack (score, heatmap, key risks, findings, backlog, and sprint plan) or use Print / Save as PDF — a print stylesheet hides the inputs and page chrome so only the results are printed. The export buttons appear at the bottom of the advisory card.</w:t>
      </w:r>
    </w:p>
    <w:p>
      <w:pPr>
        <w:jc w:val="center"/>
      </w:pPr>
      <w:r>
        <w:drawing>
          <wp:inline xmlns:a="http://schemas.openxmlformats.org/drawingml/2006/main" xmlns:pic="http://schemas.openxmlformats.org/drawingml/2006/picture">
            <wp:extent cx="4937760" cy="6090861"/>
            <wp:docPr id="6" name="Picture 6"/>
            <wp:cNvGraphicFramePr>
              <a:graphicFrameLocks noChangeAspect="1"/>
            </wp:cNvGraphicFramePr>
            <a:graphic>
              <a:graphicData uri="http://schemas.openxmlformats.org/drawingml/2006/picture">
                <pic:pic>
                  <pic:nvPicPr>
                    <pic:cNvPr id="0" name="readiness_advisory.png"/>
                    <pic:cNvPicPr/>
                  </pic:nvPicPr>
                  <pic:blipFill>
                    <a:blip r:embed="rId14"/>
                    <a:stretch>
                      <a:fillRect/>
                    </a:stretch>
                  </pic:blipFill>
                  <pic:spPr>
                    <a:xfrm>
                      <a:off x="0" y="0"/>
                      <a:ext cx="4937760" cy="6090861"/>
                    </a:xfrm>
                    <a:prstGeom prst="rect"/>
                  </pic:spPr>
                </pic:pic>
              </a:graphicData>
            </a:graphic>
          </wp:inline>
        </w:drawing>
      </w:r>
    </w:p>
    <w:p>
      <w:pPr>
        <w:spacing w:after="240"/>
        <w:jc w:val="center"/>
      </w:pPr>
      <w:r>
        <w:rPr>
          <w:i/>
          <w:color w:val="656D76"/>
          <w:sz w:val="18"/>
        </w:rPr>
        <w:t>Figure: AI upgrade advisory with go/no-go, key risks, remediation backlog, sprint plan, and export buttons (deterministic fallback shown).</w:t>
      </w:r>
    </w:p>
    <w:p>
      <w:r>
        <w:br w:type="page"/>
      </w:r>
    </w:p>
    <w:p>
      <w:pPr>
        <w:pStyle w:val="Heading1"/>
      </w:pPr>
      <w:r>
        <w:rPr>
          <w:color w:val="0969DA"/>
        </w:rPr>
        <w:t>2. Vendor Mocks &amp; Contract Tests</w:t>
      </w:r>
    </w:p>
    <w:p>
      <w:pPr>
        <w:spacing w:after="120"/>
      </w:pPr>
      <w:r>
        <w:t>This tool helps integration teams de-risk vendor dependencies during an upgrade. The vendor mock simulates Guidewire's external integrations — fraud scoring, document generation, payment, and address validation — and supports failure scenarios (happy path, 5-second timeout, 500 server error, and 401 unauthorised) so teams can rehearse error handling. The request body is fully editable and the live mock response (with its HTTP status) is displayed.</w:t>
      </w:r>
    </w:p>
    <w:p>
      <w:pPr>
        <w:jc w:val="center"/>
      </w:pPr>
      <w:r>
        <w:drawing>
          <wp:inline xmlns:a="http://schemas.openxmlformats.org/drawingml/2006/main" xmlns:pic="http://schemas.openxmlformats.org/drawingml/2006/picture">
            <wp:extent cx="5486400" cy="3482163"/>
            <wp:docPr id="7" name="Picture 7"/>
            <wp:cNvGraphicFramePr>
              <a:graphicFrameLocks noChangeAspect="1"/>
            </wp:cNvGraphicFramePr>
            <a:graphic>
              <a:graphicData uri="http://schemas.openxmlformats.org/drawingml/2006/picture">
                <pic:pic>
                  <pic:nvPicPr>
                    <pic:cNvPr id="0" name="vendor_mock.png"/>
                    <pic:cNvPicPr/>
                  </pic:nvPicPr>
                  <pic:blipFill>
                    <a:blip r:embed="rId15"/>
                    <a:stretch>
                      <a:fillRect/>
                    </a:stretch>
                  </pic:blipFill>
                  <pic:spPr>
                    <a:xfrm>
                      <a:off x="0" y="0"/>
                      <a:ext cx="5486400" cy="3482163"/>
                    </a:xfrm>
                    <a:prstGeom prst="rect"/>
                  </pic:spPr>
                </pic:pic>
              </a:graphicData>
            </a:graphic>
          </wp:inline>
        </w:drawing>
      </w:r>
    </w:p>
    <w:p>
      <w:pPr>
        <w:spacing w:after="240"/>
        <w:jc w:val="center"/>
      </w:pPr>
      <w:r>
        <w:rPr>
          <w:i/>
          <w:color w:val="656D76"/>
          <w:sz w:val="18"/>
        </w:rPr>
        <w:t>Figure: Vendor mock: editable request, selectable failure scenario, and the live mock response.</w:t>
      </w:r>
    </w:p>
    <w:p>
      <w:r>
        <w:t xml:space="preserve">The contract test validates an outbound integration payload against an agreed JSON Schema contract (fraudRequest, paymentRequest, documentRequest) using AJV. </w:t>
      </w:r>
      <w:r>
        <w:rPr>
          <w:b/>
        </w:rPr>
        <w:t>Valid example and Invalid example buttons</w:t>
      </w:r>
      <w:r>
        <w:rPr>
          <w:b/>
          <w:color w:val="FFFFFF"/>
          <w:sz w:val="16"/>
          <w:shd w:val="clear" w:fill="8250DF"/>
        </w:rPr>
        <w:t xml:space="preserve">  NEW  </w:t>
      </w:r>
      <w:r>
        <w:t xml:space="preserve"> load ready-made payloads so you can show a pass and a failure without typing. The example below loads the invalid fraudRequest payload, producing a FAIL with a table of schema errors (path and message) — the same checks that gate integrations before upgrade system testing.</w:t>
      </w:r>
    </w:p>
    <w:p>
      <w:pPr>
        <w:jc w:val="center"/>
      </w:pPr>
      <w:r>
        <w:drawing>
          <wp:inline xmlns:a="http://schemas.openxmlformats.org/drawingml/2006/main" xmlns:pic="http://schemas.openxmlformats.org/drawingml/2006/picture">
            <wp:extent cx="4846320" cy="5231396"/>
            <wp:docPr id="8" name="Picture 8"/>
            <wp:cNvGraphicFramePr>
              <a:graphicFrameLocks noChangeAspect="1"/>
            </wp:cNvGraphicFramePr>
            <a:graphic>
              <a:graphicData uri="http://schemas.openxmlformats.org/drawingml/2006/picture">
                <pic:pic>
                  <pic:nvPicPr>
                    <pic:cNvPr id="0" name="vendor_contract.png"/>
                    <pic:cNvPicPr/>
                  </pic:nvPicPr>
                  <pic:blipFill>
                    <a:blip r:embed="rId16"/>
                    <a:stretch>
                      <a:fillRect/>
                    </a:stretch>
                  </pic:blipFill>
                  <pic:spPr>
                    <a:xfrm>
                      <a:off x="0" y="0"/>
                      <a:ext cx="4846320" cy="5231396"/>
                    </a:xfrm>
                    <a:prstGeom prst="rect"/>
                  </pic:spPr>
                </pic:pic>
              </a:graphicData>
            </a:graphic>
          </wp:inline>
        </w:drawing>
      </w:r>
    </w:p>
    <w:p>
      <w:pPr>
        <w:spacing w:after="240"/>
        <w:jc w:val="center"/>
      </w:pPr>
      <w:r>
        <w:rPr>
          <w:i/>
          <w:color w:val="656D76"/>
          <w:sz w:val="18"/>
        </w:rPr>
        <w:t>Figure: Contract test with the Invalid example loaded, showing a FAIL result and the schema validation errors table.</w:t>
      </w:r>
    </w:p>
    <w:p>
      <w:r>
        <w:br w:type="page"/>
      </w:r>
    </w:p>
    <w:p>
      <w:pPr>
        <w:pStyle w:val="Heading1"/>
      </w:pPr>
      <w:r>
        <w:rPr>
          <w:color w:val="0969DA"/>
        </w:rPr>
        <w:t>3. Data Migration Assist</w:t>
      </w:r>
    </w:p>
    <w:p>
      <w:pPr>
        <w:spacing w:after="120"/>
      </w:pPr>
      <w:r>
        <w:t>This tool validates candidate source-to-target migration records for Guidewire entities (Account, Policy, Claim, Exposure, Contact, BillingAccount). The records are provided as editable JSON so teams can test different data scenarios.</w:t>
      </w:r>
    </w:p>
    <w:p>
      <w:r>
        <w:rPr>
          <w:b/>
        </w:rPr>
        <w:t>Sample datasets.</w:t>
      </w:r>
      <w:r>
        <w:rPr>
          <w:b/>
          <w:color w:val="FFFFFF"/>
          <w:sz w:val="16"/>
          <w:shd w:val="clear" w:fill="8250DF"/>
        </w:rPr>
        <w:t xml:space="preserve">  NEW  </w:t>
      </w:r>
      <w:r>
        <w:t xml:space="preserve"> The dataset chips load a Clean dataset, Common defects, or Critical blockers set with one click. The screenshot shows the Critical blockers dataset loaded.</w:t>
      </w:r>
    </w:p>
    <w:p>
      <w:pPr>
        <w:jc w:val="center"/>
      </w:pPr>
      <w:r>
        <w:drawing>
          <wp:inline xmlns:a="http://schemas.openxmlformats.org/drawingml/2006/main" xmlns:pic="http://schemas.openxmlformats.org/drawingml/2006/picture">
            <wp:extent cx="5486400" cy="2929270"/>
            <wp:docPr id="9" name="Picture 9"/>
            <wp:cNvGraphicFramePr>
              <a:graphicFrameLocks noChangeAspect="1"/>
            </wp:cNvGraphicFramePr>
            <a:graphic>
              <a:graphicData uri="http://schemas.openxmlformats.org/drawingml/2006/picture">
                <pic:pic>
                  <pic:nvPicPr>
                    <pic:cNvPr id="0" name="migration_presets.png"/>
                    <pic:cNvPicPr/>
                  </pic:nvPicPr>
                  <pic:blipFill>
                    <a:blip r:embed="rId17"/>
                    <a:stretch>
                      <a:fillRect/>
                    </a:stretch>
                  </pic:blipFill>
                  <pic:spPr>
                    <a:xfrm>
                      <a:off x="0" y="0"/>
                      <a:ext cx="5486400" cy="2929270"/>
                    </a:xfrm>
                    <a:prstGeom prst="rect"/>
                  </pic:spPr>
                </pic:pic>
              </a:graphicData>
            </a:graphic>
          </wp:inline>
        </w:drawing>
      </w:r>
    </w:p>
    <w:p>
      <w:pPr>
        <w:spacing w:after="240"/>
        <w:jc w:val="center"/>
      </w:pPr>
      <w:r>
        <w:rPr>
          <w:i/>
          <w:color w:val="656D76"/>
          <w:sz w:val="18"/>
        </w:rPr>
        <w:t>Figure: Editable candidate migration records with one-click sample-dataset chips (Critical blockers loaded).</w:t>
      </w:r>
    </w:p>
    <w:p>
      <w:pPr>
        <w:spacing w:after="120"/>
      </w:pPr>
      <w:r>
        <w:t>Submitting calls POST /api/ai/migration-remediation. The rule engine first checks each record for missing identifiers, mandatory fields, and malformed values, returning a severity-rated issues table.</w:t>
      </w:r>
    </w:p>
    <w:p>
      <w:pPr>
        <w:jc w:val="center"/>
      </w:pPr>
      <w:r>
        <w:drawing>
          <wp:inline xmlns:a="http://schemas.openxmlformats.org/drawingml/2006/main" xmlns:pic="http://schemas.openxmlformats.org/drawingml/2006/picture">
            <wp:extent cx="5486400" cy="2567763"/>
            <wp:docPr id="10" name="Picture 10"/>
            <wp:cNvGraphicFramePr>
              <a:graphicFrameLocks noChangeAspect="1"/>
            </wp:cNvGraphicFramePr>
            <a:graphic>
              <a:graphicData uri="http://schemas.openxmlformats.org/drawingml/2006/picture">
                <pic:pic>
                  <pic:nvPicPr>
                    <pic:cNvPr id="0" name="migration_issues.png"/>
                    <pic:cNvPicPr/>
                  </pic:nvPicPr>
                  <pic:blipFill>
                    <a:blip r:embed="rId18"/>
                    <a:stretch>
                      <a:fillRect/>
                    </a:stretch>
                  </pic:blipFill>
                  <pic:spPr>
                    <a:xfrm>
                      <a:off x="0" y="0"/>
                      <a:ext cx="5486400" cy="2567763"/>
                    </a:xfrm>
                    <a:prstGeom prst="rect"/>
                  </pic:spPr>
                </pic:pic>
              </a:graphicData>
            </a:graphic>
          </wp:inline>
        </w:drawing>
      </w:r>
    </w:p>
    <w:p>
      <w:pPr>
        <w:spacing w:after="240"/>
        <w:jc w:val="center"/>
      </w:pPr>
      <w:r>
        <w:rPr>
          <w:i/>
          <w:color w:val="656D76"/>
          <w:sz w:val="18"/>
        </w:rPr>
        <w:t>Figure: Rule-based validation issues with severity, field, and suggested fix.</w:t>
      </w:r>
    </w:p>
    <w:p>
      <w:pPr>
        <w:spacing w:after="120"/>
      </w:pPr>
      <w:r>
        <w:t>Claude then produces a remediation plan: an overall data-readiness verdict (READY / NEEDS WORK / NOT READY), a prioritised list of fixes by entity, and reconciliation and balancing checks (record counts, control totals, typelist mapping, referential integrity, duplicate detection) to run before loading into Guidewire Cloud.</w:t>
      </w:r>
    </w:p>
    <w:p>
      <w:pPr>
        <w:jc w:val="center"/>
      </w:pPr>
      <w:r>
        <w:drawing>
          <wp:inline xmlns:a="http://schemas.openxmlformats.org/drawingml/2006/main" xmlns:pic="http://schemas.openxmlformats.org/drawingml/2006/picture">
            <wp:extent cx="5486400" cy="3848986"/>
            <wp:docPr id="11" name="Picture 11"/>
            <wp:cNvGraphicFramePr>
              <a:graphicFrameLocks noChangeAspect="1"/>
            </wp:cNvGraphicFramePr>
            <a:graphic>
              <a:graphicData uri="http://schemas.openxmlformats.org/drawingml/2006/picture">
                <pic:pic>
                  <pic:nvPicPr>
                    <pic:cNvPr id="0" name="migration_remediation.png"/>
                    <pic:cNvPicPr/>
                  </pic:nvPicPr>
                  <pic:blipFill>
                    <a:blip r:embed="rId19"/>
                    <a:stretch>
                      <a:fillRect/>
                    </a:stretch>
                  </pic:blipFill>
                  <pic:spPr>
                    <a:xfrm>
                      <a:off x="0" y="0"/>
                      <a:ext cx="5486400" cy="3848986"/>
                    </a:xfrm>
                    <a:prstGeom prst="rect"/>
                  </pic:spPr>
                </pic:pic>
              </a:graphicData>
            </a:graphic>
          </wp:inline>
        </w:drawing>
      </w:r>
    </w:p>
    <w:p>
      <w:pPr>
        <w:spacing w:after="240"/>
        <w:jc w:val="center"/>
      </w:pPr>
      <w:r>
        <w:rPr>
          <w:i/>
          <w:color w:val="656D76"/>
          <w:sz w:val="18"/>
        </w:rPr>
        <w:t>Figure: AI remediation plan: readiness verdict, prioritised fixes, and reconciliation checks (deterministic fallback shown).</w:t>
      </w:r>
    </w:p>
    <w:p>
      <w:r>
        <w:br w:type="page"/>
      </w:r>
    </w:p>
    <w:p>
      <w:r>
        <w:br w:type="page"/>
      </w:r>
    </w:p>
    <w:p>
      <w:pPr>
        <w:pStyle w:val="Heading1"/>
      </w:pPr>
      <w:r>
        <w:rPr>
          <w:color w:val="0969DA"/>
        </w:rPr>
        <w:t>Return on Investment</w:t>
      </w:r>
    </w:p>
    <w:p>
      <w:pPr>
        <w:spacing w:after="120"/>
      </w:pPr>
      <w:r>
        <w:t>The accelerators reduce upgrade cost and risk by assessing risk earlier, shifting integration and data defects left, and cutting rework and dry-run cycles. Base case: ~218% year-1 ROI and ~4-month payback, rising on every subsequent upgrade because the accelerators are reusable.</w:t>
      </w:r>
    </w:p>
    <w:p>
      <w:pPr>
        <w:pStyle w:val="Heading2"/>
      </w:pPr>
      <w:r>
        <w:rPr>
          <w:color w:val="1F2328"/>
        </w:rPr>
        <w:t>How the ROI is calculated</w:t>
      </w:r>
    </w:p>
    <w:p>
      <w:pPr>
        <w:spacing w:after="120"/>
      </w:pPr>
      <w:r>
        <w:t>ROI % = (Gross benefit − Investment) / Investment × 100.   Payback = Investment / monthly net benefit.   Risk avoided = Δ(probability of bad outcome) × cost of that outcome.</w:t>
      </w:r>
    </w:p>
    <w:p>
      <w:pPr>
        <w:pStyle w:val="ListNumber"/>
        <w:spacing w:after="40"/>
      </w:pPr>
      <w:r>
        <w:t>Baseline the as-is (effort, defect leakage, overrun %, dry-run counts) from prior upgrades or benchmarks.</w:t>
      </w:r>
    </w:p>
    <w:p>
      <w:pPr>
        <w:pStyle w:val="ListNumber"/>
        <w:spacing w:after="40"/>
      </w:pPr>
      <w:r>
        <w:t>Name the value levers the accelerator pulls (effort saved, defects shifted left, risk reduced, time-to-value).</w:t>
      </w:r>
    </w:p>
    <w:p>
      <w:pPr>
        <w:pStyle w:val="ListNumber"/>
        <w:spacing w:after="40"/>
      </w:pPr>
      <w:r>
        <w:t>Quantify with conservative / base / optimistic cases and a sensitivity check on the key drivers.</w:t>
      </w:r>
    </w:p>
    <w:p>
      <w:pPr>
        <w:pStyle w:val="ListNumber"/>
        <w:spacing w:after="40"/>
      </w:pPr>
      <w:r>
        <w:t>Track leading indicators after deployment to convert projected ROI into realised ROI.</w:t>
      </w:r>
    </w:p>
    <w:p>
      <w:pPr>
        <w:pStyle w:val="Heading2"/>
      </w:pPr>
      <w:r>
        <w:rPr>
          <w:color w:val="1F2328"/>
        </w:rPr>
        <w:t>Value levers and quantified benefits</w:t>
      </w:r>
    </w:p>
    <w:p>
      <w:r>
        <w:rPr>
          <w:b/>
          <w:color w:val="1F2328"/>
          <w:sz w:val="23"/>
        </w:rPr>
        <w:t>1. Upgrade Readiness Scoring</w:t>
      </w:r>
    </w:p>
    <w:tbl>
      <w:tblPr>
        <w:tblW w:type="auto" w:w="0"/>
        <w:tblLook w:firstColumn="1" w:firstRow="1" w:lastColumn="0" w:lastRow="0" w:noHBand="0" w:noVBand="1" w:val="04A0"/>
        <w:tblBorders>
          <w:top w:val="single" w:sz="4" w:color="D0D7DE"/>
          <w:left w:val="single" w:sz="4" w:color="D0D7DE"/>
          <w:bottom w:val="single" w:sz="4" w:color="D0D7DE"/>
          <w:right w:val="single" w:sz="4" w:color="D0D7DE"/>
          <w:insideH w:val="single" w:sz="4" w:color="D0D7DE"/>
          <w:insideV w:val="single" w:sz="4" w:color="D0D7DE"/>
        </w:tblBorders>
      </w:tblPr>
      <w:tblGrid>
        <w:gridCol w:w="2880"/>
        <w:gridCol w:w="2880"/>
        <w:gridCol w:w="2880"/>
      </w:tblGrid>
      <w:tr>
        <w:tc>
          <w:tcPr>
            <w:tcW w:type="dxa" w:w="2736"/>
            <w:shd w:val="clear" w:fill="1F2328"/>
          </w:tcPr>
          <w:p>
            <w:r/>
            <w:r>
              <w:rPr>
                <w:b/>
                <w:color w:val="FFFFFF"/>
                <w:sz w:val="19"/>
              </w:rPr>
              <w:t>Value lever</w:t>
            </w:r>
          </w:p>
        </w:tc>
        <w:tc>
          <w:tcPr>
            <w:tcW w:type="dxa" w:w="4464"/>
            <w:shd w:val="clear" w:fill="1F2328"/>
          </w:tcPr>
          <w:p>
            <w:r/>
            <w:r>
              <w:rPr>
                <w:b/>
                <w:color w:val="FFFFFF"/>
                <w:sz w:val="19"/>
              </w:rPr>
              <w:t>Basis</w:t>
            </w:r>
          </w:p>
        </w:tc>
        <w:tc>
          <w:tcPr>
            <w:tcW w:type="dxa" w:w="1584"/>
            <w:shd w:val="clear" w:fill="1F2328"/>
          </w:tcPr>
          <w:p>
            <w:r/>
            <w:r>
              <w:rPr>
                <w:b/>
                <w:color w:val="FFFFFF"/>
                <w:sz w:val="19"/>
              </w:rPr>
              <w:t>Illustrative</w:t>
            </w:r>
          </w:p>
        </w:tc>
      </w:tr>
      <w:tr>
        <w:tc>
          <w:tcPr>
            <w:tcW w:type="dxa" w:w="2736"/>
          </w:tcPr>
          <w:p>
            <w:r/>
            <w:r>
              <w:rPr>
                <w:b w:val="0"/>
                <w:sz w:val="19"/>
              </w:rPr>
              <w:t>Faster assessment</w:t>
            </w:r>
          </w:p>
        </w:tc>
        <w:tc>
          <w:tcPr>
            <w:tcW w:type="dxa" w:w="4464"/>
          </w:tcPr>
          <w:p>
            <w:r/>
            <w:r>
              <w:rPr>
                <w:b w:val="0"/>
                <w:sz w:val="19"/>
              </w:rPr>
              <w:t>Replaces architect workshops (45 → 9 person-days)</w:t>
            </w:r>
          </w:p>
        </w:tc>
        <w:tc>
          <w:tcPr>
            <w:tcW w:type="dxa" w:w="1584"/>
          </w:tcPr>
          <w:p>
            <w:r/>
            <w:r>
              <w:rPr>
                <w:b w:val="0"/>
                <w:sz w:val="19"/>
              </w:rPr>
              <w:t>~£25k</w:t>
            </w:r>
          </w:p>
        </w:tc>
      </w:tr>
      <w:tr>
        <w:tc>
          <w:tcPr>
            <w:tcW w:type="dxa" w:w="2736"/>
          </w:tcPr>
          <w:p>
            <w:r/>
            <w:r>
              <w:rPr>
                <w:b w:val="0"/>
                <w:sz w:val="19"/>
              </w:rPr>
              <w:t>Fewer wasted sprints</w:t>
            </w:r>
          </w:p>
        </w:tc>
        <w:tc>
          <w:tcPr>
            <w:tcW w:type="dxa" w:w="4464"/>
          </w:tcPr>
          <w:p>
            <w:r/>
            <w:r>
              <w:rPr>
                <w:b w:val="0"/>
                <w:sz w:val="19"/>
              </w:rPr>
              <w:t>Better sequencing avoids a misdirected sprint</w:t>
            </w:r>
          </w:p>
        </w:tc>
        <w:tc>
          <w:tcPr>
            <w:tcW w:type="dxa" w:w="1584"/>
          </w:tcPr>
          <w:p>
            <w:r/>
            <w:r>
              <w:rPr>
                <w:b w:val="0"/>
                <w:sz w:val="19"/>
              </w:rPr>
              <w:t>~£40k</w:t>
            </w:r>
          </w:p>
        </w:tc>
      </w:tr>
      <w:tr>
        <w:tc>
          <w:tcPr>
            <w:tcW w:type="dxa" w:w="2736"/>
          </w:tcPr>
          <w:p>
            <w:r/>
            <w:r>
              <w:rPr>
                <w:b w:val="0"/>
                <w:sz w:val="19"/>
              </w:rPr>
              <w:t>Overrun avoidance</w:t>
            </w:r>
          </w:p>
        </w:tc>
        <w:tc>
          <w:tcPr>
            <w:tcW w:type="dxa" w:w="4464"/>
          </w:tcPr>
          <w:p>
            <w:r/>
            <w:r>
              <w:rPr>
                <w:b w:val="0"/>
                <w:sz w:val="19"/>
              </w:rPr>
              <w:t>Halves overrun probability (0.5 × 20% × £300k)</w:t>
            </w:r>
          </w:p>
        </w:tc>
        <w:tc>
          <w:tcPr>
            <w:tcW w:type="dxa" w:w="1584"/>
          </w:tcPr>
          <w:p>
            <w:r/>
            <w:r>
              <w:rPr>
                <w:b w:val="0"/>
                <w:sz w:val="19"/>
              </w:rPr>
              <w:t>~£30k</w:t>
            </w:r>
          </w:p>
        </w:tc>
      </w:tr>
    </w:tbl>
    <w:p/>
    <w:p>
      <w:r>
        <w:rPr>
          <w:b/>
          <w:color w:val="1F2328"/>
          <w:sz w:val="23"/>
        </w:rPr>
        <w:t>2. Vendor Mocks &amp; Contract Tests</w:t>
      </w:r>
    </w:p>
    <w:tbl>
      <w:tblPr>
        <w:tblW w:type="auto" w:w="0"/>
        <w:tblLook w:firstColumn="1" w:firstRow="1" w:lastColumn="0" w:lastRow="0" w:noHBand="0" w:noVBand="1" w:val="04A0"/>
        <w:tblBorders>
          <w:top w:val="single" w:sz="4" w:color="D0D7DE"/>
          <w:left w:val="single" w:sz="4" w:color="D0D7DE"/>
          <w:bottom w:val="single" w:sz="4" w:color="D0D7DE"/>
          <w:right w:val="single" w:sz="4" w:color="D0D7DE"/>
          <w:insideH w:val="single" w:sz="4" w:color="D0D7DE"/>
          <w:insideV w:val="single" w:sz="4" w:color="D0D7DE"/>
        </w:tblBorders>
      </w:tblPr>
      <w:tblGrid>
        <w:gridCol w:w="2880"/>
        <w:gridCol w:w="2880"/>
        <w:gridCol w:w="2880"/>
      </w:tblGrid>
      <w:tr>
        <w:tc>
          <w:tcPr>
            <w:tcW w:type="dxa" w:w="2736"/>
            <w:shd w:val="clear" w:fill="1F2328"/>
          </w:tcPr>
          <w:p>
            <w:r/>
            <w:r>
              <w:rPr>
                <w:b/>
                <w:color w:val="FFFFFF"/>
                <w:sz w:val="19"/>
              </w:rPr>
              <w:t>Value lever</w:t>
            </w:r>
          </w:p>
        </w:tc>
        <w:tc>
          <w:tcPr>
            <w:tcW w:type="dxa" w:w="4464"/>
            <w:shd w:val="clear" w:fill="1F2328"/>
          </w:tcPr>
          <w:p>
            <w:r/>
            <w:r>
              <w:rPr>
                <w:b/>
                <w:color w:val="FFFFFF"/>
                <w:sz w:val="19"/>
              </w:rPr>
              <w:t>Basis</w:t>
            </w:r>
          </w:p>
        </w:tc>
        <w:tc>
          <w:tcPr>
            <w:tcW w:type="dxa" w:w="1584"/>
            <w:shd w:val="clear" w:fill="1F2328"/>
          </w:tcPr>
          <w:p>
            <w:r/>
            <w:r>
              <w:rPr>
                <w:b/>
                <w:color w:val="FFFFFF"/>
                <w:sz w:val="19"/>
              </w:rPr>
              <w:t>Illustrative</w:t>
            </w:r>
          </w:p>
        </w:tc>
      </w:tr>
      <w:tr>
        <w:tc>
          <w:tcPr>
            <w:tcW w:type="dxa" w:w="2736"/>
          </w:tcPr>
          <w:p>
            <w:r/>
            <w:r>
              <w:rPr>
                <w:b w:val="0"/>
                <w:sz w:val="19"/>
              </w:rPr>
              <w:t>Shift-left defects</w:t>
            </w:r>
          </w:p>
        </w:tc>
        <w:tc>
          <w:tcPr>
            <w:tcW w:type="dxa" w:w="4464"/>
          </w:tcPr>
          <w:p>
            <w:r/>
            <w:r>
              <w:rPr>
                <w:b w:val="0"/>
                <w:sz w:val="19"/>
              </w:rPr>
              <w:t>Contract defects cost ~10× less in design than UAT (60 × £2,700)</w:t>
            </w:r>
          </w:p>
        </w:tc>
        <w:tc>
          <w:tcPr>
            <w:tcW w:type="dxa" w:w="1584"/>
          </w:tcPr>
          <w:p>
            <w:r/>
            <w:r>
              <w:rPr>
                <w:b w:val="0"/>
                <w:sz w:val="19"/>
              </w:rPr>
              <w:t>~£162k</w:t>
            </w:r>
          </w:p>
        </w:tc>
      </w:tr>
      <w:tr>
        <w:tc>
          <w:tcPr>
            <w:tcW w:type="dxa" w:w="2736"/>
          </w:tcPr>
          <w:p>
            <w:r/>
            <w:r>
              <w:rPr>
                <w:b w:val="0"/>
                <w:sz w:val="19"/>
              </w:rPr>
              <w:t>Schedule compression</w:t>
            </w:r>
          </w:p>
        </w:tc>
        <w:tc>
          <w:tcPr>
            <w:tcW w:type="dxa" w:w="4464"/>
          </w:tcPr>
          <w:p>
            <w:r/>
            <w:r>
              <w:rPr>
                <w:b w:val="0"/>
                <w:sz w:val="19"/>
              </w:rPr>
              <w:t>Integration testing starts before vendor environments are ready</w:t>
            </w:r>
          </w:p>
        </w:tc>
        <w:tc>
          <w:tcPr>
            <w:tcW w:type="dxa" w:w="1584"/>
          </w:tcPr>
          <w:p>
            <w:r/>
            <w:r>
              <w:rPr>
                <w:b w:val="0"/>
                <w:sz w:val="19"/>
              </w:rPr>
              <w:t>~£40k</w:t>
            </w:r>
          </w:p>
        </w:tc>
      </w:tr>
      <w:tr>
        <w:tc>
          <w:tcPr>
            <w:tcW w:type="dxa" w:w="2736"/>
          </w:tcPr>
          <w:p>
            <w:r/>
            <w:r>
              <w:rPr>
                <w:b w:val="0"/>
                <w:sz w:val="19"/>
              </w:rPr>
              <w:t>Reusability</w:t>
            </w:r>
          </w:p>
        </w:tc>
        <w:tc>
          <w:tcPr>
            <w:tcW w:type="dxa" w:w="4464"/>
          </w:tcPr>
          <w:p>
            <w:r/>
            <w:r>
              <w:rPr>
                <w:b w:val="0"/>
                <w:sz w:val="19"/>
              </w:rPr>
              <w:t>Mocks and contracts reused for regression and future upgrades</w:t>
            </w:r>
          </w:p>
        </w:tc>
        <w:tc>
          <w:tcPr>
            <w:tcW w:type="dxa" w:w="1584"/>
          </w:tcPr>
          <w:p>
            <w:r/>
            <w:r>
              <w:rPr>
                <w:b w:val="0"/>
                <w:sz w:val="19"/>
              </w:rPr>
              <w:t>recurring</w:t>
            </w:r>
          </w:p>
        </w:tc>
      </w:tr>
    </w:tbl>
    <w:p/>
    <w:p>
      <w:r>
        <w:rPr>
          <w:b/>
          <w:color w:val="1F2328"/>
          <w:sz w:val="23"/>
        </w:rPr>
        <w:t>3. Data Migration Assist</w:t>
      </w:r>
    </w:p>
    <w:tbl>
      <w:tblPr>
        <w:tblW w:type="auto" w:w="0"/>
        <w:tblLook w:firstColumn="1" w:firstRow="1" w:lastColumn="0" w:lastRow="0" w:noHBand="0" w:noVBand="1" w:val="04A0"/>
        <w:tblBorders>
          <w:top w:val="single" w:sz="4" w:color="D0D7DE"/>
          <w:left w:val="single" w:sz="4" w:color="D0D7DE"/>
          <w:bottom w:val="single" w:sz="4" w:color="D0D7DE"/>
          <w:right w:val="single" w:sz="4" w:color="D0D7DE"/>
          <w:insideH w:val="single" w:sz="4" w:color="D0D7DE"/>
          <w:insideV w:val="single" w:sz="4" w:color="D0D7DE"/>
        </w:tblBorders>
      </w:tblPr>
      <w:tblGrid>
        <w:gridCol w:w="2880"/>
        <w:gridCol w:w="2880"/>
        <w:gridCol w:w="2880"/>
      </w:tblGrid>
      <w:tr>
        <w:tc>
          <w:tcPr>
            <w:tcW w:type="dxa" w:w="2736"/>
            <w:shd w:val="clear" w:fill="1F2328"/>
          </w:tcPr>
          <w:p>
            <w:r/>
            <w:r>
              <w:rPr>
                <w:b/>
                <w:color w:val="FFFFFF"/>
                <w:sz w:val="19"/>
              </w:rPr>
              <w:t>Value lever</w:t>
            </w:r>
          </w:p>
        </w:tc>
        <w:tc>
          <w:tcPr>
            <w:tcW w:type="dxa" w:w="4464"/>
            <w:shd w:val="clear" w:fill="1F2328"/>
          </w:tcPr>
          <w:p>
            <w:r/>
            <w:r>
              <w:rPr>
                <w:b/>
                <w:color w:val="FFFFFF"/>
                <w:sz w:val="19"/>
              </w:rPr>
              <w:t>Basis</w:t>
            </w:r>
          </w:p>
        </w:tc>
        <w:tc>
          <w:tcPr>
            <w:tcW w:type="dxa" w:w="1584"/>
            <w:shd w:val="clear" w:fill="1F2328"/>
          </w:tcPr>
          <w:p>
            <w:r/>
            <w:r>
              <w:rPr>
                <w:b/>
                <w:color w:val="FFFFFF"/>
                <w:sz w:val="19"/>
              </w:rPr>
              <w:t>Illustrative</w:t>
            </w:r>
          </w:p>
        </w:tc>
      </w:tr>
      <w:tr>
        <w:tc>
          <w:tcPr>
            <w:tcW w:type="dxa" w:w="2736"/>
          </w:tcPr>
          <w:p>
            <w:r/>
            <w:r>
              <w:rPr>
                <w:b w:val="0"/>
                <w:sz w:val="19"/>
              </w:rPr>
              <w:t>Fewer failed dry-runs</w:t>
            </w:r>
          </w:p>
        </w:tc>
        <w:tc>
          <w:tcPr>
            <w:tcW w:type="dxa" w:w="4464"/>
          </w:tcPr>
          <w:p>
            <w:r/>
            <w:r>
              <w:rPr>
                <w:b w:val="0"/>
                <w:sz w:val="19"/>
              </w:rPr>
              <w:t>Early validation avoids ~2 reconciliation dry-runs (£40k each)</w:t>
            </w:r>
          </w:p>
        </w:tc>
        <w:tc>
          <w:tcPr>
            <w:tcW w:type="dxa" w:w="1584"/>
          </w:tcPr>
          <w:p>
            <w:r/>
            <w:r>
              <w:rPr>
                <w:b w:val="0"/>
                <w:sz w:val="19"/>
              </w:rPr>
              <w:t>~£80k</w:t>
            </w:r>
          </w:p>
        </w:tc>
      </w:tr>
      <w:tr>
        <w:tc>
          <w:tcPr>
            <w:tcW w:type="dxa" w:w="2736"/>
          </w:tcPr>
          <w:p>
            <w:r/>
            <w:r>
              <w:rPr>
                <w:b w:val="0"/>
                <w:sz w:val="19"/>
              </w:rPr>
              <w:t>Go-live defect avoidance</w:t>
            </w:r>
          </w:p>
        </w:tc>
        <w:tc>
          <w:tcPr>
            <w:tcW w:type="dxa" w:w="4464"/>
          </w:tcPr>
          <w:p>
            <w:r/>
            <w:r>
              <w:rPr>
                <w:b w:val="0"/>
                <w:sz w:val="19"/>
              </w:rPr>
              <w:t>Avoided policy/claim/billing remediation and regulatory risk</w:t>
            </w:r>
          </w:p>
        </w:tc>
        <w:tc>
          <w:tcPr>
            <w:tcW w:type="dxa" w:w="1584"/>
          </w:tcPr>
          <w:p>
            <w:r/>
            <w:r>
              <w:rPr>
                <w:b w:val="0"/>
                <w:sz w:val="19"/>
              </w:rPr>
              <w:t>~£50k</w:t>
            </w:r>
          </w:p>
        </w:tc>
      </w:tr>
      <w:tr>
        <w:tc>
          <w:tcPr>
            <w:tcW w:type="dxa" w:w="2736"/>
          </w:tcPr>
          <w:p>
            <w:r/>
            <w:r>
              <w:rPr>
                <w:b w:val="0"/>
                <w:sz w:val="19"/>
              </w:rPr>
              <w:t>Automated profiling</w:t>
            </w:r>
          </w:p>
        </w:tc>
        <w:tc>
          <w:tcPr>
            <w:tcW w:type="dxa" w:w="4464"/>
          </w:tcPr>
          <w:p>
            <w:r/>
            <w:r>
              <w:rPr>
                <w:b w:val="0"/>
                <w:sz w:val="19"/>
              </w:rPr>
              <w:t>Replaces ~20 analyst-days of manual SQL per cycle</w:t>
            </w:r>
          </w:p>
        </w:tc>
        <w:tc>
          <w:tcPr>
            <w:tcW w:type="dxa" w:w="1584"/>
          </w:tcPr>
          <w:p>
            <w:r/>
            <w:r>
              <w:rPr>
                <w:b w:val="0"/>
                <w:sz w:val="19"/>
              </w:rPr>
              <w:t>~£14k</w:t>
            </w:r>
          </w:p>
        </w:tc>
      </w:tr>
    </w:tbl>
    <w:p/>
    <w:p>
      <w:pPr>
        <w:pStyle w:val="Heading2"/>
      </w:pPr>
      <w:r>
        <w:rPr>
          <w:color w:val="1F2328"/>
        </w:rPr>
        <w:t>Consolidated business case (per programme)</w:t>
      </w:r>
    </w:p>
    <w:tbl>
      <w:tblPr>
        <w:tblW w:type="auto" w:w="0"/>
        <w:tblLook w:firstColumn="1" w:firstRow="1" w:lastColumn="0" w:lastRow="0" w:noHBand="0" w:noVBand="1" w:val="04A0"/>
        <w:tblBorders>
          <w:top w:val="single" w:sz="4" w:color="D0D7DE"/>
          <w:left w:val="single" w:sz="4" w:color="D0D7DE"/>
          <w:bottom w:val="single" w:sz="4" w:color="D0D7DE"/>
          <w:right w:val="single" w:sz="4" w:color="D0D7DE"/>
          <w:insideH w:val="single" w:sz="4" w:color="D0D7DE"/>
          <w:insideV w:val="single" w:sz="4" w:color="D0D7DE"/>
        </w:tblBorders>
      </w:tblPr>
      <w:tblGrid>
        <w:gridCol w:w="2160"/>
        <w:gridCol w:w="2160"/>
        <w:gridCol w:w="2160"/>
        <w:gridCol w:w="2160"/>
      </w:tblGrid>
      <w:tr>
        <w:tc>
          <w:tcPr>
            <w:tcW w:type="dxa" w:w="4176"/>
            <w:shd w:val="clear" w:fill="1F2328"/>
          </w:tcPr>
          <w:p>
            <w:r/>
            <w:r>
              <w:rPr>
                <w:b/>
                <w:color w:val="FFFFFF"/>
                <w:sz w:val="19"/>
              </w:rPr>
              <w:t>Line</w:t>
            </w:r>
          </w:p>
        </w:tc>
        <w:tc>
          <w:tcPr>
            <w:tcW w:type="dxa" w:w="1728"/>
            <w:shd w:val="clear" w:fill="1F2328"/>
          </w:tcPr>
          <w:p>
            <w:r/>
            <w:r>
              <w:rPr>
                <w:b/>
                <w:color w:val="FFFFFF"/>
                <w:sz w:val="19"/>
              </w:rPr>
              <w:t>Conservative</w:t>
            </w:r>
          </w:p>
        </w:tc>
        <w:tc>
          <w:tcPr>
            <w:tcW w:type="dxa" w:w="1584"/>
            <w:shd w:val="clear" w:fill="1F2328"/>
          </w:tcPr>
          <w:p>
            <w:r/>
            <w:r>
              <w:rPr>
                <w:b/>
                <w:color w:val="FFFFFF"/>
                <w:sz w:val="19"/>
              </w:rPr>
              <w:t>Base</w:t>
            </w:r>
          </w:p>
        </w:tc>
        <w:tc>
          <w:tcPr>
            <w:tcW w:type="dxa" w:w="1728"/>
            <w:shd w:val="clear" w:fill="1F2328"/>
          </w:tcPr>
          <w:p>
            <w:r/>
            <w:r>
              <w:rPr>
                <w:b/>
                <w:color w:val="FFFFFF"/>
                <w:sz w:val="19"/>
              </w:rPr>
              <w:t>Optimistic</w:t>
            </w:r>
          </w:p>
        </w:tc>
      </w:tr>
      <w:tr>
        <w:tc>
          <w:tcPr>
            <w:tcW w:type="dxa" w:w="4176"/>
          </w:tcPr>
          <w:p>
            <w:r/>
            <w:r>
              <w:rPr>
                <w:b w:val="0"/>
                <w:sz w:val="19"/>
              </w:rPr>
              <w:t>Upgrade readiness scoring</w:t>
            </w:r>
          </w:p>
        </w:tc>
        <w:tc>
          <w:tcPr>
            <w:tcW w:type="dxa" w:w="1728"/>
          </w:tcPr>
          <w:p>
            <w:r/>
            <w:r>
              <w:rPr>
                <w:b w:val="0"/>
                <w:sz w:val="19"/>
              </w:rPr>
              <w:t>£60k</w:t>
            </w:r>
          </w:p>
        </w:tc>
        <w:tc>
          <w:tcPr>
            <w:tcW w:type="dxa" w:w="1584"/>
          </w:tcPr>
          <w:p>
            <w:r/>
            <w:r>
              <w:rPr>
                <w:b w:val="0"/>
                <w:sz w:val="19"/>
              </w:rPr>
              <w:t>£95k</w:t>
            </w:r>
          </w:p>
        </w:tc>
        <w:tc>
          <w:tcPr>
            <w:tcW w:type="dxa" w:w="1728"/>
          </w:tcPr>
          <w:p>
            <w:r/>
            <w:r>
              <w:rPr>
                <w:b w:val="0"/>
                <w:sz w:val="19"/>
              </w:rPr>
              <w:t>£140k</w:t>
            </w:r>
          </w:p>
        </w:tc>
      </w:tr>
      <w:tr>
        <w:tc>
          <w:tcPr>
            <w:tcW w:type="dxa" w:w="4176"/>
          </w:tcPr>
          <w:p>
            <w:r/>
            <w:r>
              <w:rPr>
                <w:b w:val="0"/>
                <w:sz w:val="19"/>
              </w:rPr>
              <w:t>Vendor mocks &amp; contract tests</w:t>
            </w:r>
          </w:p>
        </w:tc>
        <w:tc>
          <w:tcPr>
            <w:tcW w:type="dxa" w:w="1728"/>
          </w:tcPr>
          <w:p>
            <w:r/>
            <w:r>
              <w:rPr>
                <w:b w:val="0"/>
                <w:sz w:val="19"/>
              </w:rPr>
              <w:t>£110k</w:t>
            </w:r>
          </w:p>
        </w:tc>
        <w:tc>
          <w:tcPr>
            <w:tcW w:type="dxa" w:w="1584"/>
          </w:tcPr>
          <w:p>
            <w:r/>
            <w:r>
              <w:rPr>
                <w:b w:val="0"/>
                <w:sz w:val="19"/>
              </w:rPr>
              <w:t>£200k</w:t>
            </w:r>
          </w:p>
        </w:tc>
        <w:tc>
          <w:tcPr>
            <w:tcW w:type="dxa" w:w="1728"/>
          </w:tcPr>
          <w:p>
            <w:r/>
            <w:r>
              <w:rPr>
                <w:b w:val="0"/>
                <w:sz w:val="19"/>
              </w:rPr>
              <w:t>£320k</w:t>
            </w:r>
          </w:p>
        </w:tc>
      </w:tr>
      <w:tr>
        <w:tc>
          <w:tcPr>
            <w:tcW w:type="dxa" w:w="4176"/>
          </w:tcPr>
          <w:p>
            <w:r/>
            <w:r>
              <w:rPr>
                <w:b w:val="0"/>
                <w:sz w:val="19"/>
              </w:rPr>
              <w:t>Data migration assist</w:t>
            </w:r>
          </w:p>
        </w:tc>
        <w:tc>
          <w:tcPr>
            <w:tcW w:type="dxa" w:w="1728"/>
          </w:tcPr>
          <w:p>
            <w:r/>
            <w:r>
              <w:rPr>
                <w:b w:val="0"/>
                <w:sz w:val="19"/>
              </w:rPr>
              <w:t>£90k</w:t>
            </w:r>
          </w:p>
        </w:tc>
        <w:tc>
          <w:tcPr>
            <w:tcW w:type="dxa" w:w="1584"/>
          </w:tcPr>
          <w:p>
            <w:r/>
            <w:r>
              <w:rPr>
                <w:b w:val="0"/>
                <w:sz w:val="19"/>
              </w:rPr>
              <w:t>£150k</w:t>
            </w:r>
          </w:p>
        </w:tc>
        <w:tc>
          <w:tcPr>
            <w:tcW w:type="dxa" w:w="1728"/>
          </w:tcPr>
          <w:p>
            <w:r/>
            <w:r>
              <w:rPr>
                <w:b w:val="0"/>
                <w:sz w:val="19"/>
              </w:rPr>
              <w:t>£230k</w:t>
            </w:r>
          </w:p>
        </w:tc>
      </w:tr>
      <w:tr>
        <w:tc>
          <w:tcPr>
            <w:tcW w:type="dxa" w:w="4176"/>
            <w:shd w:val="clear" w:fill="F6F8FA"/>
          </w:tcPr>
          <w:p>
            <w:r/>
            <w:r>
              <w:rPr>
                <w:b/>
                <w:sz w:val="19"/>
              </w:rPr>
              <w:t>Total gross benefit / programme</w:t>
            </w:r>
          </w:p>
        </w:tc>
        <w:tc>
          <w:tcPr>
            <w:tcW w:type="dxa" w:w="1728"/>
            <w:shd w:val="clear" w:fill="F6F8FA"/>
          </w:tcPr>
          <w:p>
            <w:r/>
            <w:r>
              <w:rPr>
                <w:b/>
                <w:sz w:val="19"/>
              </w:rPr>
              <w:t>£260k</w:t>
            </w:r>
          </w:p>
        </w:tc>
        <w:tc>
          <w:tcPr>
            <w:tcW w:type="dxa" w:w="1584"/>
            <w:shd w:val="clear" w:fill="F6F8FA"/>
          </w:tcPr>
          <w:p>
            <w:r/>
            <w:r>
              <w:rPr>
                <w:b/>
                <w:sz w:val="19"/>
              </w:rPr>
              <w:t>£445k</w:t>
            </w:r>
          </w:p>
        </w:tc>
        <w:tc>
          <w:tcPr>
            <w:tcW w:type="dxa" w:w="1728"/>
            <w:shd w:val="clear" w:fill="F6F8FA"/>
          </w:tcPr>
          <w:p>
            <w:r/>
            <w:r>
              <w:rPr>
                <w:b/>
                <w:sz w:val="19"/>
              </w:rPr>
              <w:t>£690k</w:t>
            </w:r>
          </w:p>
        </w:tc>
      </w:tr>
      <w:tr>
        <w:tc>
          <w:tcPr>
            <w:tcW w:type="dxa" w:w="4176"/>
          </w:tcPr>
          <w:p>
            <w:r/>
            <w:r>
              <w:rPr>
                <w:b w:val="0"/>
                <w:sz w:val="19"/>
              </w:rPr>
              <w:t>Investment (year 1: £120k build + £20k run)</w:t>
            </w:r>
          </w:p>
        </w:tc>
        <w:tc>
          <w:tcPr>
            <w:tcW w:type="dxa" w:w="1728"/>
          </w:tcPr>
          <w:p>
            <w:r/>
            <w:r>
              <w:rPr>
                <w:b w:val="0"/>
                <w:sz w:val="19"/>
              </w:rPr>
              <w:t>£140k</w:t>
            </w:r>
          </w:p>
        </w:tc>
        <w:tc>
          <w:tcPr>
            <w:tcW w:type="dxa" w:w="1584"/>
          </w:tcPr>
          <w:p>
            <w:r/>
            <w:r>
              <w:rPr>
                <w:b w:val="0"/>
                <w:sz w:val="19"/>
              </w:rPr>
              <w:t>£140k</w:t>
            </w:r>
          </w:p>
        </w:tc>
        <w:tc>
          <w:tcPr>
            <w:tcW w:type="dxa" w:w="1728"/>
          </w:tcPr>
          <w:p>
            <w:r/>
            <w:r>
              <w:rPr>
                <w:b w:val="0"/>
                <w:sz w:val="19"/>
              </w:rPr>
              <w:t>£140k</w:t>
            </w:r>
          </w:p>
        </w:tc>
      </w:tr>
      <w:tr>
        <w:tc>
          <w:tcPr>
            <w:tcW w:type="dxa" w:w="4176"/>
            <w:shd w:val="clear" w:fill="F6F8FA"/>
          </w:tcPr>
          <w:p>
            <w:r/>
            <w:r>
              <w:rPr>
                <w:b/>
                <w:sz w:val="19"/>
              </w:rPr>
              <w:t>Net benefit (year 1)</w:t>
            </w:r>
          </w:p>
        </w:tc>
        <w:tc>
          <w:tcPr>
            <w:tcW w:type="dxa" w:w="1728"/>
            <w:shd w:val="clear" w:fill="F6F8FA"/>
          </w:tcPr>
          <w:p>
            <w:r/>
            <w:r>
              <w:rPr>
                <w:b/>
                <w:sz w:val="19"/>
              </w:rPr>
              <w:t>£120k</w:t>
            </w:r>
          </w:p>
        </w:tc>
        <w:tc>
          <w:tcPr>
            <w:tcW w:type="dxa" w:w="1584"/>
            <w:shd w:val="clear" w:fill="F6F8FA"/>
          </w:tcPr>
          <w:p>
            <w:r/>
            <w:r>
              <w:rPr>
                <w:b/>
                <w:sz w:val="19"/>
              </w:rPr>
              <w:t>£305k</w:t>
            </w:r>
          </w:p>
        </w:tc>
        <w:tc>
          <w:tcPr>
            <w:tcW w:type="dxa" w:w="1728"/>
            <w:shd w:val="clear" w:fill="F6F8FA"/>
          </w:tcPr>
          <w:p>
            <w:r/>
            <w:r>
              <w:rPr>
                <w:b/>
                <w:sz w:val="19"/>
              </w:rPr>
              <w:t>£550k</w:t>
            </w:r>
          </w:p>
        </w:tc>
      </w:tr>
      <w:tr>
        <w:tc>
          <w:tcPr>
            <w:tcW w:type="dxa" w:w="4176"/>
            <w:shd w:val="clear" w:fill="F6F8FA"/>
          </w:tcPr>
          <w:p>
            <w:r/>
            <w:r>
              <w:rPr>
                <w:b/>
                <w:sz w:val="19"/>
              </w:rPr>
              <w:t>ROI (year 1)</w:t>
            </w:r>
          </w:p>
        </w:tc>
        <w:tc>
          <w:tcPr>
            <w:tcW w:type="dxa" w:w="1728"/>
            <w:shd w:val="clear" w:fill="F6F8FA"/>
          </w:tcPr>
          <w:p>
            <w:r/>
            <w:r>
              <w:rPr>
                <w:b/>
                <w:sz w:val="19"/>
              </w:rPr>
              <w:t>86%</w:t>
            </w:r>
          </w:p>
        </w:tc>
        <w:tc>
          <w:tcPr>
            <w:tcW w:type="dxa" w:w="1584"/>
            <w:shd w:val="clear" w:fill="F6F8FA"/>
          </w:tcPr>
          <w:p>
            <w:r/>
            <w:r>
              <w:rPr>
                <w:b/>
                <w:sz w:val="19"/>
              </w:rPr>
              <w:t>218%</w:t>
            </w:r>
          </w:p>
        </w:tc>
        <w:tc>
          <w:tcPr>
            <w:tcW w:type="dxa" w:w="1728"/>
            <w:shd w:val="clear" w:fill="F6F8FA"/>
          </w:tcPr>
          <w:p>
            <w:r/>
            <w:r>
              <w:rPr>
                <w:b/>
                <w:sz w:val="19"/>
              </w:rPr>
              <w:t>393%</w:t>
            </w:r>
          </w:p>
        </w:tc>
      </w:tr>
      <w:tr>
        <w:tc>
          <w:tcPr>
            <w:tcW w:type="dxa" w:w="4176"/>
            <w:shd w:val="clear" w:fill="F6F8FA"/>
          </w:tcPr>
          <w:p>
            <w:r/>
            <w:r>
              <w:rPr>
                <w:b/>
                <w:sz w:val="19"/>
              </w:rPr>
              <w:t>Payback period</w:t>
            </w:r>
          </w:p>
        </w:tc>
        <w:tc>
          <w:tcPr>
            <w:tcW w:type="dxa" w:w="1728"/>
            <w:shd w:val="clear" w:fill="F6F8FA"/>
          </w:tcPr>
          <w:p>
            <w:r/>
            <w:r>
              <w:rPr>
                <w:b/>
                <w:sz w:val="19"/>
              </w:rPr>
              <w:t>~7 months</w:t>
            </w:r>
          </w:p>
        </w:tc>
        <w:tc>
          <w:tcPr>
            <w:tcW w:type="dxa" w:w="1584"/>
            <w:shd w:val="clear" w:fill="F6F8FA"/>
          </w:tcPr>
          <w:p>
            <w:r/>
            <w:r>
              <w:rPr>
                <w:b/>
                <w:sz w:val="19"/>
              </w:rPr>
              <w:t>~4 months</w:t>
            </w:r>
          </w:p>
        </w:tc>
        <w:tc>
          <w:tcPr>
            <w:tcW w:type="dxa" w:w="1728"/>
            <w:shd w:val="clear" w:fill="F6F8FA"/>
          </w:tcPr>
          <w:p>
            <w:r/>
            <w:r>
              <w:rPr>
                <w:b/>
                <w:sz w:val="19"/>
              </w:rPr>
              <w:t>~2.5 months</w:t>
            </w:r>
          </w:p>
        </w:tc>
      </w:tr>
    </w:tbl>
    <w:p/>
    <w:p>
      <w:pPr>
        <w:pStyle w:val="Heading2"/>
      </w:pPr>
      <w:r>
        <w:rPr>
          <w:color w:val="1F2328"/>
        </w:rPr>
        <w:t>Key assumptions</w:t>
      </w:r>
    </w:p>
    <w:p>
      <w:pPr>
        <w:pStyle w:val="ListBullet"/>
        <w:spacing w:after="40"/>
      </w:pPr>
      <w:r>
        <w:t>Blended day rate £700; programme ~£2M over 6–12 months; ~20 integrations.</w:t>
      </w:r>
    </w:p>
    <w:p>
      <w:pPr>
        <w:pStyle w:val="ListBullet"/>
        <w:spacing w:after="40"/>
      </w:pPr>
      <w:r>
        <w:t>Defect remediation ~£300 in design vs ~£3,000 in UAT (~10× phase multiplier).</w:t>
      </w:r>
    </w:p>
    <w:p>
      <w:pPr>
        <w:pStyle w:val="ListBullet"/>
        <w:spacing w:after="40"/>
      </w:pPr>
      <w:r>
        <w:t>Investment: £120k one-off productionisation + £20k/year to run.</w:t>
      </w:r>
    </w:p>
    <w:p>
      <w:pPr>
        <w:pStyle w:val="ListBullet"/>
        <w:spacing w:after="40"/>
      </w:pPr>
      <w:r>
        <w:t>Cadence: 1–2 upgrade programmes/year. Accelerators are reusable assets — year 2+ carries only the ~£20k run cost, so ROI rises sharply.</w:t>
      </w:r>
    </w:p>
    <w:p>
      <w:pPr>
        <w:pStyle w:val="ListBullet"/>
        <w:spacing w:after="40"/>
      </w:pPr>
      <w:r>
        <w:t>All figures are illustrative; replace with client baselines. The app already captures many of the required inputs (integration inventory, coverage %, data quality, customisation footprint).</w:t>
      </w:r>
    </w:p>
    <w:p>
      <w:pPr>
        <w:pStyle w:val="Heading2"/>
      </w:pPr>
      <w:r>
        <w:rPr>
          <w:color w:val="1F2328"/>
        </w:rPr>
        <w:t>Sensitivity</w:t>
      </w:r>
    </w:p>
    <w:p>
      <w:pPr>
        <w:pStyle w:val="ListBullet"/>
        <w:spacing w:after="40"/>
      </w:pPr>
      <w:r>
        <w:t>Most sensitive to: blended day rate, defect-leakage volume and the phase multiplier, and number of programmes per year.</w:t>
      </w:r>
    </w:p>
    <w:p>
      <w:pPr>
        <w:pStyle w:val="ListBullet"/>
        <w:spacing w:after="40"/>
      </w:pPr>
      <w:r>
        <w:t>Reuse is the largest multiplier — each additional upgrade adds near-full benefit at close to zero marginal build cost.</w:t>
      </w:r>
    </w:p>
    <w:p>
      <w:pPr>
        <w:pStyle w:val="ListBullet"/>
        <w:spacing w:after="40"/>
      </w:pPr>
      <w:r>
        <w:t>Even at the conservative case (86% year-1 ROI) the suite pays back inside two quarters.</w:t>
      </w:r>
    </w:p>
    <w:p>
      <w:pPr>
        <w:pStyle w:val="Heading2"/>
      </w:pPr>
      <w:r>
        <w:rPr>
          <w:color w:val="1F2328"/>
        </w:rPr>
        <w:t>Evidencing realised ROI</w:t>
      </w:r>
    </w:p>
    <w:p>
      <w:pPr>
        <w:spacing w:after="120"/>
      </w:pPr>
      <w:r>
        <w:t>Track these leading indicators per area to prove the benefit is being realised:</w:t>
      </w:r>
    </w:p>
    <w:tbl>
      <w:tblPr>
        <w:tblW w:type="auto" w:w="0"/>
        <w:tblLook w:firstColumn="1" w:firstRow="1" w:lastColumn="0" w:lastRow="0" w:noHBand="0" w:noVBand="1" w:val="04A0"/>
        <w:tblBorders>
          <w:top w:val="single" w:sz="4" w:color="D0D7DE"/>
          <w:left w:val="single" w:sz="4" w:color="D0D7DE"/>
          <w:bottom w:val="single" w:sz="4" w:color="D0D7DE"/>
          <w:right w:val="single" w:sz="4" w:color="D0D7DE"/>
          <w:insideH w:val="single" w:sz="4" w:color="D0D7DE"/>
          <w:insideV w:val="single" w:sz="4" w:color="D0D7DE"/>
        </w:tblBorders>
      </w:tblPr>
      <w:tblGrid>
        <w:gridCol w:w="4320"/>
        <w:gridCol w:w="4320"/>
      </w:tblGrid>
      <w:tr>
        <w:tc>
          <w:tcPr>
            <w:tcW w:type="dxa" w:w="3312"/>
            <w:shd w:val="clear" w:fill="1F2328"/>
          </w:tcPr>
          <w:p>
            <w:r/>
            <w:r>
              <w:rPr>
                <w:b/>
                <w:color w:val="FFFFFF"/>
                <w:sz w:val="19"/>
              </w:rPr>
              <w:t>Accelerator</w:t>
            </w:r>
          </w:p>
        </w:tc>
        <w:tc>
          <w:tcPr>
            <w:tcW w:type="dxa" w:w="5616"/>
            <w:shd w:val="clear" w:fill="1F2328"/>
          </w:tcPr>
          <w:p>
            <w:r/>
            <w:r>
              <w:rPr>
                <w:b/>
                <w:color w:val="FFFFFF"/>
                <w:sz w:val="19"/>
              </w:rPr>
              <w:t>Leading indicators</w:t>
            </w:r>
          </w:p>
        </w:tc>
      </w:tr>
      <w:tr>
        <w:tc>
          <w:tcPr>
            <w:tcW w:type="dxa" w:w="3312"/>
          </w:tcPr>
          <w:p>
            <w:r/>
            <w:r>
              <w:rPr>
                <w:b w:val="0"/>
                <w:sz w:val="19"/>
              </w:rPr>
              <w:t>Upgrade Readiness Scoring</w:t>
            </w:r>
          </w:p>
        </w:tc>
        <w:tc>
          <w:tcPr>
            <w:tcW w:type="dxa" w:w="5616"/>
          </w:tcPr>
          <w:p>
            <w:r/>
            <w:r>
              <w:rPr>
                <w:b w:val="0"/>
                <w:sz w:val="19"/>
              </w:rPr>
              <w:t>Assessment cycle time; blockers found pre-build vs in-build; estimate accuracy; overrun %.</w:t>
            </w:r>
          </w:p>
        </w:tc>
      </w:tr>
      <w:tr>
        <w:tc>
          <w:tcPr>
            <w:tcW w:type="dxa" w:w="3312"/>
          </w:tcPr>
          <w:p>
            <w:r/>
            <w:r>
              <w:rPr>
                <w:b w:val="0"/>
                <w:sz w:val="19"/>
              </w:rPr>
              <w:t>Vendor Mocks &amp; Contract Tests</w:t>
            </w:r>
          </w:p>
        </w:tc>
        <w:tc>
          <w:tcPr>
            <w:tcW w:type="dxa" w:w="5616"/>
          </w:tcPr>
          <w:p>
            <w:r/>
            <w:r>
              <w:rPr>
                <w:b w:val="0"/>
                <w:sz w:val="19"/>
              </w:rPr>
              <w:t>Defect escape rate by phase; integration test start vs vendor readiness; blocked test-days avoided; contract coverage %.</w:t>
            </w:r>
          </w:p>
        </w:tc>
      </w:tr>
      <w:tr>
        <w:tc>
          <w:tcPr>
            <w:tcW w:type="dxa" w:w="3312"/>
          </w:tcPr>
          <w:p>
            <w:r/>
            <w:r>
              <w:rPr>
                <w:b w:val="0"/>
                <w:sz w:val="19"/>
              </w:rPr>
              <w:t>Data Migration Assist</w:t>
            </w:r>
          </w:p>
        </w:tc>
        <w:tc>
          <w:tcPr>
            <w:tcW w:type="dxa" w:w="5616"/>
          </w:tcPr>
          <w:p>
            <w:r/>
            <w:r>
              <w:rPr>
                <w:b w:val="0"/>
                <w:sz w:val="19"/>
              </w:rPr>
              <w:t>Dry-run count; first-time reconciliation pass rate; defects per 10k records; post-go-live data incidents.</w:t>
            </w:r>
          </w:p>
        </w:tc>
      </w:tr>
    </w:tbl>
    <w:p/>
    <w:p>
      <w:r>
        <w:rPr>
          <w:i/>
          <w:color w:val="656D76"/>
          <w:sz w:val="18"/>
        </w:rPr>
        <w:t>Figures are illustrative and should be replaced with client baselines before use in a funding decision.</w:t>
      </w:r>
    </w:p>
    <w:p>
      <w:r>
        <w:br w:type="page"/>
      </w:r>
    </w:p>
    <w:p>
      <w:pPr>
        <w:pStyle w:val="Heading1"/>
      </w:pPr>
      <w:r>
        <w:rPr>
          <w:color w:val="0969DA"/>
        </w:rPr>
        <w:t>Technical Summary</w:t>
      </w:r>
    </w:p>
    <w:p>
      <w:pPr>
        <w:spacing w:after="120"/>
      </w:pPr>
      <w:r>
        <w:t>Architecture and key modules:</w:t>
      </w:r>
    </w:p>
    <w:p>
      <w:pPr>
        <w:pStyle w:val="ListBullet"/>
        <w:spacing w:after="40"/>
      </w:pPr>
      <w:r>
        <w:t>Framework: Next.js 15 (App Router) with React 19 and TypeScript.</w:t>
      </w:r>
    </w:p>
    <w:p>
      <w:pPr>
        <w:pStyle w:val="ListBullet"/>
        <w:spacing w:after="40"/>
      </w:pPr>
      <w:r>
        <w:t>Rule engine: lib/readiness.ts, lib/contracts.ts (AJV), lib/migration.ts, lib/mockVendors.ts.</w:t>
      </w:r>
    </w:p>
    <w:p>
      <w:pPr>
        <w:pStyle w:val="ListBullet"/>
        <w:spacing w:after="40"/>
      </w:pPr>
      <w:r>
        <w:t>Risk heatmap: lib/heatmap.ts — six-dimension health/risk model surfaced via the advisory endpoint.</w:t>
      </w:r>
    </w:p>
    <w:p>
      <w:pPr>
        <w:pStyle w:val="ListBullet"/>
        <w:spacing w:after="40"/>
      </w:pPr>
      <w:r>
        <w:t>Sample scenarios: lib/samples.ts — readiness profiles, migration datasets, and contract example payloads.</w:t>
      </w:r>
    </w:p>
    <w:p>
      <w:pPr>
        <w:pStyle w:val="ListBullet"/>
        <w:spacing w:after="40"/>
      </w:pPr>
      <w:r>
        <w:t>Steering pack: lib/report.ts — Markdown report builder, with a print stylesheet for Save as PDF.</w:t>
      </w:r>
    </w:p>
    <w:p>
      <w:pPr>
        <w:pStyle w:val="ListBullet"/>
        <w:spacing w:after="40"/>
      </w:pPr>
      <w:r>
        <w:t>AI layer: lib/ai.ts using @anthropic-ai/sdk, model claude-opus-4-8 with adaptive thinking, with deterministic fallbacks.</w:t>
      </w:r>
    </w:p>
    <w:p>
      <w:pPr>
        <w:pStyle w:val="ListBullet"/>
      </w:pPr>
      <w:r>
        <w:t xml:space="preserve">AI routes: </w:t>
      </w:r>
      <w:r>
        <w:rPr>
          <w:rFonts w:ascii="Consolas" w:hAnsi="Consolas"/>
          <w:sz w:val="20"/>
        </w:rPr>
        <w:t>POST /api/ai/advisory</w:t>
      </w:r>
      <w:r>
        <w:t xml:space="preserve"> and </w:t>
      </w:r>
      <w:r>
        <w:rPr>
          <w:rFonts w:ascii="Consolas" w:hAnsi="Consolas"/>
          <w:sz w:val="20"/>
        </w:rPr>
        <w:t>POST /api/ai/migration-remediation</w:t>
      </w:r>
      <w:r>
        <w:t>.</w:t>
      </w:r>
    </w:p>
    <w:p>
      <w:pPr>
        <w:pStyle w:val="ListBullet"/>
      </w:pPr>
      <w:r>
        <w:t xml:space="preserve">Deterministic routes: </w:t>
      </w:r>
      <w:r>
        <w:rPr>
          <w:rFonts w:ascii="Consolas" w:hAnsi="Consolas"/>
          <w:sz w:val="20"/>
        </w:rPr>
        <w:t>/api/readiness/score</w:t>
      </w:r>
      <w:r>
        <w:t xml:space="preserve">, </w:t>
      </w:r>
      <w:r>
        <w:rPr>
          <w:rFonts w:ascii="Consolas" w:hAnsi="Consolas"/>
          <w:sz w:val="20"/>
        </w:rPr>
        <w:t>/api/contracts/run</w:t>
      </w:r>
      <w:r>
        <w:t xml:space="preserve">, </w:t>
      </w:r>
      <w:r>
        <w:rPr>
          <w:rFonts w:ascii="Consolas" w:hAnsi="Consolas"/>
          <w:sz w:val="20"/>
        </w:rPr>
        <w:t>/api/migration/validate</w:t>
      </w:r>
      <w:r>
        <w:t xml:space="preserve">, </w:t>
      </w:r>
      <w:r>
        <w:rPr>
          <w:rFonts w:ascii="Consolas" w:hAnsi="Consolas"/>
          <w:sz w:val="20"/>
        </w:rPr>
        <w:t>/api/mocks/vendor/{vendor}</w:t>
      </w:r>
      <w:r>
        <w:t>.</w:t>
      </w:r>
    </w:p>
    <w:p>
      <w:pPr>
        <w:pStyle w:val="ListBullet"/>
        <w:spacing w:after="40"/>
      </w:pPr>
      <w:r>
        <w:t>UI: GitHub Primer-inspired design system (globals.css) with a shared header/footer, cards, labels, heatmap grid, and tables.</w:t>
      </w:r>
    </w:p>
    <w:p/>
    <w:p>
      <w:r>
        <w:t xml:space="preserve">To enable the live AI features, set </w:t>
      </w:r>
      <w:r>
        <w:rPr>
          <w:rFonts w:ascii="Consolas" w:hAnsi="Consolas"/>
          <w:sz w:val="20"/>
        </w:rPr>
        <w:t>ANTHROPIC_API_KEY</w:t>
      </w:r>
      <w:r>
        <w:t xml:space="preserve"> (see </w:t>
      </w:r>
      <w:r>
        <w:rPr>
          <w:rFonts w:ascii="Consolas" w:hAnsi="Consolas"/>
          <w:sz w:val="20"/>
        </w:rPr>
        <w:t>.env.example</w:t>
      </w:r>
      <w:r>
        <w:t>). Without it, the screens shown above render the deterministic fallback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