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152D8" w14:textId="73967226" w:rsidR="00F8190D" w:rsidRPr="00B442E1" w:rsidRDefault="00F717F2" w:rsidP="00F717F2">
      <w:pPr>
        <w:ind w:left="1440" w:firstLine="720"/>
        <w:rPr>
          <w:b/>
          <w:highlight w:val="yellow"/>
          <w:u w:val="single"/>
        </w:rPr>
      </w:pPr>
      <w:r w:rsidRPr="00B442E1">
        <w:rPr>
          <w:b/>
          <w:highlight w:val="yellow"/>
          <w:u w:val="single"/>
        </w:rPr>
        <w:t>Analysis Report on the Kickstarter Project</w:t>
      </w:r>
    </w:p>
    <w:p w14:paraId="2F0617A2" w14:textId="17C57DB7" w:rsidR="00F717F2" w:rsidRPr="00B442E1" w:rsidRDefault="00F717F2" w:rsidP="00F717F2">
      <w:pPr>
        <w:rPr>
          <w:b/>
          <w:u w:val="single"/>
        </w:rPr>
      </w:pPr>
    </w:p>
    <w:p w14:paraId="0E74A37C" w14:textId="7F1BBE10" w:rsidR="00F717F2" w:rsidRPr="00B442E1" w:rsidRDefault="00F717F2" w:rsidP="00F717F2">
      <w:pPr>
        <w:rPr>
          <w:b/>
        </w:rPr>
      </w:pPr>
      <w:r w:rsidRPr="00B442E1">
        <w:rPr>
          <w:b/>
        </w:rPr>
        <w:t>Section I</w:t>
      </w:r>
    </w:p>
    <w:p w14:paraId="36122D39" w14:textId="79A7C185" w:rsidR="009208CD" w:rsidRPr="00B442E1" w:rsidRDefault="00F717F2" w:rsidP="009208CD">
      <w:pPr>
        <w:rPr>
          <w:u w:val="single"/>
        </w:rPr>
      </w:pPr>
      <w:r w:rsidRPr="00B442E1">
        <w:rPr>
          <w:u w:val="single"/>
        </w:rPr>
        <w:t>3 conclusions on the project based on the provided data</w:t>
      </w:r>
      <w:r w:rsidR="009208CD" w:rsidRPr="00B442E1">
        <w:rPr>
          <w:u w:val="single"/>
        </w:rPr>
        <w:t>:</w:t>
      </w:r>
    </w:p>
    <w:p w14:paraId="33B80035" w14:textId="660611CF" w:rsidR="009208CD" w:rsidRPr="00B442E1" w:rsidRDefault="009208CD" w:rsidP="009208CD">
      <w:pPr>
        <w:pStyle w:val="ListParagraph"/>
        <w:numPr>
          <w:ilvl w:val="0"/>
          <w:numId w:val="3"/>
        </w:numPr>
      </w:pPr>
      <w:r w:rsidRPr="00B442E1">
        <w:t xml:space="preserve">Based on the pivot table by category, a histogram gives a clear </w:t>
      </w:r>
      <w:r w:rsidR="00D023F5" w:rsidRPr="00B442E1">
        <w:t xml:space="preserve">picture of the most popular categories. </w:t>
      </w:r>
    </w:p>
    <w:p w14:paraId="11E62B10" w14:textId="4265A97B" w:rsidR="00D023F5" w:rsidRPr="00B442E1" w:rsidRDefault="00D023F5" w:rsidP="00D023F5">
      <w:pPr>
        <w:pStyle w:val="ListParagraph"/>
      </w:pPr>
      <w:r w:rsidRPr="00B442E1">
        <w:rPr>
          <w:noProof/>
        </w:rPr>
        <w:drawing>
          <wp:inline distT="0" distB="0" distL="0" distR="0" wp14:anchorId="15966704" wp14:editId="45FAD26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AF7DA3-D20D-4FB3-A017-150DE4555E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123B025" w14:textId="25035503" w:rsidR="00D023F5" w:rsidRPr="00B442E1" w:rsidRDefault="00D023F5" w:rsidP="00D023F5">
      <w:pPr>
        <w:pStyle w:val="ListParagraph"/>
      </w:pPr>
    </w:p>
    <w:p w14:paraId="0BE127CA" w14:textId="1535909F" w:rsidR="00D023F5" w:rsidRPr="00B442E1" w:rsidRDefault="002C51DF" w:rsidP="00D023F5">
      <w:pPr>
        <w:pStyle w:val="ListParagraph"/>
      </w:pPr>
      <w:r w:rsidRPr="00B442E1">
        <w:t>3 categories stand out in terms of successful campaigns</w:t>
      </w:r>
    </w:p>
    <w:p w14:paraId="42F9DAB0" w14:textId="3ECD0CC9" w:rsidR="002C51DF" w:rsidRPr="00B442E1" w:rsidRDefault="002C51DF" w:rsidP="002C51DF">
      <w:pPr>
        <w:pStyle w:val="ListParagraph"/>
        <w:numPr>
          <w:ilvl w:val="0"/>
          <w:numId w:val="5"/>
        </w:numPr>
      </w:pPr>
      <w:r w:rsidRPr="00B442E1">
        <w:t>Theater</w:t>
      </w:r>
    </w:p>
    <w:p w14:paraId="5B7050F6" w14:textId="32351FD3" w:rsidR="002C51DF" w:rsidRPr="00B442E1" w:rsidRDefault="007D4A04" w:rsidP="002C51DF">
      <w:pPr>
        <w:pStyle w:val="ListParagraph"/>
        <w:numPr>
          <w:ilvl w:val="0"/>
          <w:numId w:val="5"/>
        </w:numPr>
      </w:pPr>
      <w:r w:rsidRPr="00B442E1">
        <w:t>Music</w:t>
      </w:r>
    </w:p>
    <w:p w14:paraId="3B12BE30" w14:textId="648F5422" w:rsidR="007D4A04" w:rsidRPr="00B442E1" w:rsidRDefault="007D4A04" w:rsidP="002C51DF">
      <w:pPr>
        <w:pStyle w:val="ListParagraph"/>
        <w:numPr>
          <w:ilvl w:val="0"/>
          <w:numId w:val="5"/>
        </w:numPr>
      </w:pPr>
      <w:r w:rsidRPr="00B442E1">
        <w:t>Film and Video</w:t>
      </w:r>
    </w:p>
    <w:p w14:paraId="699B79EF" w14:textId="58182BB6" w:rsidR="007D4A04" w:rsidRPr="00B442E1" w:rsidRDefault="007D4A04" w:rsidP="007D4A04">
      <w:pPr>
        <w:ind w:left="720"/>
      </w:pPr>
      <w:r w:rsidRPr="00B442E1">
        <w:t>A closer quantitative look at these 3 categories (the ratio of successful / (failed + cancelled)</w:t>
      </w:r>
      <w:r w:rsidR="006C6F55">
        <w:t>)</w:t>
      </w:r>
      <w:r w:rsidR="00192FDD" w:rsidRPr="00B442E1">
        <w:t>, shows that Music is the most preferred category.</w:t>
      </w:r>
    </w:p>
    <w:p w14:paraId="2360B609" w14:textId="483539F1" w:rsidR="00192FDD" w:rsidRPr="00B442E1" w:rsidRDefault="00192FDD" w:rsidP="007D4A04">
      <w:pPr>
        <w:ind w:left="720"/>
      </w:pPr>
      <w:r w:rsidRPr="00B442E1">
        <w:rPr>
          <w:i/>
        </w:rPr>
        <w:t xml:space="preserve">Music </w:t>
      </w:r>
      <w:r w:rsidRPr="00B442E1">
        <w:t>540 / (120+20) = 3.857</w:t>
      </w:r>
    </w:p>
    <w:p w14:paraId="3CFCB0A0" w14:textId="759A5E09" w:rsidR="00192FDD" w:rsidRPr="00B442E1" w:rsidRDefault="00192FDD" w:rsidP="007D4A04">
      <w:pPr>
        <w:ind w:left="720"/>
      </w:pPr>
      <w:r w:rsidRPr="00B442E1">
        <w:rPr>
          <w:i/>
        </w:rPr>
        <w:t>Theater</w:t>
      </w:r>
      <w:r w:rsidRPr="00B442E1">
        <w:t xml:space="preserve"> 839</w:t>
      </w:r>
      <w:r w:rsidR="00B525FA">
        <w:t xml:space="preserve"> </w:t>
      </w:r>
      <w:r w:rsidRPr="00B442E1">
        <w:t>/</w:t>
      </w:r>
      <w:r w:rsidR="00B525FA">
        <w:t xml:space="preserve"> </w:t>
      </w:r>
      <w:r w:rsidRPr="00B442E1">
        <w:t>(493+37) = 1.566</w:t>
      </w:r>
    </w:p>
    <w:p w14:paraId="346012F3" w14:textId="7CCC7D3D" w:rsidR="00192FDD" w:rsidRPr="00B442E1" w:rsidRDefault="00192FDD" w:rsidP="007D4A04">
      <w:pPr>
        <w:ind w:left="720"/>
      </w:pPr>
      <w:r w:rsidRPr="00B442E1">
        <w:rPr>
          <w:i/>
        </w:rPr>
        <w:t>Film and Video</w:t>
      </w:r>
      <w:r w:rsidRPr="00B442E1">
        <w:t xml:space="preserve"> 300</w:t>
      </w:r>
      <w:r w:rsidR="00B525FA">
        <w:t xml:space="preserve"> </w:t>
      </w:r>
      <w:r w:rsidRPr="00B442E1">
        <w:t>/</w:t>
      </w:r>
      <w:r w:rsidR="00B525FA">
        <w:t xml:space="preserve"> </w:t>
      </w:r>
      <w:r w:rsidRPr="00B442E1">
        <w:t>(180+40) = 1.363</w:t>
      </w:r>
    </w:p>
    <w:p w14:paraId="553BFA1D" w14:textId="4B9B82D1" w:rsidR="00192FDD" w:rsidRPr="00B442E1" w:rsidRDefault="00192FDD" w:rsidP="007D4A04">
      <w:pPr>
        <w:ind w:left="720"/>
      </w:pPr>
      <w:r w:rsidRPr="00B442E1">
        <w:t>Conclusion: If I were to look for funding from Kickstarter for my venture, music would be my category of choice.</w:t>
      </w:r>
    </w:p>
    <w:p w14:paraId="0ADDF826" w14:textId="27F66C83" w:rsidR="00192FDD" w:rsidRPr="00B442E1" w:rsidRDefault="00192FDD" w:rsidP="007D4A04">
      <w:pPr>
        <w:ind w:left="720"/>
      </w:pPr>
    </w:p>
    <w:p w14:paraId="1CB786A5" w14:textId="3FBAB29B" w:rsidR="008407BB" w:rsidRPr="00B442E1" w:rsidRDefault="008407BB" w:rsidP="008407BB">
      <w:pPr>
        <w:pStyle w:val="ListParagraph"/>
        <w:numPr>
          <w:ilvl w:val="0"/>
          <w:numId w:val="3"/>
        </w:numPr>
      </w:pPr>
      <w:r w:rsidRPr="00B442E1">
        <w:t xml:space="preserve">Based on the pivot table by sub-category, a histogram gives a clear picture of the most popular </w:t>
      </w:r>
      <w:r w:rsidR="00D31987" w:rsidRPr="00B442E1">
        <w:t>sub-</w:t>
      </w:r>
      <w:r w:rsidRPr="00B442E1">
        <w:t xml:space="preserve">categories. </w:t>
      </w:r>
    </w:p>
    <w:p w14:paraId="33AD963D" w14:textId="7F1689F5" w:rsidR="008407BB" w:rsidRPr="00B442E1" w:rsidRDefault="00D31987" w:rsidP="008407BB">
      <w:pPr>
        <w:pStyle w:val="ListParagraph"/>
      </w:pPr>
      <w:r w:rsidRPr="00B442E1">
        <w:rPr>
          <w:noProof/>
        </w:rPr>
        <w:lastRenderedPageBreak/>
        <w:drawing>
          <wp:inline distT="0" distB="0" distL="0" distR="0" wp14:anchorId="1EB766C7" wp14:editId="2575E00A">
            <wp:extent cx="8629650" cy="359092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46E3139-DDB3-42DE-AAA0-7CA5FFA16F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25FA10A" w14:textId="5182E1A6" w:rsidR="008407BB" w:rsidRPr="00B442E1" w:rsidRDefault="008407BB" w:rsidP="007D4A04">
      <w:pPr>
        <w:ind w:left="720"/>
      </w:pPr>
    </w:p>
    <w:p w14:paraId="5C2839E5" w14:textId="7862B41B" w:rsidR="002C51DF" w:rsidRPr="00B442E1" w:rsidRDefault="002C51DF" w:rsidP="002C51DF"/>
    <w:p w14:paraId="7DA45ACE" w14:textId="35F2EA57" w:rsidR="00D31987" w:rsidRPr="00B442E1" w:rsidRDefault="00487455" w:rsidP="00546E48">
      <w:pPr>
        <w:pStyle w:val="ListParagraph"/>
        <w:numPr>
          <w:ilvl w:val="0"/>
          <w:numId w:val="7"/>
        </w:numPr>
      </w:pPr>
      <w:r w:rsidRPr="00B442E1">
        <w:t xml:space="preserve">In </w:t>
      </w:r>
      <w:r w:rsidR="00D31987" w:rsidRPr="00B442E1">
        <w:t xml:space="preserve">the music category, the sub category “Indie Rock” is the most lucrative. </w:t>
      </w:r>
    </w:p>
    <w:p w14:paraId="1BB70F16" w14:textId="0F287AAB" w:rsidR="00D31987" w:rsidRPr="00B442E1" w:rsidRDefault="00D31987" w:rsidP="00546E48">
      <w:pPr>
        <w:pStyle w:val="ListParagraph"/>
        <w:numPr>
          <w:ilvl w:val="0"/>
          <w:numId w:val="7"/>
        </w:numPr>
      </w:pPr>
      <w:r w:rsidRPr="00B442E1">
        <w:t xml:space="preserve">In the Theater category the “Plays” sub-category </w:t>
      </w:r>
      <w:r w:rsidR="00B02631" w:rsidRPr="00B442E1">
        <w:t>gets the most funding.</w:t>
      </w:r>
    </w:p>
    <w:p w14:paraId="1EF6BA48" w14:textId="1151B03C" w:rsidR="00B02631" w:rsidRPr="00B442E1" w:rsidRDefault="00B02631" w:rsidP="00546E48">
      <w:pPr>
        <w:pStyle w:val="ListParagraph"/>
        <w:numPr>
          <w:ilvl w:val="0"/>
          <w:numId w:val="7"/>
        </w:numPr>
      </w:pPr>
      <w:r w:rsidRPr="00B442E1">
        <w:t xml:space="preserve">In the Film and Video category my pick would be “Documentary”. </w:t>
      </w:r>
    </w:p>
    <w:p w14:paraId="083A9B1F" w14:textId="78014254" w:rsidR="00D31987" w:rsidRPr="00B442E1" w:rsidRDefault="00B02631" w:rsidP="00E77F9E">
      <w:pPr>
        <w:ind w:firstLine="720"/>
      </w:pPr>
      <w:r w:rsidRPr="00B442E1">
        <w:t>Conclusion: To get f</w:t>
      </w:r>
      <w:r w:rsidR="00AD7AA0">
        <w:t>u</w:t>
      </w:r>
      <w:r w:rsidRPr="00B442E1">
        <w:t xml:space="preserve">nding from the Kickstarter project, my picks would be </w:t>
      </w:r>
    </w:p>
    <w:p w14:paraId="1F842132" w14:textId="0911D3FC" w:rsidR="00B02631" w:rsidRPr="00B442E1" w:rsidRDefault="00B02631" w:rsidP="006A5F68">
      <w:pPr>
        <w:pStyle w:val="ListParagraph"/>
        <w:numPr>
          <w:ilvl w:val="0"/>
          <w:numId w:val="6"/>
        </w:numPr>
      </w:pPr>
      <w:r w:rsidRPr="00B442E1">
        <w:t>Indie Rock (Music)</w:t>
      </w:r>
    </w:p>
    <w:p w14:paraId="7508BA42" w14:textId="73392703" w:rsidR="00B02631" w:rsidRPr="00B442E1" w:rsidRDefault="00B02631" w:rsidP="00B02631">
      <w:pPr>
        <w:pStyle w:val="ListParagraph"/>
        <w:numPr>
          <w:ilvl w:val="0"/>
          <w:numId w:val="6"/>
        </w:numPr>
      </w:pPr>
      <w:r w:rsidRPr="00B442E1">
        <w:t>Plays</w:t>
      </w:r>
      <w:r w:rsidR="003672B1" w:rsidRPr="00B442E1">
        <w:t xml:space="preserve"> </w:t>
      </w:r>
      <w:r w:rsidR="00487455" w:rsidRPr="00B442E1">
        <w:t>(Theater)</w:t>
      </w:r>
    </w:p>
    <w:p w14:paraId="47D7D3AB" w14:textId="39970F77" w:rsidR="00487455" w:rsidRPr="00B442E1" w:rsidRDefault="00487455" w:rsidP="00B02631">
      <w:pPr>
        <w:pStyle w:val="ListParagraph"/>
        <w:numPr>
          <w:ilvl w:val="0"/>
          <w:numId w:val="6"/>
        </w:numPr>
      </w:pPr>
      <w:r w:rsidRPr="00B442E1">
        <w:t>Documentary</w:t>
      </w:r>
      <w:r w:rsidR="003672B1" w:rsidRPr="00B442E1">
        <w:t xml:space="preserve"> </w:t>
      </w:r>
      <w:r w:rsidRPr="00B442E1">
        <w:t>(Film &amp; Video)</w:t>
      </w:r>
    </w:p>
    <w:p w14:paraId="649CA759" w14:textId="77777777" w:rsidR="00487455" w:rsidRPr="00B442E1" w:rsidRDefault="00487455" w:rsidP="00487455"/>
    <w:p w14:paraId="7D135323" w14:textId="77777777" w:rsidR="00B442E1" w:rsidRDefault="00B442E1">
      <w:r>
        <w:br w:type="page"/>
      </w:r>
    </w:p>
    <w:p w14:paraId="28E487D5" w14:textId="1414CD44" w:rsidR="008407BB" w:rsidRPr="00B442E1" w:rsidRDefault="006A5F68" w:rsidP="002C51DF">
      <w:pPr>
        <w:pStyle w:val="ListParagraph"/>
        <w:numPr>
          <w:ilvl w:val="0"/>
          <w:numId w:val="3"/>
        </w:numPr>
      </w:pPr>
      <w:r w:rsidRPr="00B442E1">
        <w:lastRenderedPageBreak/>
        <w:t xml:space="preserve">Based on the pivot table by </w:t>
      </w:r>
      <w:r w:rsidR="00E77F9E" w:rsidRPr="00B442E1">
        <w:t xml:space="preserve">month, it appears that the most successful projects are from the months of February thru July. The success rates taper down after July. </w:t>
      </w:r>
    </w:p>
    <w:p w14:paraId="7579EEEB" w14:textId="333F2B8B" w:rsidR="009B14AA" w:rsidRPr="00B442E1" w:rsidRDefault="00B442E1" w:rsidP="009B14AA">
      <w:pPr>
        <w:pStyle w:val="ListParagraph"/>
        <w:ind w:left="990"/>
      </w:pPr>
      <w:r>
        <w:rPr>
          <w:noProof/>
        </w:rPr>
        <w:drawing>
          <wp:inline distT="0" distB="0" distL="0" distR="0" wp14:anchorId="197650EF" wp14:editId="6B0BA7B4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92D04F1-BBA9-48B5-8A4B-2F1C2C0B54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A1CE85F" w14:textId="696950B6" w:rsidR="00F717F2" w:rsidRDefault="00F717F2" w:rsidP="00F717F2"/>
    <w:p w14:paraId="084A3EA5" w14:textId="1C750AE4" w:rsidR="00B442E1" w:rsidRDefault="00B442E1" w:rsidP="00B442E1">
      <w:pPr>
        <w:ind w:left="720"/>
      </w:pPr>
      <w:r>
        <w:t xml:space="preserve">Conclusion: To secure funding for your project, it is best to submit the project towards the beginning of the year and ensure that your project is submitted by July. </w:t>
      </w:r>
      <w:r w:rsidR="003C157E">
        <w:t>A probable reason</w:t>
      </w:r>
      <w:r>
        <w:t xml:space="preserve"> could be that funding for projects is approved earlier in the year and funds run out late summer falling to the lowest by year end. A “rolling wave / first come first serve” rule appears to be the norm.</w:t>
      </w:r>
    </w:p>
    <w:p w14:paraId="512F9F19" w14:textId="2AF76CDB" w:rsidR="006247EC" w:rsidRDefault="006247EC" w:rsidP="00B442E1">
      <w:pPr>
        <w:ind w:left="720"/>
      </w:pPr>
    </w:p>
    <w:p w14:paraId="3C267076" w14:textId="7C9FD50F" w:rsidR="006247EC" w:rsidRDefault="006247EC" w:rsidP="006247EC">
      <w:pPr>
        <w:rPr>
          <w:b/>
        </w:rPr>
      </w:pPr>
      <w:r w:rsidRPr="00B442E1">
        <w:rPr>
          <w:b/>
        </w:rPr>
        <w:t>Section I</w:t>
      </w:r>
      <w:r w:rsidR="00D255E4">
        <w:rPr>
          <w:b/>
        </w:rPr>
        <w:t>I</w:t>
      </w:r>
    </w:p>
    <w:p w14:paraId="1ABD9A83" w14:textId="309B4AF7" w:rsidR="00D255E4" w:rsidRPr="00E57138" w:rsidRDefault="00D255E4" w:rsidP="006247EC">
      <w:pPr>
        <w:rPr>
          <w:u w:val="single"/>
        </w:rPr>
      </w:pPr>
      <w:r w:rsidRPr="00E57138">
        <w:rPr>
          <w:u w:val="single"/>
        </w:rPr>
        <w:t xml:space="preserve">Limitations in data provided </w:t>
      </w:r>
    </w:p>
    <w:p w14:paraId="68ED9216" w14:textId="7417C0ED" w:rsidR="00E57138" w:rsidRDefault="00E57138" w:rsidP="00E57138">
      <w:r>
        <w:t xml:space="preserve">Based on the background provided, 300,000 projects were launched on </w:t>
      </w:r>
      <w:proofErr w:type="spellStart"/>
      <w:r>
        <w:t>KickStarter</w:t>
      </w:r>
      <w:proofErr w:type="spellEnd"/>
      <w:r>
        <w:t xml:space="preserve">. The data in the spreadsheet is for approx. 4000 projects representing a mere 1.33% of the total. The analysis based on such a small data set could be skewed and result in a bias towards a category. </w:t>
      </w:r>
    </w:p>
    <w:p w14:paraId="53DCEAE5" w14:textId="0136D9F4" w:rsidR="00E57138" w:rsidRDefault="00E57138" w:rsidP="00E57138">
      <w:r>
        <w:t xml:space="preserve">Furthermore, there is no indication of the method used for sampling the data provided in the spreadsheet for analysis. </w:t>
      </w:r>
      <w:r w:rsidR="008D700A">
        <w:t xml:space="preserve"> The sample data could well be biased, which could </w:t>
      </w:r>
      <w:r w:rsidR="0035019B">
        <w:t>result in</w:t>
      </w:r>
      <w:r w:rsidR="008D700A">
        <w:t xml:space="preserve"> an even more biased analysis.</w:t>
      </w:r>
    </w:p>
    <w:p w14:paraId="30541AFE" w14:textId="77777777" w:rsidR="00701CDA" w:rsidRDefault="00701CDA" w:rsidP="00E57138">
      <w:bookmarkStart w:id="0" w:name="_GoBack"/>
      <w:bookmarkEnd w:id="0"/>
    </w:p>
    <w:p w14:paraId="6BD0A12B" w14:textId="77777777" w:rsidR="008D700A" w:rsidRDefault="008D700A" w:rsidP="008D700A">
      <w:pPr>
        <w:rPr>
          <w:b/>
        </w:rPr>
      </w:pPr>
      <w:r w:rsidRPr="00B442E1">
        <w:rPr>
          <w:b/>
        </w:rPr>
        <w:t>Section I</w:t>
      </w:r>
      <w:r>
        <w:rPr>
          <w:b/>
        </w:rPr>
        <w:t>I</w:t>
      </w:r>
    </w:p>
    <w:p w14:paraId="5B7327F4" w14:textId="35B95AFA" w:rsidR="008D700A" w:rsidRDefault="0001195E" w:rsidP="00E57138">
      <w:r>
        <w:t>Other possible charts:</w:t>
      </w:r>
    </w:p>
    <w:p w14:paraId="22E4031C" w14:textId="7210ACD4" w:rsidR="0001195E" w:rsidRDefault="0001195E" w:rsidP="00E57138">
      <w:r>
        <w:t xml:space="preserve">Histograms and pie charts </w:t>
      </w:r>
      <w:r w:rsidR="00926E1B">
        <w:t xml:space="preserve">can be used to graphically illustrate the data. They tend to serve better than a Line Chart to pictorially represent the data. Additionally, a scatter plot with a Trend line can be used to show the deviations of the various data points from the mean. </w:t>
      </w:r>
    </w:p>
    <w:p w14:paraId="54C95C4B" w14:textId="77777777" w:rsidR="008D700A" w:rsidRPr="00B442E1" w:rsidRDefault="008D700A" w:rsidP="00E57138"/>
    <w:sectPr w:rsidR="008D700A" w:rsidRPr="00B4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A38DC"/>
    <w:multiLevelType w:val="hybridMultilevel"/>
    <w:tmpl w:val="02EEAC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5372D"/>
    <w:multiLevelType w:val="hybridMultilevel"/>
    <w:tmpl w:val="204EB664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11674"/>
    <w:multiLevelType w:val="hybridMultilevel"/>
    <w:tmpl w:val="6CC090FE"/>
    <w:lvl w:ilvl="0" w:tplc="00CCE86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DA5071"/>
    <w:multiLevelType w:val="hybridMultilevel"/>
    <w:tmpl w:val="17FC5CBE"/>
    <w:lvl w:ilvl="0" w:tplc="4BFA393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FA7E4F"/>
    <w:multiLevelType w:val="hybridMultilevel"/>
    <w:tmpl w:val="BB727848"/>
    <w:lvl w:ilvl="0" w:tplc="00CCE86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D5236"/>
    <w:multiLevelType w:val="hybridMultilevel"/>
    <w:tmpl w:val="0456C730"/>
    <w:lvl w:ilvl="0" w:tplc="05EEFF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313435"/>
    <w:multiLevelType w:val="hybridMultilevel"/>
    <w:tmpl w:val="46D4AF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F2"/>
    <w:rsid w:val="0001195E"/>
    <w:rsid w:val="00192FDD"/>
    <w:rsid w:val="002C51DF"/>
    <w:rsid w:val="0035019B"/>
    <w:rsid w:val="003672B1"/>
    <w:rsid w:val="003C157E"/>
    <w:rsid w:val="00487455"/>
    <w:rsid w:val="00546E48"/>
    <w:rsid w:val="006247EC"/>
    <w:rsid w:val="006A5F68"/>
    <w:rsid w:val="006C6F55"/>
    <w:rsid w:val="00701CDA"/>
    <w:rsid w:val="007D4A04"/>
    <w:rsid w:val="008407BB"/>
    <w:rsid w:val="008A4549"/>
    <w:rsid w:val="008D700A"/>
    <w:rsid w:val="009208CD"/>
    <w:rsid w:val="00926E1B"/>
    <w:rsid w:val="009B14AA"/>
    <w:rsid w:val="00AD7AA0"/>
    <w:rsid w:val="00B02631"/>
    <w:rsid w:val="00B33DF4"/>
    <w:rsid w:val="00B442E1"/>
    <w:rsid w:val="00B525FA"/>
    <w:rsid w:val="00D023F5"/>
    <w:rsid w:val="00D255E4"/>
    <w:rsid w:val="00D31987"/>
    <w:rsid w:val="00E57138"/>
    <w:rsid w:val="00E77F9E"/>
    <w:rsid w:val="00EF6D32"/>
    <w:rsid w:val="00F717F2"/>
    <w:rsid w:val="00F8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51D1"/>
  <w15:chartTrackingRefBased/>
  <w15:docId w15:val="{9AB73F58-ED8F-4B37-9F8F-315FE423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uj\DSBootCamp\HomeWork\one\StarterBook%20-%20Cop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uj\DSBootCamp\HomeWork\one\StarterBook%20-%20Cop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uj\DSBootCamp\HomeWork\one\StarterBook%20-%20Cop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Copy.xlsx]PvtTblByCategory!PivotTable1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PvtTblByCategory!$B$3:$B$4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PvtTblByCategory!$A$5:$A$14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PvtTblByCategory!$B$5:$B$14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09-4BCE-835A-06732C5F8450}"/>
            </c:ext>
          </c:extLst>
        </c:ser>
        <c:ser>
          <c:idx val="1"/>
          <c:order val="1"/>
          <c:tx>
            <c:strRef>
              <c:f>PvtTblByCategory!$C$3:$C$4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PvtTblByCategory!$A$5:$A$14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PvtTblByCategory!$C$5:$C$14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09-4BCE-835A-06732C5F8450}"/>
            </c:ext>
          </c:extLst>
        </c:ser>
        <c:ser>
          <c:idx val="2"/>
          <c:order val="2"/>
          <c:tx>
            <c:strRef>
              <c:f>PvtTblByCategory!$D$3:$D$4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PvtTblByCategory!$A$5:$A$14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PvtTblByCategory!$D$5:$D$14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09-4BCE-835A-06732C5F8450}"/>
            </c:ext>
          </c:extLst>
        </c:ser>
        <c:ser>
          <c:idx val="3"/>
          <c:order val="3"/>
          <c:tx>
            <c:strRef>
              <c:f>PvtTblByCategory!$E$3:$E$4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PvtTblByCategory!$A$5:$A$14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PvtTblByCategory!$E$5:$E$14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809-4BCE-835A-06732C5F8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6471440"/>
        <c:axId val="346472424"/>
      </c:barChart>
      <c:catAx>
        <c:axId val="346471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472424"/>
        <c:crosses val="autoZero"/>
        <c:auto val="1"/>
        <c:lblAlgn val="ctr"/>
        <c:lblOffset val="100"/>
        <c:noMultiLvlLbl val="0"/>
      </c:catAx>
      <c:valAx>
        <c:axId val="346472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47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Copy.xlsx]PvtTblBySubCategory!PivotTable1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2.4281871886757189E-2"/>
          <c:y val="4.9250055965972692E-2"/>
          <c:w val="0.89851823862574454"/>
          <c:h val="0.6561225011413532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PvtTblBySubCategory!$B$3:$B$4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PvtTblBySubCategory!$A$5:$A$46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PvtTblBySubCategory!$B$5:$B$46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8D-4E6D-AEF8-26B55F45DBDD}"/>
            </c:ext>
          </c:extLst>
        </c:ser>
        <c:ser>
          <c:idx val="1"/>
          <c:order val="1"/>
          <c:tx>
            <c:strRef>
              <c:f>PvtTblBySubCategory!$C$3:$C$4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PvtTblBySubCategory!$A$5:$A$46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PvtTblBySubCategory!$C$5:$C$46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8D-4E6D-AEF8-26B55F45DBDD}"/>
            </c:ext>
          </c:extLst>
        </c:ser>
        <c:ser>
          <c:idx val="2"/>
          <c:order val="2"/>
          <c:tx>
            <c:strRef>
              <c:f>PvtTblBySubCategory!$D$3:$D$4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PvtTblBySubCategory!$A$5:$A$46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PvtTblBySubCategory!$D$5:$D$46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8D-4E6D-AEF8-26B55F45DBDD}"/>
            </c:ext>
          </c:extLst>
        </c:ser>
        <c:ser>
          <c:idx val="3"/>
          <c:order val="3"/>
          <c:tx>
            <c:strRef>
              <c:f>PvtTblBySubCategory!$E$3:$E$4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PvtTblBySubCategory!$A$5:$A$46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PvtTblBySubCategory!$E$5:$E$46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18D-4E6D-AEF8-26B55F45DB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1571856"/>
        <c:axId val="441575136"/>
      </c:barChart>
      <c:catAx>
        <c:axId val="441571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575136"/>
        <c:crosses val="autoZero"/>
        <c:auto val="1"/>
        <c:lblAlgn val="ctr"/>
        <c:lblOffset val="100"/>
        <c:noMultiLvlLbl val="0"/>
      </c:catAx>
      <c:valAx>
        <c:axId val="44157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571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 - Copy.xlsx]Pivot Chart!PivotTable3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'Pivot Chart'!$B$4:$B$5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Chart'!$A$6:$A$18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Chart'!$B$6:$B$18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B3-497F-9FD4-C8730B427CB4}"/>
            </c:ext>
          </c:extLst>
        </c:ser>
        <c:ser>
          <c:idx val="1"/>
          <c:order val="1"/>
          <c:tx>
            <c:strRef>
              <c:f>'Pivot Chart'!$C$4:$C$5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Chart'!$A$6:$A$18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Chart'!$C$6:$C$18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B3-497F-9FD4-C8730B427CB4}"/>
            </c:ext>
          </c:extLst>
        </c:ser>
        <c:ser>
          <c:idx val="2"/>
          <c:order val="2"/>
          <c:tx>
            <c:strRef>
              <c:f>'Pivot Chart'!$D$4:$D$5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'Pivot Chart'!$A$6:$A$18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Chart'!$D$6:$D$18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B3-497F-9FD4-C8730B427CB4}"/>
            </c:ext>
          </c:extLst>
        </c:ser>
        <c:ser>
          <c:idx val="3"/>
          <c:order val="3"/>
          <c:tx>
            <c:strRef>
              <c:f>'Pivot Chart'!$E$4:$E$5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'Pivot Chart'!$A$6:$A$18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'Pivot Chart'!$E$6:$E$18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DB3-497F-9FD4-C8730B427C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6481936"/>
        <c:axId val="346482592"/>
      </c:barChart>
      <c:catAx>
        <c:axId val="346481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482592"/>
        <c:crosses val="autoZero"/>
        <c:auto val="1"/>
        <c:lblAlgn val="ctr"/>
        <c:lblOffset val="100"/>
        <c:noMultiLvlLbl val="0"/>
      </c:catAx>
      <c:valAx>
        <c:axId val="34648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648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23</cp:revision>
  <dcterms:created xsi:type="dcterms:W3CDTF">2018-02-06T02:41:00Z</dcterms:created>
  <dcterms:modified xsi:type="dcterms:W3CDTF">2018-02-06T04:09:00Z</dcterms:modified>
</cp:coreProperties>
</file>