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Heading 5"/>
        <w:spacing w:before="61" w:line="256" w:lineRule="auto"/>
        <w:ind w:right="78"/>
        <w:jc w:val="center"/>
        <w:rPr>
          <w:rFonts w:cstheme="minorHAnsi"/>
          <w:color w:val="4472C4"/>
          <w:sz w:val="36"/>
          <w:szCs w:val="36"/>
        </w:rPr>
      </w:pPr>
      <w:r>
        <w:rPr>
          <w:color w:val="4472C4"/>
          <w:sz w:val="36"/>
          <w:szCs w:val="36"/>
        </w:rPr>
        <w:t xml:space="preserve">Nabira</w:t>
      </w:r>
      <w:r>
        <w:rPr>
          <w:color w:val="4472C4"/>
          <w:sz w:val="36"/>
          <w:spacing w:val="-1"/>
          <w:szCs w:val="36"/>
        </w:rPr>
        <w:t xml:space="preserve"> </w:t>
      </w:r>
      <w:r>
        <w:rPr>
          <w:rFonts w:cstheme="minorHAnsi"/>
          <w:color w:val="4472C4"/>
          <w:sz w:val="36"/>
          <w:szCs w:val="36"/>
        </w:rPr>
        <w:t xml:space="preserve">Mahavidyalaya,</w:t>
      </w:r>
      <w:r>
        <w:rPr>
          <w:rFonts w:cstheme="minorHAnsi"/>
          <w:color w:val="4472C4"/>
          <w:sz w:val="36"/>
          <w:spacing w:val="-2"/>
          <w:szCs w:val="36"/>
        </w:rPr>
        <w:t xml:space="preserve"> </w:t>
      </w:r>
      <w:r>
        <w:rPr>
          <w:rFonts w:cstheme="minorHAnsi"/>
          <w:color w:val="4472C4"/>
          <w:sz w:val="36"/>
          <w:szCs w:val="36"/>
        </w:rPr>
        <w:t xml:space="preserve">Katol</w:t>
      </w:r>
    </w:p>
    <w:p>
      <w:pPr>
        <w:pBdr/>
        <w:pStyle w:val="Normal (Web)"/>
        <w:spacing/>
        <w:ind/>
        <w:jc w:val="center"/>
        <w:rPr>
          <w:rFonts w:asciiTheme="minorHAnsi" w:hAnsiTheme="minorHAnsi" w:cstheme="minorHAnsi"/>
          <w:color w:val="4472C4"/>
          <w:sz w:val="36"/>
          <w:szCs w:val="36"/>
        </w:rPr>
      </w:pPr>
      <w:r>
        <w:rPr>
          <w:rFonts w:asciiTheme="minorHAnsi" w:hAnsiTheme="minorHAnsi" w:cstheme="minorHAnsi"/>
          <w:color w:val="4472C4"/>
          <w:sz w:val="36"/>
          <w:szCs w:val="36"/>
        </w:rPr>
        <w:t xml:space="preserve">Department of BBA</w:t>
      </w:r>
    </w:p>
    <w:p>
      <w:pPr>
        <w:pBdr/>
        <w:pStyle w:val="Body Text"/>
        <w:spacing/>
        <w:ind w:right="16"/>
        <w:rPr>
          <w:w w:val="97"/>
        </w:rPr>
      </w:pPr>
    </w:p>
    <w:p>
      <w:pPr>
        <w:pBdr/>
        <w:pStyle w:val="Body Text"/>
        <w:spacing/>
        <w:ind w:right="16"/>
        <w:jc w:val="center"/>
        <w:rPr/>
      </w:pPr>
      <w:r>
        <w:rPr>
          <w:w w:val="97"/>
        </w:rPr>
        <w:t xml:space="preserve">A</w:t>
      </w:r>
    </w:p>
    <w:p>
      <w:pPr>
        <w:pBdr/>
        <w:pStyle w:val="Body Text"/>
        <w:spacing w:before="24"/>
        <w:ind w:left="2712" w:right="2738"/>
        <w:jc w:val="center"/>
        <w:rPr>
          <w:b/>
          <w:bCs/>
        </w:rPr>
      </w:pPr>
      <w:r>
        <w:rPr>
          <w:b/>
          <w:bCs/>
        </w:rPr>
        <w:t xml:space="preserve">Project</w:t>
      </w:r>
      <w:r>
        <w:rPr>
          <w:b/>
          <w:bCs/>
          <w:spacing w:val="-2"/>
        </w:rPr>
        <w:t xml:space="preserve"> </w:t>
      </w:r>
      <w:r>
        <w:rPr>
          <w:b/>
          <w:bCs/>
        </w:rPr>
        <w:t xml:space="preserve">Report</w:t>
      </w:r>
      <w:r>
        <w:rPr>
          <w:b/>
          <w:bCs/>
          <w:spacing w:val="-2"/>
        </w:rPr>
        <w:t xml:space="preserve"> </w:t>
      </w:r>
      <w:r>
        <w:rPr>
          <w:b/>
          <w:bCs/>
        </w:rPr>
        <w:t xml:space="preserve">On</w:t>
      </w:r>
    </w:p>
    <w:p>
      <w:pPr>
        <w:pBdr/>
        <w:pStyle w:val="Body Text"/>
        <w:spacing w:before="24"/>
        <w:ind w:right="2738"/>
        <w:rPr/>
      </w:pPr>
    </w:p>
    <w:p>
      <w:pPr>
        <w:pBdr/>
        <w:pStyle w:val="Body Text"/>
        <w:spacing w:before="22"/>
        <w:ind w:left="453" w:right="473"/>
        <w:jc w:val="center"/>
        <w:rPr>
          <w:b/>
          <w:bCs/>
          <w:sz w:val="28"/>
          <w:szCs w:val="28"/>
        </w:rPr>
      </w:pPr>
      <w:r>
        <w:rPr>
          <w:b/>
          <w:bCs/>
          <w:sz w:val="28"/>
          <w:szCs w:val="28"/>
        </w:rPr>
        <w:t xml:space="preserve">“STUDY OF MUTUAL FUNDS OF BANK OF INDIA”</w:t>
      </w:r>
    </w:p>
    <w:p>
      <w:pPr>
        <w:pBdr/>
        <w:pStyle w:val="Body Text"/>
        <w:spacing w:before="8"/>
        <w:ind/>
        <w:rPr>
          <w:sz w:val="25"/>
        </w:rPr>
      </w:pPr>
    </w:p>
    <w:p>
      <w:pPr>
        <w:pBdr/>
        <w:pStyle w:val="Body Text"/>
        <w:spacing/>
        <w:ind w:left="738" w:right="752"/>
        <w:jc w:val="center"/>
        <w:rPr>
          <w:b/>
          <w:bCs/>
        </w:rPr>
      </w:pPr>
      <w:r>
        <w:rPr>
          <w:b/>
          <w:bCs/>
        </w:rPr>
        <w:t xml:space="preserve">Submitted</w:t>
      </w:r>
      <w:r>
        <w:rPr>
          <w:b/>
          <w:bCs/>
          <w:spacing w:val="-1"/>
        </w:rPr>
        <w:t xml:space="preserve"> </w:t>
      </w:r>
      <w:r>
        <w:rPr>
          <w:b/>
          <w:bCs/>
        </w:rPr>
        <w:t xml:space="preserve">to</w:t>
      </w:r>
    </w:p>
    <w:p>
      <w:pPr>
        <w:pBdr/>
        <w:pStyle w:val="Body Text"/>
        <w:spacing/>
        <w:ind w:left="738" w:right="752"/>
        <w:jc w:val="center"/>
        <w:rPr>
          <w:b/>
          <w:bCs/>
        </w:rPr>
      </w:pPr>
    </w:p>
    <w:p>
      <w:pPr>
        <w:pBdr/>
        <w:pStyle w:val="Body Text"/>
        <w:spacing w:before="22"/>
        <w:ind w:left="453" w:right="471"/>
        <w:jc w:val="center"/>
        <w:rPr/>
      </w:pPr>
      <w:r>
        <w:rPr/>
        <w:t xml:space="preserve">Rashtrasant</w:t>
      </w:r>
      <w:r>
        <w:rPr>
          <w:spacing w:val="-1"/>
        </w:rPr>
        <w:t xml:space="preserve"> </w:t>
      </w:r>
      <w:r>
        <w:rPr/>
        <w:t xml:space="preserve">Tukadoji Maharaj</w:t>
      </w:r>
      <w:r>
        <w:rPr>
          <w:spacing w:val="-1"/>
        </w:rPr>
        <w:t xml:space="preserve"> </w:t>
      </w:r>
      <w:r>
        <w:rPr/>
        <w:t xml:space="preserve">Nagpur University,</w:t>
      </w:r>
      <w:r>
        <w:rPr>
          <w:spacing w:val="-1"/>
        </w:rPr>
        <w:t xml:space="preserve"> </w:t>
      </w:r>
      <w:r>
        <w:rPr/>
        <w:t xml:space="preserve">Nagpur</w:t>
      </w:r>
    </w:p>
    <w:p>
      <w:pPr>
        <w:pBdr/>
        <w:pStyle w:val="Body Text"/>
        <w:spacing w:before="24"/>
        <w:ind w:left="738" w:right="761"/>
        <w:jc w:val="center"/>
        <w:rPr/>
      </w:pPr>
    </w:p>
    <w:p>
      <w:pPr>
        <w:pBdr/>
        <w:pStyle w:val="Body Text"/>
        <w:spacing w:before="24"/>
        <w:ind w:left="738" w:right="761"/>
        <w:jc w:val="center"/>
        <w:rPr/>
      </w:pPr>
    </w:p>
    <w:p>
      <w:pPr>
        <w:pBdr/>
        <w:pStyle w:val="Body Text"/>
        <w:spacing w:before="24"/>
        <w:ind w:left="738" w:right="761"/>
        <w:jc w:val="center"/>
        <w:rPr/>
      </w:pPr>
      <w:r>
        <w:rPr/>
        <w:t xml:space="preserve">In Partial Fulfilment for the Degree of </w:t>
      </w:r>
    </w:p>
    <w:p>
      <w:pPr>
        <w:pBdr/>
        <w:pStyle w:val="Body Text"/>
        <w:spacing w:before="24"/>
        <w:ind w:left="738" w:right="761"/>
        <w:jc w:val="center"/>
        <w:rPr>
          <w:b/>
          <w:bCs/>
        </w:rPr>
      </w:pPr>
      <w:r>
        <w:rPr>
          <w:b/>
          <w:bCs/>
        </w:rPr>
        <w:t xml:space="preserve">Bachelor of Business Administration (B.B.A.)</w:t>
      </w:r>
    </w:p>
    <w:p>
      <w:pPr>
        <w:pBdr/>
        <w:pStyle w:val="Body Text"/>
        <w:spacing/>
        <w:ind/>
        <w:rPr>
          <w:sz w:val="26"/>
        </w:rPr>
      </w:pPr>
    </w:p>
    <w:p>
      <w:pPr>
        <w:pBdr/>
        <w:pStyle w:val="Body Text"/>
        <w:spacing w:before="4"/>
        <w:ind/>
        <w:rPr>
          <w:sz w:val="25"/>
        </w:rPr>
      </w:pPr>
    </w:p>
    <w:p>
      <w:pPr>
        <w:pBdr/>
        <w:pStyle w:val="Body Text"/>
        <w:spacing w:line="264" w:lineRule="auto"/>
        <w:ind w:right="78"/>
        <w:jc w:val="center"/>
        <w:rPr/>
      </w:pPr>
      <w:r>
        <w:rPr/>
        <w:t xml:space="preserve">Submitted by</w:t>
      </w:r>
    </w:p>
    <w:p>
      <w:pPr>
        <w:pBdr/>
        <w:pStyle w:val="Body Text"/>
        <w:spacing w:line="264" w:lineRule="auto"/>
        <w:ind w:right="78" w:hanging="142"/>
        <w:jc w:val="center"/>
        <w:rPr>
          <w:b/>
          <w:bCs/>
          <w:color w:val="000000"/>
        </w:rPr>
      </w:pPr>
      <w:r>
        <w:rPr>
          <w:color w:val="000000"/>
        </w:rPr>
        <w:t xml:space="preserve">Anuj S. Sarode</w:t>
      </w:r>
    </w:p>
    <w:p>
      <w:pPr>
        <w:pBdr/>
        <w:pStyle w:val="Body Text"/>
        <w:spacing/>
        <w:ind/>
        <w:rPr>
          <w:color w:val="000000"/>
          <w:sz w:val="26"/>
        </w:rPr>
      </w:pPr>
    </w:p>
    <w:p>
      <w:pPr>
        <w:pBdr/>
        <w:pStyle w:val="Body Text"/>
        <w:spacing w:before="11"/>
        <w:ind/>
        <w:rPr/>
      </w:pPr>
    </w:p>
    <w:p>
      <w:pPr>
        <w:pBdr/>
        <w:pStyle w:val="Body Text"/>
        <w:spacing/>
        <w:ind w:right="78"/>
        <w:jc w:val="center"/>
        <w:rPr/>
      </w:pPr>
      <w:r>
        <w:rPr/>
        <w:t xml:space="preserve">Under the Guidance of</w:t>
      </w:r>
    </w:p>
    <w:p>
      <w:pPr>
        <w:pBdr/>
        <w:pStyle w:val="Body Text"/>
        <w:spacing/>
        <w:ind w:right="78"/>
        <w:jc w:val="center"/>
        <w:rPr>
          <w:spacing w:val="-57"/>
        </w:rPr>
      </w:pPr>
      <w:r>
        <w:rPr>
          <w:b/>
          <w:bCs/>
        </w:rPr>
        <w:t xml:space="preserve">Prof. Naitika A. Band</w:t>
      </w:r>
    </w:p>
    <w:p>
      <w:pPr>
        <w:pBdr/>
        <w:pStyle w:val="Body Text"/>
        <w:spacing/>
        <w:ind/>
        <w:rPr>
          <w:sz w:val="20"/>
        </w:rPr>
      </w:pPr>
    </w:p>
    <w:p>
      <w:pPr>
        <w:pBdr/>
        <w:pStyle w:val="List Paragraph"/>
        <w:spacing/>
        <w:ind/>
        <w:jc w:val="center"/>
        <w:tabs>
          <w:tab w:val="left" w:pos="3420"/>
          <w:tab w:val="center" w:pos="4927.9998779296875"/>
        </w:tabs>
        <w:rPr/>
      </w:pPr>
      <w:r>
        <w:rPr/>
        <w:drawing>
          <wp:inline distT="0" distB="0" distL="0" distR="0">
            <wp:extent cx="1594638" cy="1087509"/>
            <wp:effectExtent xmlns:wp="http://schemas.openxmlformats.org/drawingml/2006/wordprocessingDrawing" l="0" t="0" r="0" b="0"/>
            <wp:docPr id="1" name="Picture 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1594638" cy="1087509"/>
                    </a:xfrm>
                    <a:prstGeom prst="rect">
                      <a:avLst/>
                    </a:prstGeom>
                  </pic:spPr>
                </pic:pic>
              </a:graphicData>
            </a:graphic>
          </wp:inline>
        </w:drawing>
      </w:r>
    </w:p>
    <w:p>
      <w:pPr>
        <w:pBdr/>
        <w:pStyle w:val="Body Text"/>
        <w:spacing w:before="11"/>
        <w:ind/>
        <w:rPr>
          <w:sz w:val="19"/>
        </w:rPr>
      </w:pPr>
    </w:p>
    <w:p>
      <w:pPr>
        <w:pBdr/>
        <w:pStyle w:val="Normal (Web)"/>
        <w:spacing/>
        <w:ind/>
        <w:rPr>
          <w:sz w:val="19"/>
        </w:rPr>
      </w:pPr>
    </w:p>
    <w:p>
      <w:pPr>
        <w:pBdr/>
        <w:pStyle w:val="Body Text"/>
        <w:spacing w:before="24"/>
        <w:ind w:left="720" w:right="761"/>
        <w:jc w:val="center"/>
        <w:rPr>
          <w:b/>
          <w:bCs/>
        </w:rPr>
      </w:pPr>
      <w:r>
        <w:rPr>
          <w:b/>
          <w:bCs/>
        </w:rPr>
        <w:t xml:space="preserve">(2025-26)</w:t>
      </w:r>
    </w:p>
    <w:p>
      <w:pPr>
        <w:pBdr/>
        <w:pStyle w:val="Normal (Web)"/>
        <w:spacing/>
        <w:ind/>
        <w:rPr>
          <w:sz w:val="28"/>
          <w:szCs w:val="28"/>
        </w:rPr>
        <w:sectPr>
          <w:type w:val="nextPage"/>
          <w:pgSz w:w="11920" w:h="16850"/>
          <w:pgMar w:top="1360" w:right="721" w:bottom="280" w:left="1340" w:header="720" w:footer="720" w:gutter="0"/>
          <w:pgNumType w:fmt="Arabic"/>
          <w:pgBorders/>
          <w:endnotePr>
            <w:pos w:val="docEnd"/>
            <w:numFmt w:val="lowerRoman"/>
            <w:numRestart w:val="continuous"/>
            <w:numStart w:val="1"/>
          </w:endnotePr>
        </w:sectPr>
      </w:pPr>
      <w:r>
        <w:rPr>
          <w:sz w:val="28"/>
          <w:szCs w:val="28"/>
        </w:rPr>
        <w:t xml:space="preserve">                                                                                              </w:t>
      </w:r>
    </w:p>
    <w:p>
      <w:pPr>
        <w:pBdr/>
        <w:pStyle w:val="Heading 5"/>
        <w:spacing w:before="61" w:line="256" w:lineRule="auto"/>
        <w:ind w:right="78"/>
        <w:jc w:val="center"/>
        <w:rPr>
          <w:rFonts w:cstheme="minorHAnsi"/>
          <w:color w:val="4472C4"/>
          <w:sz w:val="36"/>
          <w:szCs w:val="36"/>
        </w:rPr>
      </w:pPr>
      <w:r>
        <w:rPr>
          <w:color w:val="4472C4"/>
          <w:sz w:val="36"/>
          <w:szCs w:val="36"/>
        </w:rPr>
        <w:t xml:space="preserve"> Nabira</w:t>
      </w:r>
      <w:r>
        <w:rPr>
          <w:color w:val="4472C4"/>
          <w:sz w:val="36"/>
          <w:spacing w:val="-1"/>
          <w:szCs w:val="36"/>
        </w:rPr>
        <w:t xml:space="preserve"> </w:t>
      </w:r>
      <w:r>
        <w:rPr>
          <w:rFonts w:cstheme="minorHAnsi"/>
          <w:color w:val="4472C4"/>
          <w:sz w:val="36"/>
          <w:szCs w:val="36"/>
        </w:rPr>
        <w:t xml:space="preserve">Mahavidyalaya,</w:t>
      </w:r>
      <w:r>
        <w:rPr>
          <w:rFonts w:cstheme="minorHAnsi"/>
          <w:color w:val="4472C4"/>
          <w:sz w:val="36"/>
          <w:spacing w:val="-2"/>
          <w:szCs w:val="36"/>
        </w:rPr>
        <w:t xml:space="preserve"> </w:t>
      </w:r>
      <w:r>
        <w:rPr>
          <w:rFonts w:cstheme="minorHAnsi"/>
          <w:color w:val="4472C4"/>
          <w:sz w:val="36"/>
          <w:szCs w:val="36"/>
        </w:rPr>
        <w:t xml:space="preserve">Katol</w:t>
      </w:r>
    </w:p>
    <w:p>
      <w:pPr>
        <w:pBdr/>
        <w:pStyle w:val="Normal (Web)"/>
        <w:spacing/>
        <w:ind/>
        <w:jc w:val="center"/>
        <w:rPr>
          <w:rFonts w:asciiTheme="minorHAnsi" w:hAnsiTheme="minorHAnsi" w:cstheme="minorHAnsi"/>
          <w:color w:val="4472C4"/>
          <w:sz w:val="36"/>
          <w:szCs w:val="36"/>
        </w:rPr>
      </w:pPr>
      <w:r>
        <w:rPr>
          <w:rFonts w:asciiTheme="minorHAnsi" w:hAnsiTheme="minorHAnsi" w:cstheme="minorHAnsi"/>
          <w:color w:val="4472C4"/>
          <w:sz w:val="36"/>
          <w:szCs w:val="36"/>
        </w:rPr>
        <w:t xml:space="preserve">Department of BBA</w:t>
      </w:r>
    </w:p>
    <w:p>
      <w:pPr>
        <w:pBdr/>
        <w:pStyle w:val="Heading 5"/>
        <w:spacing w:before="110"/>
        <w:ind w:right="46" w:firstLine="28"/>
        <w:jc w:val="center"/>
        <w:rPr>
          <w:sz w:val="36"/>
          <w:szCs w:val="36"/>
        </w:rPr>
      </w:pPr>
    </w:p>
    <w:p>
      <w:pPr>
        <w:pBdr/>
        <w:pStyle w:val="Body Text"/>
        <w:spacing w:before="9"/>
        <w:ind/>
        <w:rPr>
          <w:b/>
          <w:sz w:val="25"/>
        </w:rPr>
      </w:pPr>
    </w:p>
    <w:p>
      <w:pPr>
        <w:pBdr/>
        <w:pStyle w:val="Normal (Web)"/>
        <w:spacing/>
        <w:ind w:left="2721" w:right="2738"/>
        <w:jc w:val="center"/>
        <w:rPr>
          <w:sz w:val="24"/>
          <w:u w:val="thick"/>
        </w:rPr>
      </w:pPr>
    </w:p>
    <w:p>
      <w:pPr>
        <w:pBdr/>
        <w:pStyle w:val="Normal (Web)"/>
        <w:spacing/>
        <w:ind w:left="2721" w:right="2738"/>
        <w:jc w:val="center"/>
        <w:rPr>
          <w:sz w:val="24"/>
          <w:u w:val="thick"/>
        </w:rPr>
      </w:pPr>
    </w:p>
    <w:p>
      <w:pPr>
        <w:pBdr/>
        <w:pStyle w:val="Normal (Web)"/>
        <w:spacing/>
        <w:ind w:left="2721" w:right="2738"/>
        <w:jc w:val="center"/>
        <w:rPr>
          <w:sz w:val="28"/>
          <w:szCs w:val="28"/>
        </w:rPr>
      </w:pPr>
      <w:r>
        <w:rPr>
          <w:sz w:val="28"/>
          <w:szCs w:val="28"/>
          <w:u w:val="thick"/>
        </w:rPr>
        <w:t xml:space="preserve">CERTIFICATE</w:t>
      </w:r>
    </w:p>
    <w:p>
      <w:pPr>
        <w:pBdr/>
        <w:pStyle w:val="Body Text"/>
        <w:spacing/>
        <w:ind/>
        <w:rPr>
          <w:b/>
          <w:sz w:val="20"/>
        </w:rPr>
      </w:pPr>
    </w:p>
    <w:p>
      <w:pPr>
        <w:pBdr/>
        <w:pStyle w:val="Body Text"/>
        <w:spacing/>
        <w:ind/>
        <w:rPr>
          <w:b/>
          <w:sz w:val="20"/>
        </w:rPr>
      </w:pPr>
    </w:p>
    <w:p>
      <w:pPr>
        <w:pBdr/>
        <w:pStyle w:val="Body Text"/>
        <w:spacing/>
        <w:ind/>
        <w:rPr>
          <w:b/>
          <w:sz w:val="20"/>
        </w:rPr>
      </w:pPr>
    </w:p>
    <w:p>
      <w:pPr>
        <w:pBdr/>
        <w:pStyle w:val="Normal (Web)"/>
        <w:spacing w:before="100" w:beforeAutospacing="true" w:after="100" w:afterAutospacing="true" w:line="480" w:lineRule="auto"/>
        <w:contextualSpacing/>
        <w:ind w:left="102" w:right="113" w:firstLine="714"/>
        <w:jc w:val="both"/>
        <w:rPr>
          <w:sz w:val="24"/>
        </w:rPr>
      </w:pPr>
      <w:r>
        <w:rPr>
          <w:sz w:val="24"/>
        </w:rPr>
        <w:t xml:space="preserve">This is to Certify that the Project report titled “STUDY OF MUTUAL FUNDS OF BANK OF INDIA”</w:t>
      </w:r>
      <w:r>
        <w:rPr>
          <w:sz w:val="24"/>
          <w:spacing w:val="-7"/>
        </w:rPr>
        <w:t xml:space="preserve"> being s</w:t>
      </w:r>
      <w:r>
        <w:rPr>
          <w:sz w:val="24"/>
        </w:rPr>
        <w:t xml:space="preserve">ubmitted</w:t>
      </w:r>
      <w:r>
        <w:rPr>
          <w:sz w:val="24"/>
          <w:spacing w:val="-5"/>
        </w:rPr>
        <w:t xml:space="preserve"> </w:t>
      </w:r>
      <w:r>
        <w:rPr>
          <w:sz w:val="24"/>
        </w:rPr>
        <w:t xml:space="preserve">by</w:t>
      </w:r>
      <w:r>
        <w:rPr>
          <w:sz w:val="24"/>
          <w:spacing w:val="-1"/>
        </w:rPr>
        <w:t xml:space="preserve"> Anuj sarode</w:t>
      </w:r>
      <w:r>
        <w:rPr>
          <w:sz w:val="24"/>
        </w:rPr>
        <w:t xml:space="preserve"> to Rashtrasant Tukadoji Maharaj Nagpur University, Nagpur for the award of Bachelor of</w:t>
      </w:r>
      <w:r>
        <w:rPr>
          <w:sz w:val="24"/>
          <w:spacing w:val="1"/>
        </w:rPr>
        <w:t xml:space="preserve"> </w:t>
      </w:r>
      <w:r>
        <w:rPr>
          <w:sz w:val="24"/>
        </w:rPr>
        <w:t xml:space="preserve">Business Administration (B.B.A.) is a bonafide research work carried out under my guidance and</w:t>
      </w:r>
      <w:r>
        <w:rPr>
          <w:sz w:val="24"/>
          <w:spacing w:val="1"/>
        </w:rPr>
        <w:t xml:space="preserve"> </w:t>
      </w:r>
      <w:r>
        <w:rPr>
          <w:sz w:val="24"/>
        </w:rPr>
        <w:t xml:space="preserve">supervision.</w:t>
      </w:r>
    </w:p>
    <w:p>
      <w:pPr>
        <w:pBdr/>
        <w:pStyle w:val="Body Text"/>
        <w:spacing/>
        <w:ind/>
        <w:rPr>
          <w:sz w:val="26"/>
        </w:rPr>
      </w:pPr>
    </w:p>
    <w:p>
      <w:pPr>
        <w:pBdr/>
        <w:pStyle w:val="Body Text"/>
        <w:spacing/>
        <w:ind/>
        <w:rPr>
          <w:sz w:val="26"/>
        </w:rPr>
      </w:pPr>
    </w:p>
    <w:p>
      <w:pPr>
        <w:pBdr/>
        <w:pStyle w:val="Body Text"/>
        <w:spacing/>
        <w:ind/>
        <w:rPr>
          <w:sz w:val="26"/>
        </w:rPr>
      </w:pPr>
    </w:p>
    <w:p>
      <w:pPr>
        <w:pBdr/>
        <w:pStyle w:val="Body Text"/>
        <w:spacing/>
        <w:ind/>
        <w:rPr>
          <w:sz w:val="26"/>
        </w:rPr>
      </w:pPr>
    </w:p>
    <w:p>
      <w:pPr>
        <w:pBdr/>
        <w:pStyle w:val="Body Text"/>
        <w:spacing/>
        <w:ind/>
        <w:rPr>
          <w:sz w:val="26"/>
        </w:rPr>
      </w:pPr>
    </w:p>
    <w:p>
      <w:pPr>
        <w:pBdr/>
        <w:pStyle w:val="Body Text"/>
        <w:spacing/>
        <w:ind/>
        <w:rPr>
          <w:sz w:val="26"/>
        </w:rPr>
      </w:pPr>
    </w:p>
    <w:p>
      <w:pPr>
        <w:pBdr/>
        <w:pStyle w:val="Body Text"/>
        <w:spacing/>
        <w:ind/>
        <w:rPr>
          <w:sz w:val="26"/>
        </w:rPr>
      </w:pPr>
    </w:p>
    <w:p>
      <w:pPr>
        <w:pBdr/>
        <w:pStyle w:val="Body Text"/>
        <w:spacing/>
        <w:ind/>
        <w:rPr>
          <w:sz w:val="26"/>
        </w:rPr>
      </w:pPr>
    </w:p>
    <w:p>
      <w:pPr>
        <w:pBdr/>
        <w:pStyle w:val="Body Text"/>
        <w:spacing/>
        <w:ind/>
        <w:rPr>
          <w:sz w:val="26"/>
        </w:rPr>
      </w:pPr>
    </w:p>
    <w:p>
      <w:pPr>
        <w:pBdr/>
        <w:pStyle w:val="Body Text"/>
        <w:spacing w:before="8"/>
        <w:ind/>
        <w:rPr>
          <w:sz w:val="20"/>
        </w:rPr>
      </w:pPr>
    </w:p>
    <w:p>
      <w:pPr>
        <w:pBdr/>
        <w:pStyle w:val="Body Text"/>
        <w:spacing/>
        <w:ind w:left="100"/>
        <w:tabs>
          <w:tab w:val="left" w:pos="7120"/>
        </w:tabs>
        <w:rPr>
          <w:b/>
          <w:bCs/>
        </w:rPr>
      </w:pPr>
      <w:r>
        <w:rPr>
          <w:b/>
          <w:bCs/>
        </w:rPr>
        <w:t xml:space="preserve">Prof. Naitika A. Band</w:t>
      </w:r>
      <w:r>
        <w:rPr/>
        <w:tab/>
      </w:r>
      <w:r>
        <w:rPr>
          <w:b/>
          <w:bCs/>
        </w:rPr>
        <w:t xml:space="preserve">Dr.</w:t>
      </w:r>
      <w:r>
        <w:rPr>
          <w:b/>
          <w:bCs/>
          <w:spacing w:val="-1"/>
        </w:rPr>
        <w:t xml:space="preserve"> </w:t>
      </w:r>
      <w:r>
        <w:rPr>
          <w:b/>
          <w:bCs/>
        </w:rPr>
        <w:t xml:space="preserve">S.K.</w:t>
      </w:r>
      <w:r>
        <w:rPr>
          <w:b/>
          <w:bCs/>
          <w:spacing w:val="-2"/>
        </w:rPr>
        <w:t xml:space="preserve"> </w:t>
      </w:r>
      <w:r>
        <w:rPr>
          <w:b/>
          <w:bCs/>
        </w:rPr>
        <w:t xml:space="preserve">Navin</w:t>
      </w:r>
    </w:p>
    <w:p>
      <w:pPr>
        <w:pBdr/>
        <w:pStyle w:val="Body Text"/>
        <w:spacing w:before="9"/>
        <w:ind/>
        <w:rPr>
          <w:sz w:val="22"/>
        </w:rPr>
      </w:pPr>
    </w:p>
    <w:p>
      <w:pPr>
        <w:pBdr/>
        <w:pStyle w:val="Body Text"/>
        <w:spacing/>
        <w:ind w:left="760"/>
        <w:tabs>
          <w:tab w:val="left" w:pos="7540"/>
        </w:tabs>
        <w:rPr/>
      </w:pPr>
      <w:r>
        <w:rPr/>
        <w:t xml:space="preserve">Guide</w:t>
      </w:r>
      <w:r>
        <w:rPr/>
        <w:tab/>
      </w:r>
      <w:r>
        <w:rPr/>
        <w:t xml:space="preserve">Principal</w:t>
      </w:r>
    </w:p>
    <w:p>
      <w:pPr>
        <w:pBdr/>
        <w:pStyle w:val="Body Text"/>
        <w:spacing/>
        <w:ind/>
        <w:tabs>
          <w:tab w:val="left" w:pos="7540"/>
        </w:tabs>
        <w:rPr/>
      </w:pPr>
    </w:p>
    <w:p>
      <w:pPr>
        <w:pBdr/>
        <w:pStyle w:val="Body Text"/>
        <w:spacing/>
        <w:ind w:left="760"/>
        <w:tabs>
          <w:tab w:val="left" w:pos="7540"/>
        </w:tabs>
        <w:rPr/>
      </w:pPr>
    </w:p>
    <w:p>
      <w:pPr>
        <w:pBdr/>
        <w:pStyle w:val="Heading 5"/>
        <w:spacing w:before="61" w:line="256" w:lineRule="auto"/>
        <w:ind w:right="78"/>
        <w:jc w:val="center"/>
        <w:rPr>
          <w:rFonts w:cstheme="minorHAnsi"/>
          <w:color w:val="4472C4"/>
          <w:sz w:val="36"/>
          <w:szCs w:val="36"/>
        </w:rPr>
      </w:pPr>
      <w:r>
        <w:rPr>
          <w:color w:val="4472C4"/>
          <w:sz w:val="36"/>
          <w:szCs w:val="36"/>
        </w:rPr>
        <w:t xml:space="preserve">Nabira</w:t>
      </w:r>
      <w:r>
        <w:rPr>
          <w:color w:val="4472C4"/>
          <w:sz w:val="36"/>
          <w:spacing w:val="-1"/>
          <w:szCs w:val="36"/>
        </w:rPr>
        <w:t xml:space="preserve"> </w:t>
      </w:r>
      <w:r>
        <w:rPr>
          <w:rFonts w:cstheme="minorHAnsi"/>
          <w:color w:val="4472C4"/>
          <w:sz w:val="36"/>
          <w:szCs w:val="36"/>
        </w:rPr>
        <w:t xml:space="preserve">Mahavidyalaya,</w:t>
      </w:r>
      <w:r>
        <w:rPr>
          <w:rFonts w:cstheme="minorHAnsi"/>
          <w:color w:val="4472C4"/>
          <w:sz w:val="36"/>
          <w:spacing w:val="-2"/>
          <w:szCs w:val="36"/>
        </w:rPr>
        <w:t xml:space="preserve"> </w:t>
      </w:r>
      <w:r>
        <w:rPr>
          <w:rFonts w:cstheme="minorHAnsi"/>
          <w:color w:val="4472C4"/>
          <w:sz w:val="36"/>
          <w:szCs w:val="36"/>
        </w:rPr>
        <w:t xml:space="preserve">Katol</w:t>
      </w:r>
    </w:p>
    <w:p>
      <w:pPr>
        <w:pBdr/>
        <w:pStyle w:val="Normal (Web)"/>
        <w:spacing/>
        <w:ind/>
        <w:jc w:val="center"/>
        <w:rPr>
          <w:rFonts w:asciiTheme="minorHAnsi" w:hAnsiTheme="minorHAnsi" w:cstheme="minorHAnsi"/>
          <w:color w:val="4472C4"/>
          <w:sz w:val="36"/>
          <w:szCs w:val="36"/>
        </w:rPr>
      </w:pPr>
      <w:r>
        <w:rPr>
          <w:rFonts w:asciiTheme="minorHAnsi" w:hAnsiTheme="minorHAnsi" w:cstheme="minorHAnsi"/>
          <w:color w:val="4472C4"/>
          <w:sz w:val="36"/>
          <w:szCs w:val="36"/>
        </w:rPr>
        <w:t xml:space="preserve">Department of BBA</w:t>
      </w:r>
    </w:p>
    <w:p>
      <w:pPr>
        <w:pBdr/>
        <w:pStyle w:val="Body Text"/>
        <w:spacing w:before="7"/>
        <w:ind/>
        <w:rPr>
          <w:b/>
          <w:sz w:val="25"/>
        </w:rPr>
      </w:pPr>
    </w:p>
    <w:p>
      <w:pPr>
        <w:pBdr/>
        <w:pStyle w:val="Body Text"/>
        <w:spacing w:before="7"/>
        <w:ind/>
        <w:rPr>
          <w:b/>
          <w:sz w:val="25"/>
        </w:rPr>
      </w:pPr>
    </w:p>
    <w:p>
      <w:pPr>
        <w:pBdr/>
        <w:pStyle w:val="Normal (Web)"/>
        <w:spacing/>
        <w:ind w:left="2712" w:right="2738"/>
        <w:jc w:val="center"/>
        <w:rPr>
          <w:sz w:val="28"/>
          <w:szCs w:val="28"/>
          <w:u w:val="thick"/>
        </w:rPr>
      </w:pPr>
      <w:r>
        <w:rPr>
          <w:sz w:val="28"/>
          <w:szCs w:val="28"/>
          <w:u w:val="thick"/>
        </w:rPr>
        <w:t xml:space="preserve">DECLARATION</w:t>
      </w:r>
    </w:p>
    <w:p>
      <w:pPr>
        <w:pBdr/>
        <w:pStyle w:val="Normal (Web)"/>
        <w:spacing/>
        <w:ind w:left="2712" w:right="2738"/>
        <w:jc w:val="center"/>
        <w:rPr>
          <w:sz w:val="24"/>
        </w:rPr>
      </w:pPr>
    </w:p>
    <w:p>
      <w:pPr>
        <w:pBdr/>
        <w:pStyle w:val="Body Text"/>
        <w:spacing w:line="480" w:lineRule="auto"/>
        <w:contextualSpacing/>
        <w:ind w:right="113"/>
        <w:jc w:val="both"/>
        <w:rPr/>
      </w:pPr>
    </w:p>
    <w:p>
      <w:pPr>
        <w:pBdr/>
        <w:pStyle w:val="Body Text"/>
        <w:spacing w:line="480" w:lineRule="auto"/>
        <w:contextualSpacing/>
        <w:ind w:left="102" w:right="113"/>
        <w:jc w:val="both"/>
        <w:rPr/>
      </w:pPr>
      <w:r>
        <w:rPr/>
        <w:t xml:space="preserve">I</w:t>
      </w:r>
      <w:r>
        <w:rPr>
          <w:spacing w:val="1"/>
        </w:rPr>
        <w:t xml:space="preserve"> </w:t>
      </w:r>
      <w:r>
        <w:rPr/>
        <w:t xml:space="preserve">hereby</w:t>
      </w:r>
      <w:r>
        <w:rPr>
          <w:spacing w:val="1"/>
        </w:rPr>
        <w:t xml:space="preserve"> </w:t>
      </w:r>
      <w:r>
        <w:rPr/>
        <w:t xml:space="preserve">declare</w:t>
      </w:r>
      <w:r>
        <w:rPr>
          <w:spacing w:val="1"/>
        </w:rPr>
        <w:t xml:space="preserve"> </w:t>
      </w:r>
      <w:r>
        <w:rPr/>
        <w:t xml:space="preserve">that</w:t>
      </w:r>
      <w:r>
        <w:rPr>
          <w:spacing w:val="1"/>
        </w:rPr>
        <w:t xml:space="preserve"> </w:t>
      </w:r>
      <w:r>
        <w:rPr/>
        <w:t xml:space="preserve">the</w:t>
      </w:r>
      <w:r>
        <w:rPr>
          <w:spacing w:val="1"/>
        </w:rPr>
        <w:t xml:space="preserve"> </w:t>
      </w:r>
      <w:r>
        <w:rPr/>
        <w:t xml:space="preserve">project</w:t>
      </w:r>
      <w:r>
        <w:rPr>
          <w:spacing w:val="1"/>
        </w:rPr>
        <w:t xml:space="preserve"> </w:t>
      </w:r>
      <w:r>
        <w:rPr/>
        <w:t xml:space="preserve">titled</w:t>
      </w:r>
      <w:r>
        <w:rPr>
          <w:spacing w:val="1"/>
        </w:rPr>
        <w:t xml:space="preserve"> </w:t>
      </w:r>
      <w:r>
        <w:rPr/>
        <w:t xml:space="preserve">“STUDY OF MUTUAL FUNDS OF BANK OF INDIA</w:t>
      </w:r>
      <w:r>
        <w:rPr>
          <w:b/>
        </w:rPr>
        <w:t xml:space="preserve">”</w:t>
      </w:r>
      <w:r>
        <w:rPr>
          <w:spacing w:val="-13"/>
        </w:rPr>
        <w:t xml:space="preserve"> has not been submitted, either in part or in full to any institution or university </w:t>
      </w:r>
      <w:r>
        <w:rPr/>
        <w:t xml:space="preserve">for the award of any other diploma or degree. The</w:t>
      </w:r>
      <w:r>
        <w:rPr>
          <w:spacing w:val="-7"/>
        </w:rPr>
        <w:t xml:space="preserve"> </w:t>
      </w:r>
      <w:r>
        <w:rPr/>
        <w:t xml:space="preserve">data</w:t>
      </w:r>
      <w:r>
        <w:rPr>
          <w:spacing w:val="-7"/>
        </w:rPr>
        <w:t xml:space="preserve"> used in this project has not </w:t>
      </w:r>
      <w:r>
        <w:rPr/>
        <w:t xml:space="preserve">been</w:t>
      </w:r>
      <w:r>
        <w:rPr>
          <w:spacing w:val="-6"/>
        </w:rPr>
        <w:t xml:space="preserve"> </w:t>
      </w:r>
      <w:r>
        <w:rPr/>
        <w:t xml:space="preserve">derived</w:t>
      </w:r>
      <w:r>
        <w:rPr>
          <w:spacing w:val="-3"/>
        </w:rPr>
        <w:t xml:space="preserve"> </w:t>
      </w:r>
      <w:r>
        <w:rPr/>
        <w:t xml:space="preserve">from</w:t>
      </w:r>
      <w:r>
        <w:rPr>
          <w:spacing w:val="-3"/>
        </w:rPr>
        <w:t xml:space="preserve"> </w:t>
      </w:r>
      <w:r>
        <w:rPr/>
        <w:t xml:space="preserve">any</w:t>
      </w:r>
      <w:r>
        <w:rPr>
          <w:spacing w:val="-1"/>
        </w:rPr>
        <w:t xml:space="preserve"> </w:t>
      </w:r>
      <w:r>
        <w:rPr/>
        <w:t xml:space="preserve">university.</w:t>
      </w:r>
      <w:r>
        <w:rPr>
          <w:spacing w:val="-3"/>
        </w:rPr>
        <w:t xml:space="preserve"> </w:t>
      </w:r>
      <w:r>
        <w:rPr/>
        <w:t xml:space="preserve">All</w:t>
      </w:r>
      <w:r>
        <w:rPr>
          <w:spacing w:val="-7"/>
        </w:rPr>
        <w:t xml:space="preserve"> </w:t>
      </w:r>
      <w:r>
        <w:rPr/>
        <w:t xml:space="preserve">sources</w:t>
      </w:r>
      <w:r>
        <w:rPr>
          <w:spacing w:val="-4"/>
        </w:rPr>
        <w:t xml:space="preserve"> </w:t>
      </w:r>
      <w:r>
        <w:rPr/>
        <w:t xml:space="preserve">of</w:t>
      </w:r>
      <w:r>
        <w:rPr>
          <w:spacing w:val="-7"/>
        </w:rPr>
        <w:t xml:space="preserve"> </w:t>
      </w:r>
      <w:r>
        <w:rPr/>
        <w:t xml:space="preserve">material</w:t>
      </w:r>
      <w:r>
        <w:rPr>
          <w:spacing w:val="-4"/>
        </w:rPr>
        <w:t xml:space="preserve"> </w:t>
      </w:r>
      <w:r>
        <w:rPr/>
        <w:t xml:space="preserve">and</w:t>
      </w:r>
      <w:r>
        <w:rPr>
          <w:spacing w:val="-4"/>
        </w:rPr>
        <w:t xml:space="preserve"> </w:t>
      </w:r>
      <w:r>
        <w:rPr/>
        <w:t xml:space="preserve">data</w:t>
      </w:r>
      <w:r>
        <w:rPr>
          <w:spacing w:val="-5"/>
        </w:rPr>
        <w:t xml:space="preserve"> </w:t>
      </w:r>
      <w:r>
        <w:rPr/>
        <w:t xml:space="preserve">used</w:t>
      </w:r>
      <w:r>
        <w:rPr>
          <w:spacing w:val="-58"/>
        </w:rPr>
        <w:t xml:space="preserve">       </w:t>
      </w:r>
      <w:r>
        <w:rPr/>
        <w:t xml:space="preserve">in</w:t>
      </w:r>
      <w:r>
        <w:rPr>
          <w:spacing w:val="-1"/>
        </w:rPr>
        <w:t xml:space="preserve"> </w:t>
      </w:r>
      <w:r>
        <w:rPr/>
        <w:t xml:space="preserve">this study have</w:t>
      </w:r>
      <w:r>
        <w:rPr>
          <w:spacing w:val="-2"/>
        </w:rPr>
        <w:t xml:space="preserve"> </w:t>
      </w:r>
      <w:r>
        <w:rPr/>
        <w:t xml:space="preserve">been duly</w:t>
      </w:r>
      <w:r>
        <w:rPr>
          <w:spacing w:val="-1"/>
        </w:rPr>
        <w:t xml:space="preserve"> </w:t>
      </w:r>
      <w:r>
        <w:rPr/>
        <w:t xml:space="preserve">acknowledged.</w:t>
      </w:r>
    </w:p>
    <w:p>
      <w:pPr>
        <w:pBdr/>
        <w:pStyle w:val="Body Text"/>
        <w:spacing/>
        <w:ind/>
        <w:rPr>
          <w:sz w:val="26"/>
        </w:rPr>
      </w:pPr>
    </w:p>
    <w:p>
      <w:pPr>
        <w:pBdr/>
        <w:pStyle w:val="Body Text"/>
        <w:spacing/>
        <w:ind/>
        <w:rPr>
          <w:sz w:val="26"/>
        </w:rPr>
      </w:pPr>
    </w:p>
    <w:p>
      <w:pPr>
        <w:pBdr/>
        <w:pStyle w:val="Body Text"/>
        <w:spacing/>
        <w:ind/>
        <w:rPr>
          <w:sz w:val="26"/>
        </w:rPr>
      </w:pPr>
    </w:p>
    <w:p>
      <w:pPr>
        <w:pBdr/>
        <w:pStyle w:val="Body Text"/>
        <w:spacing/>
        <w:ind/>
        <w:rPr>
          <w:sz w:val="26"/>
        </w:rPr>
      </w:pPr>
    </w:p>
    <w:p>
      <w:pPr>
        <w:pBdr/>
        <w:pStyle w:val="Body Text"/>
        <w:spacing/>
        <w:ind/>
        <w:rPr>
          <w:sz w:val="26"/>
        </w:rPr>
      </w:pPr>
    </w:p>
    <w:p>
      <w:pPr>
        <w:pBdr/>
        <w:pStyle w:val="Body Text"/>
        <w:spacing/>
        <w:ind/>
        <w:rPr>
          <w:sz w:val="26"/>
        </w:rPr>
      </w:pPr>
    </w:p>
    <w:p>
      <w:pPr>
        <w:pBdr/>
        <w:pStyle w:val="Body Text"/>
        <w:spacing/>
        <w:ind/>
        <w:rPr>
          <w:sz w:val="26"/>
        </w:rPr>
      </w:pPr>
    </w:p>
    <w:p>
      <w:pPr>
        <w:pBdr/>
        <w:pStyle w:val="Body Text"/>
        <w:spacing/>
        <w:ind/>
        <w:rPr>
          <w:sz w:val="26"/>
        </w:rPr>
      </w:pPr>
    </w:p>
    <w:p>
      <w:pPr>
        <w:pBdr/>
        <w:pStyle w:val="Body Text"/>
        <w:spacing/>
        <w:ind/>
        <w:rPr>
          <w:sz w:val="26"/>
        </w:rPr>
      </w:pPr>
    </w:p>
    <w:p>
      <w:pPr>
        <w:pBdr/>
        <w:pStyle w:val="Body Text"/>
        <w:spacing/>
        <w:ind/>
        <w:rPr>
          <w:sz w:val="26"/>
        </w:rPr>
      </w:pPr>
    </w:p>
    <w:p>
      <w:pPr>
        <w:pBdr/>
        <w:pStyle w:val="Normal (Web)"/>
        <w:spacing w:before="229"/>
        <w:ind w:left="100"/>
        <w:jc w:val="both"/>
        <w:tabs>
          <w:tab w:val="left" w:pos="5860"/>
        </w:tabs>
        <w:rPr>
          <w:sz w:val="24"/>
        </w:rPr>
      </w:pPr>
      <w:r>
        <w:rPr>
          <w:sz w:val="24"/>
        </w:rPr>
        <w:t xml:space="preserve">Date:</w:t>
      </w:r>
      <w:r>
        <w:rPr>
          <w:sz w:val="24"/>
        </w:rPr>
        <w:tab/>
      </w:r>
      <w:r>
        <w:rPr>
          <w:sz w:val="24"/>
        </w:rPr>
        <w:t xml:space="preserve">_________________</w:t>
      </w:r>
    </w:p>
    <w:p>
      <w:pPr>
        <w:pBdr/>
        <w:pStyle w:val="Normal (Web)"/>
        <w:spacing w:before="229"/>
        <w:ind w:left="100"/>
        <w:jc w:val="both"/>
        <w:tabs>
          <w:tab w:val="left" w:pos="5860"/>
        </w:tabs>
        <w:rPr>
          <w:sz w:val="24"/>
        </w:rPr>
      </w:pPr>
    </w:p>
    <w:p>
      <w:pPr>
        <w:pBdr/>
        <w:pStyle w:val="Normal (Web)"/>
        <w:spacing w:before="229"/>
        <w:ind w:left="100"/>
        <w:jc w:val="both"/>
        <w:tabs>
          <w:tab w:val="left" w:pos="5860"/>
        </w:tabs>
        <w:rPr>
          <w:sz w:val="24"/>
        </w:rPr>
      </w:pPr>
    </w:p>
    <w:p>
      <w:pPr>
        <w:pBdr/>
        <w:pStyle w:val="Normal (Web)"/>
        <w:spacing w:before="229"/>
        <w:ind w:left="100"/>
        <w:jc w:val="both"/>
        <w:tabs>
          <w:tab w:val="left" w:pos="5860"/>
        </w:tabs>
        <w:rPr>
          <w:sz w:val="24"/>
        </w:rPr>
      </w:pPr>
    </w:p>
    <w:p>
      <w:pPr>
        <w:pBdr/>
        <w:pStyle w:val="Normal (Web)"/>
        <w:spacing w:before="229"/>
        <w:ind w:left="100"/>
        <w:jc w:val="both"/>
        <w:tabs>
          <w:tab w:val="left" w:pos="5860"/>
        </w:tabs>
        <w:rPr>
          <w:sz w:val="24"/>
        </w:rPr>
      </w:pPr>
    </w:p>
    <w:p>
      <w:pPr>
        <w:pBdr/>
        <w:pStyle w:val="Normal (Web)"/>
        <w:spacing w:before="229"/>
        <w:ind w:left="100"/>
        <w:jc w:val="both"/>
        <w:tabs>
          <w:tab w:val="left" w:pos="5860"/>
        </w:tabs>
        <w:rPr>
          <w:sz w:val="24"/>
        </w:rPr>
      </w:pPr>
    </w:p>
    <w:p>
      <w:pPr>
        <w:pBdr/>
        <w:pStyle w:val="Normal (Web)"/>
        <w:spacing w:before="229"/>
        <w:ind w:left="100"/>
        <w:jc w:val="both"/>
        <w:tabs>
          <w:tab w:val="left" w:pos="5860"/>
        </w:tabs>
        <w:rPr>
          <w:sz w:val="24"/>
        </w:rPr>
      </w:pPr>
    </w:p>
    <w:p>
      <w:pPr>
        <w:pBdr/>
        <w:pStyle w:val="Normal (Web)"/>
        <w:spacing w:before="229"/>
        <w:ind w:left="100"/>
        <w:jc w:val="both"/>
        <w:tabs>
          <w:tab w:val="left" w:pos="5860"/>
        </w:tabs>
        <w:rPr>
          <w:sz w:val="24"/>
        </w:rPr>
      </w:pPr>
    </w:p>
    <w:p>
      <w:pPr>
        <w:pBdr/>
        <w:pStyle w:val="Heading 5"/>
        <w:spacing w:before="61" w:line="256" w:lineRule="auto"/>
        <w:ind w:right="78"/>
        <w:jc w:val="center"/>
        <w:rPr>
          <w:rFonts w:cstheme="minorHAnsi"/>
          <w:color w:val="4472C4"/>
          <w:sz w:val="36"/>
          <w:szCs w:val="36"/>
        </w:rPr>
      </w:pPr>
      <w:r>
        <w:rPr>
          <w:color w:val="4472C4"/>
          <w:sz w:val="36"/>
          <w:szCs w:val="36"/>
        </w:rPr>
        <w:t xml:space="preserve"> Nabira</w:t>
      </w:r>
      <w:r>
        <w:rPr>
          <w:color w:val="4472C4"/>
          <w:sz w:val="36"/>
          <w:spacing w:val="-1"/>
          <w:szCs w:val="36"/>
        </w:rPr>
        <w:t xml:space="preserve"> </w:t>
      </w:r>
      <w:r>
        <w:rPr>
          <w:rFonts w:cstheme="minorHAnsi"/>
          <w:color w:val="4472C4"/>
          <w:sz w:val="36"/>
          <w:szCs w:val="36"/>
        </w:rPr>
        <w:t xml:space="preserve">Mahavidyalaya,</w:t>
      </w:r>
      <w:r>
        <w:rPr>
          <w:rFonts w:cstheme="minorHAnsi"/>
          <w:color w:val="4472C4"/>
          <w:sz w:val="36"/>
          <w:spacing w:val="-2"/>
          <w:szCs w:val="36"/>
        </w:rPr>
        <w:t xml:space="preserve"> </w:t>
      </w:r>
      <w:r>
        <w:rPr>
          <w:rFonts w:cstheme="minorHAnsi"/>
          <w:color w:val="4472C4"/>
          <w:sz w:val="36"/>
          <w:szCs w:val="36"/>
        </w:rPr>
        <w:t xml:space="preserve">Katol</w:t>
      </w:r>
    </w:p>
    <w:p>
      <w:pPr>
        <w:pBdr/>
        <w:pStyle w:val="Normal (Web)"/>
        <w:spacing/>
        <w:ind/>
        <w:jc w:val="center"/>
        <w:rPr>
          <w:rFonts w:asciiTheme="minorHAnsi" w:hAnsiTheme="minorHAnsi" w:cstheme="minorHAnsi"/>
          <w:color w:val="4472C4"/>
          <w:sz w:val="36"/>
          <w:szCs w:val="36"/>
        </w:rPr>
      </w:pPr>
      <w:r>
        <w:rPr>
          <w:rFonts w:asciiTheme="minorHAnsi" w:hAnsiTheme="minorHAnsi" w:cstheme="minorHAnsi"/>
          <w:color w:val="4472C4"/>
          <w:sz w:val="36"/>
          <w:szCs w:val="36"/>
        </w:rPr>
        <w:t xml:space="preserve">Department of BBA</w:t>
      </w:r>
    </w:p>
    <w:p>
      <w:pPr>
        <w:pBdr/>
        <w:pStyle w:val="Heading 5"/>
        <w:spacing w:before="110"/>
        <w:ind w:right="46" w:firstLine="28"/>
        <w:jc w:val="center"/>
        <w:rPr>
          <w:sz w:val="36"/>
          <w:szCs w:val="36"/>
        </w:rPr>
      </w:pPr>
    </w:p>
    <w:p>
      <w:pPr>
        <w:pBdr/>
        <w:pStyle w:val="Body Text"/>
        <w:spacing/>
        <w:ind/>
        <w:rPr>
          <w:b/>
          <w:sz w:val="26"/>
        </w:rPr>
      </w:pPr>
    </w:p>
    <w:p>
      <w:pPr>
        <w:pBdr/>
        <w:pStyle w:val="Body Text"/>
        <w:spacing/>
        <w:ind/>
        <w:rPr>
          <w:b/>
          <w:sz w:val="26"/>
        </w:rPr>
      </w:pPr>
    </w:p>
    <w:p>
      <w:pPr>
        <w:pBdr/>
        <w:pStyle w:val="Body Text"/>
        <w:spacing/>
        <w:ind/>
        <w:rPr>
          <w:b/>
          <w:sz w:val="26"/>
        </w:rPr>
      </w:pPr>
    </w:p>
    <w:p>
      <w:pPr>
        <w:pBdr/>
        <w:pStyle w:val="Body Text"/>
        <w:spacing w:before="7"/>
        <w:ind/>
        <w:rPr>
          <w:b/>
          <w:sz w:val="25"/>
        </w:rPr>
      </w:pPr>
    </w:p>
    <w:p>
      <w:pPr>
        <w:pBdr/>
        <w:pStyle w:val="Normal (Web)"/>
        <w:spacing/>
        <w:ind w:left="738" w:right="752"/>
        <w:jc w:val="center"/>
        <w:rPr>
          <w:sz w:val="28"/>
          <w:szCs w:val="28"/>
          <w:u w:val="single"/>
        </w:rPr>
      </w:pPr>
      <w:r>
        <w:rPr>
          <w:sz w:val="28"/>
          <w:szCs w:val="28"/>
          <w:u w:val="single"/>
        </w:rPr>
        <w:t xml:space="preserve">ACKNOWLEDGEMENT</w:t>
      </w:r>
    </w:p>
    <w:p>
      <w:pPr>
        <w:pBdr/>
        <w:pStyle w:val="Normal (Web)"/>
        <w:spacing/>
        <w:ind w:left="738" w:right="752"/>
        <w:jc w:val="center"/>
        <w:rPr>
          <w:sz w:val="24"/>
        </w:rPr>
      </w:pPr>
    </w:p>
    <w:p>
      <w:pPr>
        <w:pBdr/>
        <w:pStyle w:val="Body Text"/>
        <w:spacing/>
        <w:ind/>
        <w:rPr>
          <w:b/>
          <w:sz w:val="20"/>
        </w:rPr>
      </w:pPr>
    </w:p>
    <w:p>
      <w:pPr>
        <w:pBdr/>
        <w:pStyle w:val="Body Text"/>
        <w:spacing w:before="10"/>
        <w:ind/>
        <w:rPr>
          <w:b/>
          <w:sz w:val="25"/>
        </w:rPr>
      </w:pPr>
    </w:p>
    <w:p>
      <w:pPr>
        <w:pBdr/>
        <w:pStyle w:val="Body Text"/>
        <w:spacing w:before="100" w:beforeAutospacing="true" w:after="100" w:afterAutospacing="true" w:line="480" w:lineRule="auto"/>
        <w:contextualSpacing/>
        <w:ind w:left="100" w:right="118" w:firstLine="717"/>
        <w:jc w:val="both"/>
        <w:rPr/>
      </w:pPr>
      <w:r>
        <w:rPr>
          <w:spacing w:val="-1"/>
        </w:rPr>
        <w:t xml:space="preserve">I</w:t>
      </w:r>
      <w:r>
        <w:rPr>
          <w:spacing w:val="-16"/>
        </w:rPr>
        <w:t xml:space="preserve"> </w:t>
      </w:r>
      <w:r>
        <w:rPr>
          <w:spacing w:val="-1"/>
        </w:rPr>
        <w:t xml:space="preserve">take</w:t>
      </w:r>
      <w:r>
        <w:rPr>
          <w:spacing w:val="-11"/>
        </w:rPr>
        <w:t xml:space="preserve"> </w:t>
      </w:r>
      <w:r>
        <w:rPr>
          <w:spacing w:val="-1"/>
        </w:rPr>
        <w:t xml:space="preserve">this</w:t>
      </w:r>
      <w:r>
        <w:rPr>
          <w:spacing w:val="-5"/>
        </w:rPr>
        <w:t xml:space="preserve"> </w:t>
      </w:r>
      <w:r>
        <w:rPr>
          <w:spacing w:val="-1"/>
        </w:rPr>
        <w:t xml:space="preserve">opportunity</w:t>
      </w:r>
      <w:r>
        <w:rPr>
          <w:spacing w:val="-8"/>
        </w:rPr>
        <w:t xml:space="preserve"> </w:t>
      </w:r>
      <w:r>
        <w:rPr/>
        <w:t xml:space="preserve">to</w:t>
      </w:r>
      <w:r>
        <w:rPr>
          <w:spacing w:val="-10"/>
        </w:rPr>
        <w:t xml:space="preserve"> </w:t>
      </w:r>
      <w:r>
        <w:rPr/>
        <w:t xml:space="preserve">acknowledge</w:t>
      </w:r>
      <w:r>
        <w:rPr>
          <w:spacing w:val="-8"/>
        </w:rPr>
        <w:t xml:space="preserve"> </w:t>
      </w:r>
      <w:r>
        <w:rPr/>
        <w:t xml:space="preserve">and</w:t>
      </w:r>
      <w:r>
        <w:rPr>
          <w:spacing w:val="-7"/>
        </w:rPr>
        <w:t xml:space="preserve"> </w:t>
      </w:r>
      <w:r>
        <w:rPr/>
        <w:t xml:space="preserve">extend</w:t>
      </w:r>
      <w:r>
        <w:rPr>
          <w:spacing w:val="-6"/>
        </w:rPr>
        <w:t xml:space="preserve"> </w:t>
      </w:r>
      <w:r>
        <w:rPr/>
        <w:t xml:space="preserve">my</w:t>
      </w:r>
      <w:r>
        <w:rPr>
          <w:spacing w:val="-7"/>
        </w:rPr>
        <w:t xml:space="preserve"> </w:t>
      </w:r>
      <w:r>
        <w:rPr/>
        <w:t xml:space="preserve">heartfelt</w:t>
      </w:r>
      <w:r>
        <w:rPr>
          <w:spacing w:val="-6"/>
        </w:rPr>
        <w:t xml:space="preserve"> </w:t>
      </w:r>
      <w:r>
        <w:rPr/>
        <w:t xml:space="preserve">gratitude</w:t>
      </w:r>
      <w:r>
        <w:rPr>
          <w:spacing w:val="-10"/>
        </w:rPr>
        <w:t xml:space="preserve"> </w:t>
      </w:r>
      <w:r>
        <w:rPr/>
        <w:t xml:space="preserve">to</w:t>
      </w:r>
      <w:r>
        <w:rPr>
          <w:spacing w:val="-7"/>
        </w:rPr>
        <w:t xml:space="preserve"> </w:t>
      </w:r>
      <w:r>
        <w:rPr/>
        <w:t xml:space="preserve">my</w:t>
      </w:r>
      <w:r>
        <w:rPr>
          <w:spacing w:val="-10"/>
        </w:rPr>
        <w:t xml:space="preserve"> </w:t>
      </w:r>
      <w:r>
        <w:rPr/>
        <w:t xml:space="preserve">guide</w:t>
      </w:r>
      <w:r>
        <w:rPr>
          <w:spacing w:val="-10"/>
        </w:rPr>
        <w:t xml:space="preserve"> </w:t>
      </w:r>
      <w:r>
        <w:rPr>
          <w:b/>
          <w:bCs/>
        </w:rPr>
        <w:t xml:space="preserve">Prof. Naitika A. Band, </w:t>
      </w:r>
      <w:r>
        <w:rPr/>
        <w:t xml:space="preserve">Department of BBA. Nabira</w:t>
      </w:r>
      <w:r>
        <w:rPr>
          <w:spacing w:val="1"/>
        </w:rPr>
        <w:t xml:space="preserve"> </w:t>
      </w:r>
      <w:r>
        <w:rPr/>
        <w:t xml:space="preserve">Mahavidyalaya Katol for his valuable guidance and encouragement for this study. His</w:t>
      </w:r>
      <w:r>
        <w:rPr>
          <w:spacing w:val="1"/>
        </w:rPr>
        <w:t xml:space="preserve"> </w:t>
      </w:r>
      <w:r>
        <w:rPr/>
        <w:t xml:space="preserve">useful</w:t>
      </w:r>
      <w:r>
        <w:rPr>
          <w:spacing w:val="-14"/>
        </w:rPr>
        <w:t xml:space="preserve"> </w:t>
      </w:r>
      <w:r>
        <w:rPr/>
        <w:t xml:space="preserve">suggestions</w:t>
      </w:r>
      <w:r>
        <w:rPr>
          <w:spacing w:val="-12"/>
        </w:rPr>
        <w:t xml:space="preserve"> </w:t>
      </w:r>
      <w:r>
        <w:rPr/>
        <w:t xml:space="preserve">for</w:t>
      </w:r>
      <w:r>
        <w:rPr>
          <w:spacing w:val="-14"/>
        </w:rPr>
        <w:t xml:space="preserve"> </w:t>
      </w:r>
      <w:r>
        <w:rPr/>
        <w:t xml:space="preserve">this</w:t>
      </w:r>
      <w:r>
        <w:rPr>
          <w:spacing w:val="-13"/>
        </w:rPr>
        <w:t xml:space="preserve"> </w:t>
      </w:r>
      <w:r>
        <w:rPr/>
        <w:t xml:space="preserve">entire</w:t>
      </w:r>
      <w:r>
        <w:rPr>
          <w:spacing w:val="-13"/>
        </w:rPr>
        <w:t xml:space="preserve"> study </w:t>
      </w:r>
      <w:r>
        <w:rPr/>
        <w:t xml:space="preserve">work</w:t>
      </w:r>
      <w:r>
        <w:rPr>
          <w:spacing w:val="-11"/>
        </w:rPr>
        <w:t xml:space="preserve"> </w:t>
      </w:r>
      <w:r>
        <w:rPr/>
        <w:t xml:space="preserve">and</w:t>
      </w:r>
      <w:r>
        <w:rPr>
          <w:spacing w:val="-8"/>
        </w:rPr>
        <w:t xml:space="preserve"> cooperation</w:t>
      </w:r>
      <w:r>
        <w:rPr>
          <w:spacing w:val="-7"/>
        </w:rPr>
        <w:t xml:space="preserve"> </w:t>
      </w:r>
      <w:r>
        <w:rPr/>
        <w:t xml:space="preserve">are</w:t>
      </w:r>
      <w:r>
        <w:rPr>
          <w:spacing w:val="-14"/>
        </w:rPr>
        <w:t xml:space="preserve"> </w:t>
      </w:r>
      <w:r>
        <w:rPr/>
        <w:t xml:space="preserve">gratefully</w:t>
      </w:r>
      <w:r>
        <w:rPr>
          <w:spacing w:val="-13"/>
        </w:rPr>
        <w:t xml:space="preserve"> </w:t>
      </w:r>
      <w:r>
        <w:rPr/>
        <w:t xml:space="preserve">acknowledged.</w:t>
      </w:r>
    </w:p>
    <w:p>
      <w:pPr>
        <w:pBdr/>
        <w:pStyle w:val="Body Text"/>
        <w:spacing w:before="100" w:beforeAutospacing="true" w:after="100" w:afterAutospacing="true" w:line="480" w:lineRule="auto"/>
        <w:contextualSpacing/>
        <w:ind/>
        <w:rPr>
          <w:sz w:val="25"/>
        </w:rPr>
      </w:pPr>
    </w:p>
    <w:p>
      <w:pPr>
        <w:pBdr/>
        <w:pStyle w:val="Body Text"/>
        <w:spacing w:before="100" w:beforeAutospacing="true" w:after="100" w:afterAutospacing="true" w:line="480" w:lineRule="auto"/>
        <w:contextualSpacing/>
        <w:ind w:left="100" w:right="115" w:firstLine="717"/>
        <w:jc w:val="both"/>
        <w:rPr/>
      </w:pPr>
      <w:r>
        <w:rPr/>
        <w:t xml:space="preserve">I am also thankful to </w:t>
      </w:r>
      <w:r>
        <w:rPr>
          <w:b/>
        </w:rPr>
        <w:t xml:space="preserve">Dr. S. K. Navin, </w:t>
      </w:r>
      <w:r>
        <w:rPr>
          <w:bCs/>
        </w:rPr>
        <w:t xml:space="preserve">Hon. Principal, Department of BBA,</w:t>
      </w:r>
      <w:r>
        <w:rPr>
          <w:spacing w:val="1"/>
        </w:rPr>
        <w:t xml:space="preserve"> </w:t>
      </w:r>
      <w:r>
        <w:rPr/>
        <w:t xml:space="preserve">Nabira Mahavidyalaya, Katol and </w:t>
      </w:r>
      <w:r>
        <w:rPr>
          <w:b/>
        </w:rPr>
        <w:t xml:space="preserve">Prof. J. M. Patil, </w:t>
      </w:r>
      <w:r>
        <w:rPr/>
        <w:t xml:space="preserve">Head of Department for their support</w:t>
      </w:r>
      <w:r>
        <w:rPr>
          <w:spacing w:val="1"/>
        </w:rPr>
        <w:t xml:space="preserve"> </w:t>
      </w:r>
      <w:r>
        <w:rPr/>
        <w:t xml:space="preserve">and</w:t>
      </w:r>
      <w:r>
        <w:rPr>
          <w:spacing w:val="-1"/>
        </w:rPr>
        <w:t xml:space="preserve"> </w:t>
      </w:r>
      <w:r>
        <w:rPr/>
        <w:t xml:space="preserve">encouragement.</w:t>
      </w:r>
    </w:p>
    <w:p>
      <w:pPr>
        <w:pBdr/>
        <w:pStyle w:val="Body Text"/>
        <w:spacing w:before="100" w:beforeAutospacing="true" w:after="100" w:afterAutospacing="true" w:line="480" w:lineRule="auto"/>
        <w:contextualSpacing/>
        <w:ind/>
        <w:rPr>
          <w:sz w:val="25"/>
        </w:rPr>
      </w:pPr>
    </w:p>
    <w:p>
      <w:pPr>
        <w:pBdr/>
        <w:pStyle w:val="Body Text"/>
        <w:spacing w:before="100" w:beforeAutospacing="true" w:after="100" w:afterAutospacing="true" w:line="480" w:lineRule="auto"/>
        <w:contextualSpacing/>
        <w:ind w:left="100" w:right="119" w:firstLine="717"/>
        <w:jc w:val="both"/>
        <w:rPr/>
      </w:pPr>
      <w:r>
        <w:rPr/>
        <w:t xml:space="preserve">Further, I extend my gratitude to all the staff members of Department of BBA Nabira Mahavidyalaya Katol for their continuous support during this work. </w:t>
      </w:r>
    </w:p>
    <w:p>
      <w:pPr>
        <w:pBdr/>
        <w:pStyle w:val="Body Text"/>
        <w:spacing w:before="100" w:beforeAutospacing="true" w:after="100" w:afterAutospacing="true" w:line="480" w:lineRule="auto"/>
        <w:contextualSpacing/>
        <w:ind/>
        <w:rPr>
          <w:sz w:val="25"/>
        </w:rPr>
      </w:pPr>
    </w:p>
    <w:p>
      <w:pPr>
        <w:pBdr/>
        <w:pStyle w:val="Body Text"/>
        <w:spacing w:before="100" w:beforeAutospacing="true" w:after="100" w:afterAutospacing="true" w:line="480" w:lineRule="auto"/>
        <w:contextualSpacing/>
        <w:ind w:left="142" w:hanging="100"/>
        <w:jc w:val="both"/>
        <w:rPr/>
      </w:pPr>
      <w:r>
        <w:rPr/>
        <w:t xml:space="preserve">               Finally, I thank one</w:t>
      </w:r>
      <w:r>
        <w:rPr>
          <w:spacing w:val="-3"/>
        </w:rPr>
        <w:t xml:space="preserve"> </w:t>
      </w:r>
      <w:r>
        <w:rPr/>
        <w:t xml:space="preserve">and all</w:t>
      </w:r>
      <w:r>
        <w:rPr>
          <w:spacing w:val="-1"/>
        </w:rPr>
        <w:t xml:space="preserve"> who directly and indirectly supported me for completion of   this project. </w:t>
      </w:r>
    </w:p>
    <w:p>
      <w:pPr>
        <w:pBdr/>
        <w:pStyle w:val="Heading 5"/>
        <w:spacing/>
        <w:ind/>
        <w:jc w:val="center"/>
        <w:rPr>
          <w:rFonts w:ascii="Times New Roman" w:hAnsi="Times New Roman" w:cs="Times New Roman"/>
          <w:sz w:val="60"/>
          <w:szCs w:val="60"/>
        </w:rPr>
        <w:sectPr>
          <w:type w:val="nextPage"/>
          <w:pgSz w:w="11906" w:h="16838"/>
          <w:pgMar w:top="1600" w:right="1320" w:bottom="280" w:left="1340" w:header="720" w:footer="720" w:gutter="0"/>
          <w:pgNumType w:fmt="Arabic"/>
          <w:pgBorders/>
          <w:endnotePr>
            <w:pos w:val="docEnd"/>
            <w:numFmt w:val="lowerRoman"/>
            <w:numRestart w:val="continuous"/>
            <w:numStart w:val="1"/>
          </w:endnotePr>
        </w:sectPr>
      </w:pPr>
    </w:p>
    <w:p>
      <w:pPr>
        <w:pBdr/>
        <w:pStyle w:val="Normal (Web)"/>
        <w:spacing w:before="80"/>
        <w:ind w:right="94"/>
        <w:jc w:val="right"/>
        <w:rPr>
          <w:rFonts w:ascii="Arial" w:hAnsi="Arial"/>
          <w:sz w:val="20"/>
        </w:rPr>
      </w:pPr>
    </w:p>
    <w:p>
      <w:pPr>
        <w:pBdr/>
        <w:pStyle w:val="Body Text"/>
        <w:spacing/>
        <w:ind/>
        <w:rPr>
          <w:rFonts w:ascii="Arial" w:hAnsi="Arial"/>
          <w:b/>
          <w:sz w:val="20"/>
        </w:rPr>
      </w:pPr>
    </w:p>
    <w:p>
      <w:pPr>
        <w:pBdr/>
        <w:pStyle w:val="Body Text"/>
        <w:spacing w:before="4"/>
        <w:ind/>
        <w:rPr>
          <w:rFonts w:ascii="Arial" w:hAnsi="Arial"/>
          <w:sz w:val="20"/>
        </w:rPr>
      </w:pPr>
    </w:p>
    <w:p>
      <w:pPr>
        <w:pBdr/>
        <w:pStyle w:val="Normal (Web)"/>
        <w:spacing w:before="59"/>
        <w:ind w:left="3160" w:right="3176"/>
        <w:jc w:val="center"/>
        <w:rPr>
          <w:sz w:val="32"/>
          <w:u w:val="single"/>
        </w:rPr>
      </w:pPr>
      <w:r>
        <w:rPr>
          <w:sz w:val="32"/>
          <w:u w:val="single"/>
        </w:rPr>
        <w:t xml:space="preserve">TABLE</w:t>
      </w:r>
      <w:r>
        <w:rPr>
          <w:sz w:val="32"/>
          <w:spacing w:val="-3"/>
          <w:u w:val="single"/>
        </w:rPr>
        <w:t xml:space="preserve"> </w:t>
      </w:r>
      <w:r>
        <w:rPr>
          <w:sz w:val="32"/>
          <w:u w:val="single"/>
        </w:rPr>
        <w:t xml:space="preserve">OF</w:t>
      </w:r>
      <w:r>
        <w:rPr>
          <w:sz w:val="32"/>
          <w:spacing w:val="-4"/>
          <w:u w:val="single"/>
        </w:rPr>
        <w:t xml:space="preserve"> </w:t>
      </w:r>
      <w:r>
        <w:rPr>
          <w:sz w:val="32"/>
          <w:u w:val="single"/>
        </w:rPr>
        <w:t xml:space="preserve">CONTENTS</w:t>
      </w:r>
    </w:p>
    <w:p>
      <w:pPr>
        <w:pBdr/>
        <w:pStyle w:val="Normal (Web)"/>
        <w:spacing w:before="59"/>
        <w:ind w:left="3160" w:right="3176"/>
        <w:jc w:val="center"/>
        <w:rPr>
          <w:sz w:val="32"/>
        </w:rPr>
      </w:pPr>
    </w:p>
    <w:p>
      <w:pPr>
        <w:pBdr/>
        <w:pStyle w:val="Body Text"/>
        <w:spacing w:before="10"/>
        <w:ind/>
        <w:rPr>
          <w:b/>
          <w:sz w:val="29"/>
        </w:rPr>
      </w:pPr>
    </w:p>
    <w:tbl>
      <w:tblPr>
        <w:tblW w:w="0" w:type="auto"/>
        <w:jc w:val="left"/>
        <w:tblInd w:w="124" w:type="dxa"/>
        <w:tblCellMar>
          <w:top w:w="0" w:type="dxa"/>
          <w:left w:w="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642"/>
        <w:gridCol w:w="5496"/>
        <w:gridCol w:w="244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PrEx>
        <w:trPr>
          <w:trHeight w:hRule="atLeast" w:val="575"/>
        </w:trPr>
        <w:tc>
          <w:tcPr>
            <w:tcW w:w="1642" w:type="dxa"/>
            <w:tcBorders/>
            <w:shd w:fill="auto" w:color="auto"/>
            <w:vAlign w:val="top"/>
          </w:tcPr>
          <w:p>
            <w:pPr>
              <w:pBdr/>
              <w:pStyle w:val="Table Paragraph"/>
              <w:spacing/>
              <w:ind w:left="115"/>
              <w:jc w:val="center"/>
              <w:rPr>
                <w:b/>
              </w:rPr>
            </w:pPr>
            <w:r>
              <w:rPr>
                <w:b/>
              </w:rPr>
              <w:t xml:space="preserve">CHAPTERS</w:t>
            </w:r>
          </w:p>
        </w:tc>
        <w:tc>
          <w:tcPr>
            <w:tcW w:w="5496" w:type="dxa"/>
            <w:tcBorders/>
            <w:shd w:fill="auto" w:color="auto"/>
            <w:vAlign w:val="top"/>
          </w:tcPr>
          <w:p>
            <w:pPr>
              <w:pBdr/>
              <w:pStyle w:val="Table Paragraph"/>
              <w:spacing/>
              <w:ind w:left="2295" w:right="2283"/>
              <w:jc w:val="center"/>
              <w:rPr>
                <w:b/>
              </w:rPr>
            </w:pPr>
            <w:r>
              <w:rPr>
                <w:b/>
              </w:rPr>
              <w:t xml:space="preserve">TITLE</w:t>
            </w:r>
          </w:p>
        </w:tc>
        <w:tc>
          <w:tcPr>
            <w:tcW w:w="2449" w:type="dxa"/>
            <w:tcBorders/>
            <w:shd w:fill="auto" w:color="auto"/>
            <w:vAlign w:val="top"/>
          </w:tcPr>
          <w:p>
            <w:pPr>
              <w:pBdr/>
              <w:pStyle w:val="Table Paragraph"/>
              <w:spacing/>
              <w:ind w:left="629" w:right="624"/>
              <w:jc w:val="center"/>
              <w:rPr>
                <w:b/>
              </w:rPr>
            </w:pPr>
            <w:r>
              <w:rPr>
                <w:b/>
              </w:rPr>
              <w:t xml:space="preserve">PAGE</w:t>
            </w:r>
            <w:r>
              <w:rPr>
                <w:b/>
                <w:spacing w:val="-1"/>
              </w:rPr>
              <w:t xml:space="preserve"> </w:t>
            </w:r>
            <w:r>
              <w:rPr>
                <w:b/>
              </w:rPr>
              <w:t xml:space="preserve">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PrEx>
        <w:trPr>
          <w:trHeight w:hRule="atLeast" w:val="575"/>
        </w:trPr>
        <w:tc>
          <w:tcPr>
            <w:tcW w:w="1642" w:type="dxa"/>
            <w:tcBorders/>
            <w:shd w:fill="auto" w:color="auto"/>
            <w:vAlign w:val="top"/>
          </w:tcPr>
          <w:p>
            <w:pPr>
              <w:pBdr/>
              <w:pStyle w:val="Table Paragraph"/>
              <w:spacing w:line="240" w:lineRule="auto"/>
              <w:ind w:left="0"/>
              <w:rPr/>
            </w:pPr>
            <w:r>
              <w:rPr>
                <w:sz w:val="40"/>
                <w:szCs w:val="40"/>
              </w:rPr>
              <w:t xml:space="preserve">       </w:t>
            </w:r>
            <w:r>
              <w:rPr/>
              <w:t xml:space="preserve">1</w:t>
            </w:r>
          </w:p>
        </w:tc>
        <w:tc>
          <w:tcPr>
            <w:tcW w:w="5496" w:type="dxa"/>
            <w:tcBorders/>
            <w:shd w:fill="auto" w:color="auto"/>
            <w:vAlign w:val="top"/>
          </w:tcPr>
          <w:p>
            <w:pPr>
              <w:pBdr/>
              <w:pStyle w:val="Table Paragraph"/>
              <w:spacing/>
              <w:ind w:left="112"/>
              <w:rPr>
                <w:b/>
              </w:rPr>
            </w:pPr>
            <w:r>
              <w:rPr>
                <w:b/>
              </w:rPr>
              <w:t xml:space="preserve">                          INTRODUCTION </w:t>
            </w:r>
          </w:p>
        </w:tc>
        <w:tc>
          <w:tcPr>
            <w:tcW w:w="2449" w:type="dxa"/>
            <w:tcBorders/>
            <w:shd w:fill="auto" w:color="auto"/>
            <w:vAlign w:val="center"/>
          </w:tcPr>
          <w:p>
            <w:pPr>
              <w:pBdr/>
              <w:pStyle w:val="Table Paragraph"/>
              <w:spacing/>
              <w:ind w:left="10"/>
              <w:jc w:val="center"/>
              <w:rPr>
                <w:b/>
              </w:rPr>
            </w:pPr>
            <w:r>
              <w:rPr>
                <w:b/>
              </w:rPr>
              <w:t xml:space="preserve">7-10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PrEx>
        <w:trPr>
          <w:trHeight w:hRule="atLeast" w:val="570"/>
        </w:trPr>
        <w:tc>
          <w:tcPr>
            <w:tcW w:w="1642" w:type="dxa"/>
            <w:tcBorders/>
            <w:shd w:fill="auto" w:color="auto"/>
            <w:vAlign w:val="top"/>
          </w:tcPr>
          <w:p>
            <w:pPr>
              <w:pBdr/>
              <w:pStyle w:val="Table Paragraph"/>
              <w:spacing/>
              <w:ind/>
              <w:rPr>
                <w:b/>
                <w:sz w:val="40"/>
                <w:szCs w:val="40"/>
              </w:rPr>
            </w:pPr>
            <w:r>
              <w:rPr>
                <w:b/>
                <w:sz w:val="40"/>
                <w:szCs w:val="40"/>
              </w:rPr>
              <w:t xml:space="preserve">       </w:t>
            </w:r>
            <w:r>
              <w:rPr>
                <w:b/>
              </w:rPr>
              <w:t xml:space="preserve">2</w:t>
            </w:r>
            <w:r>
              <w:rPr>
                <w:b/>
                <w:sz w:val="40"/>
                <w:szCs w:val="40"/>
              </w:rPr>
              <w:t xml:space="preserve">       </w:t>
            </w:r>
          </w:p>
        </w:tc>
        <w:tc>
          <w:tcPr>
            <w:tcW w:w="5496" w:type="dxa"/>
            <w:tcBorders/>
            <w:shd w:fill="auto" w:color="auto"/>
            <w:vAlign w:val="top"/>
          </w:tcPr>
          <w:p>
            <w:pPr>
              <w:pBdr/>
              <w:pStyle w:val="Table Paragraph"/>
              <w:spacing/>
              <w:ind w:left="112"/>
              <w:rPr>
                <w:b/>
              </w:rPr>
            </w:pPr>
            <w:r>
              <w:rPr>
                <w:b/>
              </w:rPr>
              <w:t xml:space="preserve">                            HYPOTHESIS</w:t>
            </w:r>
          </w:p>
        </w:tc>
        <w:tc>
          <w:tcPr>
            <w:tcW w:w="2449" w:type="dxa"/>
            <w:tcBorders/>
            <w:shd w:fill="auto" w:color="auto"/>
            <w:vAlign w:val="center"/>
          </w:tcPr>
          <w:p>
            <w:pPr>
              <w:pBdr/>
              <w:pStyle w:val="Table Paragraph"/>
              <w:spacing/>
              <w:ind w:left="627" w:right="624"/>
              <w:jc w:val="center"/>
              <w:rPr>
                <w:b/>
              </w:rPr>
            </w:pPr>
            <w:r>
              <w:rPr>
                <w:b/>
              </w:rPr>
              <w:t xml:space="preserve">11-12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PrEx>
        <w:trPr>
          <w:trHeight w:hRule="atLeast" w:val="570"/>
        </w:trPr>
        <w:tc>
          <w:tcPr>
            <w:tcW w:w="1642" w:type="dxa"/>
            <w:tcBorders/>
            <w:shd w:fill="auto" w:color="auto"/>
            <w:vAlign w:val="top"/>
          </w:tcPr>
          <w:p>
            <w:pPr>
              <w:pBdr/>
              <w:pStyle w:val="Table Paragraph"/>
              <w:spacing/>
              <w:ind/>
              <w:rPr>
                <w:b/>
              </w:rPr>
            </w:pPr>
            <w:r>
              <w:rPr>
                <w:b/>
                <w:sz w:val="40"/>
                <w:szCs w:val="40"/>
              </w:rPr>
              <w:t xml:space="preserve">       </w:t>
            </w:r>
            <w:r>
              <w:rPr>
                <w:b/>
              </w:rPr>
              <w:t xml:space="preserve">3</w:t>
            </w:r>
          </w:p>
        </w:tc>
        <w:tc>
          <w:tcPr>
            <w:tcW w:w="5496" w:type="dxa"/>
            <w:tcBorders/>
            <w:shd w:fill="auto" w:color="auto"/>
            <w:vAlign w:val="top"/>
          </w:tcPr>
          <w:p>
            <w:pPr>
              <w:pBdr/>
              <w:pStyle w:val="Table Paragraph"/>
              <w:spacing/>
              <w:ind/>
              <w:rPr>
                <w:b/>
              </w:rPr>
            </w:pPr>
            <w:r>
              <w:rPr>
                <w:b/>
              </w:rPr>
              <w:t xml:space="preserve">                  RESEARCH METHOLOGY</w:t>
            </w:r>
          </w:p>
        </w:tc>
        <w:tc>
          <w:tcPr>
            <w:tcW w:w="2449" w:type="dxa"/>
            <w:tcBorders/>
            <w:shd w:fill="auto" w:color="auto"/>
            <w:vAlign w:val="center"/>
          </w:tcPr>
          <w:p>
            <w:pPr>
              <w:pBdr/>
              <w:pStyle w:val="Table Paragraph"/>
              <w:spacing/>
              <w:ind w:left="627" w:right="624"/>
              <w:jc w:val="center"/>
              <w:rPr>
                <w:b/>
              </w:rPr>
            </w:pPr>
            <w:r>
              <w:rPr>
                <w:b/>
              </w:rPr>
              <w:t xml:space="preserve">13-16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PrEx>
        <w:trPr>
          <w:trHeight w:hRule="atLeast" w:val="570"/>
        </w:trPr>
        <w:tc>
          <w:tcPr>
            <w:tcW w:w="1642" w:type="dxa"/>
            <w:tcBorders/>
            <w:shd w:fill="auto" w:color="auto"/>
            <w:vAlign w:val="top"/>
          </w:tcPr>
          <w:p>
            <w:pPr>
              <w:pBdr/>
              <w:pStyle w:val="Table Paragraph"/>
              <w:spacing/>
              <w:ind w:left="115"/>
              <w:jc w:val="center"/>
              <w:rPr>
                <w:b/>
              </w:rPr>
            </w:pPr>
            <w:r>
              <w:rPr>
                <w:b/>
              </w:rPr>
              <w:t xml:space="preserve">4</w:t>
            </w:r>
          </w:p>
        </w:tc>
        <w:tc>
          <w:tcPr>
            <w:tcW w:w="5496" w:type="dxa"/>
            <w:tcBorders/>
            <w:shd w:fill="auto" w:color="auto"/>
            <w:vAlign w:val="top"/>
          </w:tcPr>
          <w:p>
            <w:pPr>
              <w:pBdr/>
              <w:pStyle w:val="Table Paragraph"/>
              <w:spacing/>
              <w:ind w:left="112"/>
              <w:rPr>
                <w:b/>
              </w:rPr>
            </w:pPr>
            <w:r>
              <w:rPr>
                <w:b/>
              </w:rPr>
              <w:t xml:space="preserve">                             OBJECTIVES</w:t>
            </w:r>
          </w:p>
        </w:tc>
        <w:tc>
          <w:tcPr>
            <w:tcW w:w="2449" w:type="dxa"/>
            <w:tcBorders/>
            <w:shd w:fill="auto" w:color="auto"/>
            <w:vAlign w:val="center"/>
          </w:tcPr>
          <w:p>
            <w:pPr>
              <w:pBdr/>
              <w:pStyle w:val="Table Paragraph"/>
              <w:spacing/>
              <w:ind w:left="627" w:right="624"/>
              <w:jc w:val="center"/>
              <w:rPr>
                <w:b/>
              </w:rPr>
            </w:pPr>
            <w:r>
              <w:rPr>
                <w:b/>
              </w:rPr>
              <w:t xml:space="preserve">17-18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PrEx>
        <w:trPr>
          <w:trHeight w:hRule="atLeast" w:val="570"/>
        </w:trPr>
        <w:tc>
          <w:tcPr>
            <w:tcW w:w="1642" w:type="dxa"/>
            <w:tcBorders/>
            <w:shd w:fill="auto" w:color="auto"/>
            <w:vAlign w:val="top"/>
          </w:tcPr>
          <w:p>
            <w:pPr>
              <w:pBdr/>
              <w:pStyle w:val="Table Paragraph"/>
              <w:spacing/>
              <w:ind w:left="115"/>
              <w:jc w:val="center"/>
              <w:rPr>
                <w:b/>
              </w:rPr>
            </w:pPr>
            <w:r>
              <w:rPr>
                <w:b/>
              </w:rPr>
              <w:t xml:space="preserve">5</w:t>
            </w:r>
          </w:p>
        </w:tc>
        <w:tc>
          <w:tcPr>
            <w:tcW w:w="5496" w:type="dxa"/>
            <w:tcBorders/>
            <w:shd w:fill="auto" w:color="auto"/>
            <w:vAlign w:val="top"/>
          </w:tcPr>
          <w:p>
            <w:pPr>
              <w:pBdr/>
              <w:pStyle w:val="Table Paragraph"/>
              <w:spacing/>
              <w:ind w:left="112"/>
              <w:rPr>
                <w:b/>
              </w:rPr>
            </w:pPr>
            <w:r>
              <w:rPr>
                <w:b/>
              </w:rPr>
              <w:t xml:space="preserve">DATA COLLECTION AND INTERPRETAITION</w:t>
            </w:r>
          </w:p>
        </w:tc>
        <w:tc>
          <w:tcPr>
            <w:tcW w:w="2449" w:type="dxa"/>
            <w:tcBorders/>
            <w:shd w:fill="auto" w:color="auto"/>
            <w:vAlign w:val="center"/>
          </w:tcPr>
          <w:p>
            <w:pPr>
              <w:pBdr/>
              <w:pStyle w:val="Table Paragraph"/>
              <w:spacing/>
              <w:ind w:left="627" w:right="624"/>
              <w:jc w:val="center"/>
              <w:rPr>
                <w:b/>
              </w:rPr>
            </w:pPr>
            <w:r>
              <w:rPr>
                <w:b/>
              </w:rPr>
              <w:t xml:space="preserve">19-25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PrEx>
        <w:trPr>
          <w:trHeight w:hRule="atLeast" w:val="570"/>
        </w:trPr>
        <w:tc>
          <w:tcPr>
            <w:tcW w:w="1642" w:type="dxa"/>
            <w:tcBorders/>
            <w:shd w:fill="auto" w:color="auto"/>
            <w:vAlign w:val="top"/>
          </w:tcPr>
          <w:p>
            <w:pPr>
              <w:pBdr/>
              <w:pStyle w:val="Table Paragraph"/>
              <w:spacing/>
              <w:ind w:left="115"/>
              <w:jc w:val="center"/>
              <w:rPr>
                <w:b/>
              </w:rPr>
            </w:pPr>
            <w:r>
              <w:rPr>
                <w:b/>
              </w:rPr>
              <w:t xml:space="preserve">6</w:t>
            </w:r>
          </w:p>
        </w:tc>
        <w:tc>
          <w:tcPr>
            <w:tcW w:w="5496" w:type="dxa"/>
            <w:tcBorders/>
            <w:shd w:fill="auto" w:color="auto"/>
            <w:vAlign w:val="top"/>
          </w:tcPr>
          <w:p>
            <w:pPr>
              <w:pBdr/>
              <w:pStyle w:val="Table Paragraph"/>
              <w:spacing/>
              <w:ind w:left="112"/>
              <w:rPr>
                <w:b/>
              </w:rPr>
            </w:pPr>
            <w:r>
              <w:rPr>
                <w:b/>
              </w:rPr>
              <w:t xml:space="preserve">                             LIMITATION</w:t>
            </w:r>
          </w:p>
        </w:tc>
        <w:tc>
          <w:tcPr>
            <w:tcW w:w="2449" w:type="dxa"/>
            <w:tcBorders/>
            <w:shd w:fill="auto" w:color="auto"/>
            <w:vAlign w:val="center"/>
          </w:tcPr>
          <w:p>
            <w:pPr>
              <w:pBdr/>
              <w:pStyle w:val="Table Paragraph"/>
              <w:spacing/>
              <w:ind w:left="627" w:right="624"/>
              <w:jc w:val="center"/>
              <w:rPr>
                <w:b/>
              </w:rPr>
            </w:pPr>
            <w:r>
              <w:rPr>
                <w:b/>
              </w:rPr>
              <w:t xml:space="preserve">26-32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PrEx>
        <w:trPr>
          <w:trHeight w:hRule="atLeast" w:val="570"/>
        </w:trPr>
        <w:tc>
          <w:tcPr>
            <w:tcW w:w="1642" w:type="dxa"/>
            <w:tcBorders/>
            <w:shd w:fill="auto" w:color="auto"/>
            <w:vAlign w:val="top"/>
          </w:tcPr>
          <w:p>
            <w:pPr>
              <w:pBdr/>
              <w:pStyle w:val="Table Paragraph"/>
              <w:spacing/>
              <w:ind w:left="115"/>
              <w:jc w:val="center"/>
              <w:rPr>
                <w:b/>
              </w:rPr>
            </w:pPr>
            <w:r>
              <w:rPr>
                <w:b/>
              </w:rPr>
              <w:t xml:space="preserve">7</w:t>
            </w:r>
          </w:p>
        </w:tc>
        <w:tc>
          <w:tcPr>
            <w:tcW w:w="5496" w:type="dxa"/>
            <w:tcBorders/>
            <w:shd w:fill="auto" w:color="auto"/>
            <w:vAlign w:val="top"/>
          </w:tcPr>
          <w:p>
            <w:pPr>
              <w:pBdr/>
              <w:pStyle w:val="Table Paragraph"/>
              <w:spacing/>
              <w:ind w:left="112"/>
              <w:rPr>
                <w:b/>
              </w:rPr>
            </w:pPr>
            <w:r>
              <w:rPr>
                <w:b/>
              </w:rPr>
              <w:t xml:space="preserve">                            CONCLUSION</w:t>
            </w:r>
          </w:p>
        </w:tc>
        <w:tc>
          <w:tcPr>
            <w:tcW w:w="2449" w:type="dxa"/>
            <w:tcBorders/>
            <w:shd w:fill="auto" w:color="auto"/>
            <w:vAlign w:val="center"/>
          </w:tcPr>
          <w:p>
            <w:pPr>
              <w:pBdr/>
              <w:pStyle w:val="Table Paragraph"/>
              <w:spacing/>
              <w:ind w:left="627" w:right="624"/>
              <w:jc w:val="center"/>
              <w:rPr>
                <w:b/>
              </w:rPr>
            </w:pPr>
            <w:r>
              <w:rPr>
                <w:b/>
              </w:rPr>
              <w:t xml:space="preserve">33-37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PrEx>
        <w:trPr>
          <w:trHeight w:hRule="atLeast" w:val="570"/>
        </w:trPr>
        <w:tc>
          <w:tcPr>
            <w:tcW w:w="1642" w:type="dxa"/>
            <w:tcBorders/>
            <w:shd w:fill="auto" w:color="auto"/>
            <w:vAlign w:val="top"/>
          </w:tcPr>
          <w:p>
            <w:pPr>
              <w:pBdr/>
              <w:pStyle w:val="Table Paragraph"/>
              <w:spacing/>
              <w:ind w:left="115"/>
              <w:jc w:val="center"/>
              <w:rPr>
                <w:b/>
              </w:rPr>
            </w:pPr>
            <w:r>
              <w:rPr>
                <w:b/>
              </w:rPr>
              <w:t xml:space="preserve">8</w:t>
            </w:r>
          </w:p>
        </w:tc>
        <w:tc>
          <w:tcPr>
            <w:tcW w:w="5496" w:type="dxa"/>
            <w:tcBorders/>
            <w:shd w:fill="auto" w:color="auto"/>
            <w:vAlign w:val="top"/>
          </w:tcPr>
          <w:p>
            <w:pPr>
              <w:pBdr/>
              <w:pStyle w:val="Table Paragraph"/>
              <w:spacing/>
              <w:ind w:left="112"/>
              <w:rPr>
                <w:b/>
              </w:rPr>
            </w:pPr>
            <w:r>
              <w:rPr>
                <w:b/>
              </w:rPr>
              <w:t xml:space="preserve">                           BIBLIOGRAPHY</w:t>
            </w:r>
          </w:p>
        </w:tc>
        <w:tc>
          <w:tcPr>
            <w:tcW w:w="2449" w:type="dxa"/>
            <w:tcBorders/>
            <w:shd w:fill="auto" w:color="auto"/>
            <w:vAlign w:val="center"/>
          </w:tcPr>
          <w:p>
            <w:pPr>
              <w:pBdr/>
              <w:pStyle w:val="Table Paragraph"/>
              <w:spacing/>
              <w:ind w:left="627" w:right="624"/>
              <w:jc w:val="center"/>
              <w:rPr>
                <w:b/>
              </w:rPr>
            </w:pPr>
            <w:r>
              <w:rPr>
                <w:b/>
              </w:rPr>
              <w:t xml:space="preserve">38-41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PrEx>
        <w:trPr>
          <w:trHeight w:hRule="atLeast" w:val="570"/>
        </w:trPr>
        <w:tc>
          <w:tcPr>
            <w:tcW w:w="1642" w:type="dxa"/>
            <w:tcBorders/>
            <w:shd w:fill="auto" w:color="auto"/>
            <w:vAlign w:val="top"/>
          </w:tcPr>
          <w:p>
            <w:pPr>
              <w:pBdr/>
              <w:pStyle w:val="Table Paragraph"/>
              <w:spacing/>
              <w:ind w:left="115"/>
              <w:jc w:val="center"/>
              <w:rPr>
                <w:b/>
              </w:rPr>
            </w:pPr>
          </w:p>
        </w:tc>
        <w:tc>
          <w:tcPr>
            <w:tcW w:w="5496" w:type="dxa"/>
            <w:tcBorders/>
            <w:shd w:fill="auto" w:color="auto"/>
            <w:vAlign w:val="top"/>
          </w:tcPr>
          <w:p>
            <w:pPr>
              <w:pBdr/>
              <w:pStyle w:val="Table Paragraph"/>
              <w:spacing/>
              <w:ind w:left="112"/>
              <w:rPr>
                <w:b/>
              </w:rPr>
            </w:pPr>
          </w:p>
        </w:tc>
        <w:tc>
          <w:tcPr>
            <w:tcW w:w="2449" w:type="dxa"/>
            <w:tcBorders/>
            <w:shd w:fill="auto" w:color="auto"/>
            <w:vAlign w:val="center"/>
          </w:tcPr>
          <w:p>
            <w:pPr>
              <w:pBdr/>
              <w:pStyle w:val="Table Paragraph"/>
              <w:spacing/>
              <w:ind w:left="627" w:right="624"/>
              <w:jc w:val="center"/>
              <w:rPr>
                <w:b/>
              </w:rPr>
            </w:pPr>
          </w:p>
        </w:tc>
      </w:tr>
    </w:tbl>
    <w:p>
      <w:pPr>
        <w:pBdr/>
        <w:pStyle w:val="Normal (Web)"/>
        <w:spacing/>
        <w:ind/>
        <w:rPr>
          <w:sz w:val="24"/>
        </w:rPr>
      </w:pPr>
    </w:p>
    <w:p>
      <w:pPr>
        <w:pBdr/>
        <w:pStyle w:val="Normal (Web)"/>
        <w:spacing/>
        <w:ind/>
        <w:rPr>
          <w:sz w:val="24"/>
        </w:rPr>
      </w:pPr>
    </w:p>
    <w:p>
      <w:pPr>
        <w:pBdr/>
        <w:pStyle w:val="Normal (Web)"/>
        <w:spacing/>
        <w:ind/>
        <w:rPr>
          <w:sz w:val="24"/>
        </w:rPr>
      </w:pPr>
    </w:p>
    <w:p>
      <w:pPr>
        <w:pBdr/>
        <w:pStyle w:val="Normal (Web)"/>
        <w:spacing/>
        <w:ind/>
        <w:rPr>
          <w:sz w:val="24"/>
        </w:rPr>
      </w:pPr>
    </w:p>
    <w:p>
      <w:pPr>
        <w:pBdr/>
        <w:pStyle w:val="Normal (Web)"/>
        <w:spacing/>
        <w:ind/>
        <w:rPr>
          <w:sz w:val="24"/>
        </w:rPr>
      </w:pPr>
    </w:p>
    <w:p>
      <w:pPr>
        <w:pBdr/>
        <w:pStyle w:val="Normal (Web)"/>
        <w:spacing/>
        <w:ind/>
        <w:tabs>
          <w:tab w:val="left" w:pos="3632.0001220703125"/>
        </w:tabs>
        <w:rPr>
          <w:sz w:val="2"/>
          <w:szCs w:val="2"/>
        </w:rPr>
      </w:pPr>
      <w:r>
        <w:rPr>
          <w:sz w:val="24"/>
        </w:rPr>
        <w:tab/>
      </w:r>
    </w:p>
    <w:p>
      <w:pPr>
        <w:pBdr/>
        <w:pStyle w:val="Normal (Web)"/>
        <w:spacing/>
        <w:ind/>
        <w:rPr>
          <w:sz w:val="2"/>
          <w:szCs w:val="2"/>
        </w:rPr>
      </w:pPr>
    </w:p>
    <w:p>
      <w:pPr>
        <w:pBdr/>
        <w:pStyle w:val="Normal (Web)"/>
        <w:spacing/>
        <w:ind/>
        <w:rPr>
          <w:sz w:val="2"/>
          <w:szCs w:val="2"/>
        </w:rPr>
      </w:pPr>
    </w:p>
    <w:p>
      <w:pPr>
        <w:pBdr/>
        <w:pStyle w:val="Normal (Web)"/>
        <w:spacing/>
        <w:ind/>
        <w:rPr>
          <w:sz w:val="2"/>
          <w:szCs w:val="2"/>
        </w:rPr>
      </w:pPr>
    </w:p>
    <w:p>
      <w:pPr>
        <w:pBdr/>
        <w:pStyle w:val="Normal (Web)"/>
        <w:spacing/>
        <w:ind/>
        <w:rPr>
          <w:sz w:val="2"/>
          <w:szCs w:val="2"/>
        </w:rPr>
      </w:pPr>
    </w:p>
    <w:p>
      <w:pPr>
        <w:pBdr/>
        <w:pStyle w:val="Normal (Web)"/>
        <w:spacing/>
        <w:ind/>
        <w:rPr>
          <w:sz w:val="2"/>
          <w:szCs w:val="2"/>
        </w:rPr>
      </w:pPr>
    </w:p>
    <w:p>
      <w:pPr>
        <w:pBdr/>
        <w:pStyle w:val="Normal (Web)"/>
        <w:spacing/>
        <w:ind/>
        <w:rPr>
          <w:sz w:val="2"/>
          <w:szCs w:val="2"/>
        </w:rPr>
      </w:pPr>
    </w:p>
    <w:p>
      <w:pPr>
        <w:pBdr/>
        <w:pStyle w:val="Normal (Web)"/>
        <w:spacing/>
        <w:ind/>
        <w:rPr>
          <w:sz w:val="2"/>
          <w:szCs w:val="2"/>
        </w:rPr>
      </w:pPr>
    </w:p>
    <w:p>
      <w:pPr>
        <w:pBdr/>
        <w:pStyle w:val="Normal (Web)"/>
        <w:spacing/>
        <w:ind/>
        <w:rPr>
          <w:sz w:val="2"/>
          <w:szCs w:val="2"/>
        </w:rPr>
      </w:pPr>
    </w:p>
    <w:p>
      <w:pPr>
        <w:pBdr/>
        <w:pStyle w:val="Normal (Web)"/>
        <w:spacing/>
        <w:ind/>
        <w:rPr>
          <w:sz w:val="2"/>
          <w:szCs w:val="2"/>
        </w:rPr>
      </w:pPr>
    </w:p>
    <w:p>
      <w:pPr>
        <w:pBdr/>
        <w:pStyle w:val="Normal (Web)"/>
        <w:spacing/>
        <w:ind/>
        <w:rPr>
          <w:sz w:val="144"/>
          <w:szCs w:val="144"/>
        </w:rPr>
      </w:pPr>
      <w:r>
        <w:rPr>
          <w:sz w:val="144"/>
          <w:szCs w:val="144"/>
        </w:rPr>
        <w:t xml:space="preserve">     MUTUAL          </w:t>
      </w:r>
    </w:p>
    <w:p>
      <w:pPr>
        <w:pBdr/>
        <w:pStyle w:val="Normal (Web)"/>
        <w:spacing/>
        <w:ind/>
        <w:rPr>
          <w:sz w:val="144"/>
          <w:szCs w:val="144"/>
        </w:rPr>
      </w:pPr>
      <w:r>
        <w:rPr>
          <w:sz w:val="144"/>
          <w:szCs w:val="144"/>
        </w:rPr>
        <w:t xml:space="preserve">     FUND  OF        </w:t>
      </w:r>
    </w:p>
    <w:p>
      <w:pPr>
        <w:pBdr/>
        <w:pStyle w:val="Normal (Web)"/>
        <w:spacing/>
        <w:ind/>
        <w:rPr>
          <w:sz w:val="144"/>
          <w:szCs w:val="144"/>
        </w:rPr>
      </w:pPr>
      <w:r>
        <w:rPr>
          <w:sz w:val="144"/>
          <w:szCs w:val="144"/>
        </w:rPr>
        <w:t xml:space="preserve">           BOI</w:t>
      </w:r>
    </w:p>
    <w:p>
      <w:pPr>
        <w:pBdr/>
        <w:pStyle w:val="Normal (Web)"/>
        <w:spacing/>
        <w:ind/>
        <w:rPr>
          <w:sz w:val="144"/>
          <w:szCs w:val="144"/>
        </w:rPr>
      </w:pPr>
    </w:p>
    <w:p>
      <w:pPr>
        <w:pBdr/>
        <w:pStyle w:val="Normal (Web)"/>
        <w:spacing/>
        <w:ind/>
        <w:rPr>
          <w:sz w:val="28"/>
          <w:szCs w:val="28"/>
        </w:rPr>
      </w:pPr>
      <w:r>
        <w:rPr>
          <w:sz w:val="28"/>
          <w:szCs w:val="28"/>
        </w:rPr>
        <w:t xml:space="preserve">                                                                  </w:t>
      </w:r>
    </w:p>
    <w:p>
      <w:pPr>
        <w:pBdr/>
        <w:pStyle w:val="Normal (Web)"/>
        <w:spacing/>
        <w:ind/>
        <w:jc w:val="center"/>
        <w:rPr>
          <w:sz w:val="144"/>
          <w:szCs w:val="144"/>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sz w:val="120"/>
          <w:szCs w:val="124"/>
        </w:rPr>
      </w:pPr>
      <w:r>
        <w:rPr>
          <w:sz w:val="120"/>
          <w:szCs w:val="124"/>
        </w:rPr>
        <w:t xml:space="preserve">INTRODUCTION</w:t>
      </w:r>
    </w:p>
    <w:p>
      <w:pPr>
        <w:pBdr/>
        <w:pStyle w:val="Normal (Web)"/>
        <w:spacing/>
        <w:ind/>
        <w:rPr>
          <w:sz w:val="124"/>
          <w:szCs w:val="124"/>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List Paragraph"/>
        <w:spacing w:beforeAutospacing="true" w:afterAutospacing="true"/>
        <w:ind/>
        <w:rPr>
          <w:rFonts w:cs="Times New Roman"/>
          <w:b/>
          <w:bCs/>
        </w:rPr>
      </w:pPr>
      <w:r>
        <w:rPr>
          <w:rFonts w:cs="Times New Roman"/>
          <w:b/>
          <w:bCs/>
        </w:rPr>
        <w:t xml:space="preserve">1. INTRODUCTION</w:t>
      </w:r>
    </w:p>
    <w:p>
      <w:pPr>
        <w:pBdr/>
        <w:pStyle w:val="List Paragraph"/>
        <w:spacing/>
        <w:ind/>
        <w:rPr/>
      </w:pPr>
      <w:bookmarkStart w:name="p_rc_f962536013b7632d_27" w:id="0"/>
      <w:r>
        <w:rPr/>
        <w:t xml:space="preserve">The financial landscape in India has witnessed a significant transformation over the last decade, with a distinct shift from traditional savings like Fixed Deposits and gold toward market-linked instruments. At the forefront of this evolution is the </w:t>
      </w:r>
      <w:bookmarkEnd w:id="0"/>
      <w:r>
        <w:rPr>
          <w:b/>
          <w:bCs/>
        </w:rPr>
        <w:t xml:space="preserve">Mutual Fund industry</w:t>
      </w:r>
      <w:r>
        <w:rPr/>
        <w:t xml:space="preserve">, which has emerged as a preferred vehicle for retail wealth creation. Among the key players in this sector is the </w:t>
      </w:r>
      <w:r>
        <w:rPr>
          <w:b/>
          <w:bCs/>
        </w:rPr>
        <w:t xml:space="preserve">Bank of India Mutual Fund</w:t>
      </w:r>
      <w:r>
        <w:rPr/>
        <w:t xml:space="preserve">, managed by </w:t>
      </w:r>
      <w:r>
        <w:rPr>
          <w:b/>
          <w:bCs/>
        </w:rPr>
        <w:t xml:space="preserve">Bank of India Investment Managers Private Limited</w:t>
      </w:r>
      <w:r>
        <w:rPr/>
        <w:t xml:space="preserve">.</w:t>
      </w:r>
    </w:p>
    <w:p>
      <w:pPr>
        <w:pBdr/>
        <w:pStyle w:val="Normal (Web)"/>
        <w:spacing w:beforeAutospacing="true" w:afterAutospacing="true"/>
        <w:ind/>
        <w:rPr>
          <w:rFonts w:cs="Times New Roman"/>
        </w:rPr>
      </w:pPr>
      <w:r>
        <w:rPr>
          <w:rFonts w:cs="Times New Roman"/>
        </w:rPr>
        <w:t xml:space="preserve">1.1 Overview of Bank of India Mutual Fund</w:t>
      </w:r>
    </w:p>
    <w:p>
      <w:pPr>
        <w:pBdr/>
        <w:pStyle w:val="List Paragraph"/>
        <w:spacing/>
        <w:ind/>
        <w:rPr/>
      </w:pPr>
      <w:r>
        <w:rPr/>
        <w:t xml:space="preserve">Bank of India Mutual Fund is a wholly-owned subsidiary of </w:t>
      </w:r>
      <w:r>
        <w:rPr>
          <w:b/>
          <w:bCs/>
        </w:rPr>
        <w:t xml:space="preserve">Bank of India (BOI)</w:t>
      </w:r>
      <w:r>
        <w:rPr/>
        <w:t xml:space="preserve">, one of the nation's premier public sector banks.</w:t>
      </w:r>
      <w:bookmarkStart w:name="p_rc_f962536013b7632d_28" w:id="1"/>
      <w:r>
        <w:rPr/>
        <w:t xml:space="preserve"> Established with the vision of making professional investment management accessible to the masses, the fund house leverages the bank's massive pan-India network of over </w:t>
      </w:r>
      <w:bookmarkEnd w:id="1"/>
      <w:r>
        <w:rPr>
          <w:b/>
          <w:bCs/>
        </w:rPr>
        <w:t xml:space="preserve">5,100 branches</w:t>
      </w:r>
      <w:r>
        <w:rPr/>
        <w:t xml:space="preserve"> to reach investors across urban and rural landscapes.</w:t>
      </w:r>
    </w:p>
    <w:p>
      <w:pPr>
        <w:pBdr/>
        <w:pStyle w:val="List Paragraph"/>
        <w:spacing/>
        <w:ind/>
        <w:rPr/>
      </w:pPr>
      <w:r>
        <w:rPr/>
        <w:t xml:space="preserve">As of early 2026, the fund house has demonstrated remarkable resilience and growth. Key highlights of its current standing include:</w:t>
      </w:r>
    </w:p>
    <w:p>
      <w:pPr>
        <w:pBdr/>
        <w:pStyle w:val="List Paragraph"/>
        <w:numPr>
          <w:ilvl w:val="0"/>
          <w:numId w:val="0"/>
        </w:numPr>
        <w:spacing/>
        <w:ind/>
        <w:rPr/>
      </w:pPr>
      <w:r>
        <w:rPr>
          <w:b/>
          <w:bCs/>
        </w:rPr>
        <w:t xml:space="preserve">Assets Under Management (AUM):</w:t>
      </w:r>
      <w:r>
        <w:rPr/>
        <w:t xml:space="preserve"> Over </w:t>
      </w:r>
      <w:r>
        <w:rPr>
          <w:b/>
          <w:bCs/>
        </w:rPr>
        <w:t xml:space="preserve">₹13,424 crore</w:t>
      </w:r>
      <w:r>
        <w:rPr/>
        <w:t xml:space="preserve"> (as of November 2025/March 2026 data).</w:t>
      </w:r>
    </w:p>
    <w:p>
      <w:pPr>
        <w:pBdr/>
        <w:pStyle w:val="List Paragraph"/>
        <w:numPr>
          <w:ilvl w:val="0"/>
          <w:numId w:val="0"/>
        </w:numPr>
        <w:spacing/>
        <w:ind/>
        <w:rPr/>
      </w:pPr>
      <w:r>
        <w:rPr>
          <w:b/>
          <w:bCs/>
        </w:rPr>
        <w:t xml:space="preserve">Investor Base:</w:t>
      </w:r>
      <w:r>
        <w:rPr/>
        <w:t xml:space="preserve"> Over </w:t>
      </w:r>
      <w:r>
        <w:rPr>
          <w:b/>
          <w:bCs/>
        </w:rPr>
        <w:t xml:space="preserve">8.5 lakh</w:t>
      </w:r>
      <w:r>
        <w:rPr/>
        <w:t xml:space="preserve"> active folios.</w:t>
      </w:r>
    </w:p>
    <w:p>
      <w:pPr>
        <w:pBdr/>
        <w:pStyle w:val="Normal (Web)"/>
        <w:numPr>
          <w:ilvl w:val="0"/>
          <w:numId w:val="0"/>
        </w:numPr>
        <w:spacing w:before="0" w:afterAutospacing="true" w:line="240" w:lineRule="auto"/>
        <w:ind/>
        <w:rPr>
          <w:rFonts w:ascii="Cambria" w:hAnsi="Cambria" w:cs="Cambria"/>
        </w:rPr>
      </w:pPr>
      <w:r>
        <w:rPr/>
        <w:t xml:space="preserve">Product Suite: A diverse portfolio of 25+ schemes spanning equity, debt, hybrid, and thematic categories.                                                                                                                </w:t>
      </w:r>
      <w:r>
        <w:rPr>
          <w:rFonts w:ascii="Cambria" w:hAnsi="Cambria" w:cs="Cambria"/>
        </w:rPr>
        <w:t xml:space="preserve">1.2 Evolution and Historical Context</w:t>
      </w:r>
    </w:p>
    <w:p>
      <w:pPr>
        <w:pBdr/>
        <w:pStyle w:val="List Paragraph"/>
        <w:numPr>
          <w:ilvl w:val="0"/>
          <w:numId w:val="0"/>
        </w:numPr>
        <w:spacing w:line="240" w:lineRule="auto"/>
        <w:ind/>
        <w:rPr>
          <w:rFonts w:ascii="Cambria" w:eastAsia="Cambria" w:hAnsi="Cambria" w:cs="Cambria"/>
        </w:rPr>
      </w:pPr>
      <w:r>
        <w:rPr>
          <w:rFonts w:ascii="Cambria" w:eastAsia="Cambria" w:hAnsi="Cambria" w:cs="Cambria"/>
        </w:rPr>
        <w:t xml:space="preserve">The journey of Bank of India Mutual Fund is marked by strategic partnerships and a transition to complete independence:</w:t>
      </w:r>
    </w:p>
    <w:p>
      <w:pPr>
        <w:pBdr/>
        <w:pStyle w:val="List Paragraph"/>
        <w:numPr>
          <w:ilvl w:val="0"/>
          <w:numId w:val="28"/>
        </w:numPr>
        <w:spacing w:line="240" w:lineRule="auto"/>
        <w:ind/>
        <w:rPr>
          <w:rFonts w:ascii="Cambria" w:eastAsia="Cambria" w:hAnsi="Cambria" w:cs="Cambria"/>
        </w:rPr>
      </w:pPr>
      <w:r>
        <w:rPr>
          <w:rFonts w:ascii="Cambria" w:eastAsia="Cambria" w:hAnsi="Cambria" w:cs="Cambria"/>
          <w:b/>
          <w:bCs/>
        </w:rPr>
        <w:t xml:space="preserve">Inception (2007–2008):</w:t>
      </w:r>
      <w:r>
        <w:rPr>
          <w:rFonts w:ascii="Cambria" w:eastAsia="Cambria" w:hAnsi="Cambria" w:cs="Cambria"/>
        </w:rPr>
        <w:t xml:space="preserve"> The AMC was incorporated in August 2007.</w:t>
      </w:r>
      <w:bookmarkStart w:name="p_rc_f962536013b7632d_31" w:id="2"/>
      <w:r>
        <w:rPr>
          <w:rFonts w:ascii="Cambria" w:eastAsia="Cambria" w:hAnsi="Cambria" w:cs="Cambria"/>
        </w:rPr>
        <w:t xml:space="preserve"> </w:t>
      </w:r>
      <w:bookmarkEnd w:id="2"/>
      <w:r>
        <w:rPr>
          <w:rFonts w:ascii="Cambria" w:eastAsia="Cambria" w:hAnsi="Cambria" w:cs="Cambria"/>
        </w:rPr>
        <w:t xml:space="preserve">It initially operated as a joint venture under the name </w:t>
      </w:r>
      <w:r>
        <w:rPr>
          <w:rFonts w:ascii="Cambria" w:eastAsia="Cambria" w:hAnsi="Cambria" w:cs="Cambria"/>
          <w:b/>
          <w:bCs/>
        </w:rPr>
        <w:t xml:space="preserve">Bharti AXA Investment Managers</w:t>
      </w:r>
      <w:r>
        <w:rPr>
          <w:rFonts w:ascii="Cambria" w:eastAsia="Cambria" w:hAnsi="Cambria" w:cs="Cambria"/>
        </w:rPr>
        <w:t xml:space="preserve">, combining the local reach of Bharti and the global expertise of AXA Investment Managers.</w:t>
      </w:r>
    </w:p>
    <w:p>
      <w:pPr>
        <w:pBdr/>
        <w:pStyle w:val="List Paragraph"/>
        <w:numPr>
          <w:ilvl w:val="0"/>
          <w:numId w:val="28"/>
        </w:numPr>
        <w:spacing w:line="240" w:lineRule="auto"/>
        <w:ind/>
        <w:rPr>
          <w:rFonts w:ascii="Cambria" w:eastAsia="Cambria" w:hAnsi="Cambria" w:cs="Cambria"/>
        </w:rPr>
      </w:pPr>
      <w:r>
        <w:rPr>
          <w:rFonts w:ascii="Cambria" w:eastAsia="Cambria" w:hAnsi="Cambria" w:cs="Cambria"/>
          <w:b/>
          <w:bCs/>
        </w:rPr>
        <w:t xml:space="preserve">The BOI Entry (2012):</w:t>
      </w:r>
      <w:r>
        <w:rPr>
          <w:rFonts w:ascii="Cambria" w:eastAsia="Cambria" w:hAnsi="Cambria" w:cs="Cambria"/>
        </w:rPr>
        <w:t xml:space="preserve"> Bank of India acquired a </w:t>
      </w:r>
      <w:r>
        <w:rPr>
          <w:rFonts w:ascii="Cambria" w:eastAsia="Cambria" w:hAnsi="Cambria" w:cs="Cambria"/>
          <w:b/>
          <w:bCs/>
        </w:rPr>
        <w:t xml:space="preserve">51% stake</w:t>
      </w:r>
      <w:r>
        <w:rPr>
          <w:rFonts w:ascii="Cambria" w:eastAsia="Cambria" w:hAnsi="Cambria" w:cs="Cambria"/>
        </w:rPr>
        <w:t xml:space="preserve"> in the venture, rebranding it as </w:t>
      </w:r>
      <w:r>
        <w:rPr>
          <w:rFonts w:ascii="Cambria" w:eastAsia="Cambria" w:hAnsi="Cambria" w:cs="Cambria"/>
          <w:b/>
          <w:bCs/>
        </w:rPr>
        <w:t xml:space="preserve">BOI AXA Mutual Fund</w:t>
      </w:r>
      <w:r>
        <w:rPr>
          <w:rFonts w:ascii="Cambria" w:eastAsia="Cambria" w:hAnsi="Cambria" w:cs="Cambria"/>
        </w:rPr>
        <w:t xml:space="preserve">.</w:t>
      </w:r>
    </w:p>
    <w:p>
      <w:pPr>
        <w:pBdr/>
        <w:pStyle w:val="List Paragraph"/>
        <w:numPr>
          <w:ilvl w:val="0"/>
          <w:numId w:val="28"/>
        </w:numPr>
        <w:spacing w:line="240" w:lineRule="auto"/>
        <w:ind/>
        <w:rPr>
          <w:rFonts w:ascii="Cambria" w:eastAsia="Cambria" w:hAnsi="Cambria" w:cs="Cambria"/>
        </w:rPr>
      </w:pPr>
      <w:r>
        <w:rPr>
          <w:rFonts w:ascii="Cambria" w:eastAsia="Cambria" w:hAnsi="Cambria" w:cs="Cambria"/>
          <w:b/>
          <w:bCs/>
        </w:rPr>
        <w:t xml:space="preserve">Sole Sponsorship (2021):</w:t>
      </w:r>
      <w:r>
        <w:rPr>
          <w:rFonts w:ascii="Cambria" w:eastAsia="Cambria" w:hAnsi="Cambria" w:cs="Cambria"/>
        </w:rPr>
        <w:t xml:space="preserve"> In a pivotal move, Bank of India acquired the remaining 49% stake from AXA, making it a 100% subsidiary.</w:t>
      </w:r>
      <w:bookmarkStart w:name="p_rc_f962536013b7632d_33" w:id="3"/>
      <w:r>
        <w:rPr>
          <w:rFonts w:ascii="Cambria" w:eastAsia="Cambria" w:hAnsi="Cambria" w:cs="Cambria"/>
        </w:rPr>
        <w:t xml:space="preserve"> This allowed the AMC to align more closely with the bank's core values of trust and financial inclusion.</w:t>
      </w:r>
      <w:bookmarkEnd w:id="3"/>
    </w:p>
    <w:p>
      <w:pPr>
        <w:pBdr/>
        <w:pStyle w:val="List Paragraph"/>
        <w:numPr>
          <w:ilvl w:val="0"/>
          <w:numId w:val="28"/>
        </w:numPr>
        <w:spacing w:line="240" w:lineRule="auto"/>
        <w:ind/>
        <w:rPr>
          <w:rFonts w:ascii="Cambria" w:eastAsia="Cambria" w:hAnsi="Cambria" w:cs="Cambria"/>
        </w:rPr>
      </w:pPr>
      <w:r>
        <w:rPr>
          <w:rFonts w:ascii="Cambria" w:eastAsia="Cambria" w:hAnsi="Cambria" w:cs="Cambria"/>
          <w:b/>
          <w:bCs/>
        </w:rPr>
        <w:t xml:space="preserve">Rebranding (2022–Present):</w:t>
      </w:r>
      <w:r>
        <w:rPr>
          <w:rFonts w:ascii="Cambria" w:eastAsia="Cambria" w:hAnsi="Cambria" w:cs="Cambria"/>
        </w:rPr>
        <w:t xml:space="preserve"> The entity was renamed </w:t>
      </w:r>
      <w:r>
        <w:rPr>
          <w:rFonts w:ascii="Cambria" w:eastAsia="Cambria" w:hAnsi="Cambria" w:cs="Cambria"/>
          <w:b/>
          <w:bCs/>
        </w:rPr>
        <w:t xml:space="preserve">Bank of India Investment Managers Private Limited</w:t>
      </w:r>
      <w:r>
        <w:rPr>
          <w:rFonts w:ascii="Cambria" w:eastAsia="Cambria" w:hAnsi="Cambria" w:cs="Cambria"/>
        </w:rPr>
        <w:t xml:space="preserve">, reinforcing its identity as a homegrown public sector powerhouse with professional fund management capabilities.</w:t>
      </w:r>
    </w:p>
    <w:p>
      <w:pPr>
        <w:pBdr/>
        <w:pStyle w:val="Normal (Web)"/>
        <w:numPr>
          <w:ilvl w:val="0"/>
          <w:numId w:val="0"/>
        </w:numPr>
        <w:spacing w:before="0" w:line="240" w:lineRule="auto"/>
        <w:ind/>
        <w:rPr/>
      </w:pPr>
      <w:r>
        <w:rPr>
          <w:rFonts w:ascii="Cambria" w:hAnsi="Cambria" w:cs="Cambria"/>
          <w:sz w:val="26"/>
        </w:rPr>
        <w:t xml:space="preserve"> </w:t>
      </w:r>
      <w:r>
        <w:rPr>
          <w:rFonts w:ascii="Cambria" w:hAnsi="Cambria" w:cs="Cambria"/>
        </w:rPr>
        <w:t xml:space="preserve">Vision and Mission</w:t>
      </w:r>
    </w:p>
    <w:p>
      <w:pPr>
        <w:pBdr/>
        <w:pStyle w:val="List Paragraph"/>
        <w:numPr>
          <w:ilvl w:val="0"/>
          <w:numId w:val="0"/>
        </w:numPr>
        <w:spacing w:line="240" w:lineRule="auto"/>
        <w:ind/>
        <w:rPr>
          <w:rFonts w:ascii="Cambria" w:eastAsia="Cambria" w:hAnsi="Cambria" w:cs="Cambria"/>
        </w:rPr>
      </w:pPr>
      <w:r>
        <w:rPr>
          <w:rFonts w:ascii="Cambria" w:eastAsia="Cambria" w:hAnsi="Cambria" w:cs="Cambria"/>
        </w:rPr>
        <w:t xml:space="preserve">The fund house operates under a dual-purpose framework:</w:t>
      </w:r>
    </w:p>
    <w:p>
      <w:pPr>
        <w:pBdr/>
        <w:pStyle w:val="List Paragraph"/>
        <w:numPr>
          <w:ilvl w:val="0"/>
          <w:numId w:val="0"/>
        </w:numPr>
        <w:spacing w:line="240" w:lineRule="auto"/>
        <w:ind/>
        <w:rPr>
          <w:rFonts w:ascii="Cambria" w:eastAsia="Cambria" w:hAnsi="Cambria" w:cs="Cambria"/>
        </w:rPr>
      </w:pPr>
      <w:r>
        <w:rPr>
          <w:rFonts w:ascii="Cambria" w:eastAsia="Cambria" w:hAnsi="Cambria" w:cs="Cambria"/>
          <w:b/>
          <w:bCs/>
        </w:rPr>
        <w:t xml:space="preserve">Mission:</w:t>
      </w:r>
      <w:r>
        <w:rPr>
          <w:rFonts w:ascii="Cambria" w:eastAsia="Cambria" w:hAnsi="Cambria" w:cs="Cambria"/>
        </w:rPr>
        <w:t xml:space="preserve"> To provide superior, technology-driven investment services that promote financial inclusion and enhance stakeholder value through prudent risk management..</w:t>
      </w:r>
      <w:r>
        <w:rPr>
          <w:sz w:val="28"/>
          <w:szCs w:val="28"/>
        </w:rPr>
        <w:t xml:space="preserve">                                                                                                                                                                                                                                                   </w:t>
      </w:r>
    </w:p>
    <w:p>
      <w:pPr>
        <w:pBdr/>
        <w:pStyle w:val="Normal (Web)"/>
        <w:spacing w:beforeAutospacing="true" w:afterAutospacing="true"/>
        <w:ind/>
        <w:rPr>
          <w:rFonts w:cs="Times New Roman"/>
        </w:rPr>
      </w:pPr>
      <w:r>
        <w:rPr>
          <w:rFonts w:cs="Times New Roman"/>
        </w:rPr>
        <w:t xml:space="preserve">1.4 Rationale for the Study</w:t>
      </w:r>
    </w:p>
    <w:p>
      <w:pPr>
        <w:pBdr/>
        <w:pStyle w:val="List Paragraph"/>
        <w:spacing/>
        <w:ind/>
        <w:rPr/>
      </w:pPr>
      <w:r>
        <w:rPr/>
        <w:t xml:space="preserve">The Bank of India Mutual Fund serves as an excellent case study for understanding the role of Public Sector Bank (PSB)-sponsored AMCs in India. While private players often dominate the AUM rankings, BOI Mutual Fund has carved a niche by:</w:t>
      </w:r>
    </w:p>
    <w:p>
      <w:pPr>
        <w:pBdr/>
        <w:pStyle w:val="List Paragraph"/>
        <w:numPr>
          <w:ilvl w:val="0"/>
          <w:numId w:val="0"/>
        </w:numPr>
        <w:spacing/>
        <w:ind/>
        <w:rPr/>
      </w:pPr>
      <w:r>
        <w:rPr/>
        <w:t xml:space="preserve">Consistently delivering high performance in specific segments like </w:t>
      </w:r>
      <w:r>
        <w:rPr>
          <w:b/>
          <w:bCs/>
        </w:rPr>
        <w:t xml:space="preserve">Small-Cap</w:t>
      </w:r>
      <w:r>
        <w:rPr/>
        <w:t xml:space="preserve"> and </w:t>
      </w:r>
      <w:r>
        <w:rPr>
          <w:b/>
          <w:bCs/>
        </w:rPr>
        <w:t xml:space="preserve">Manufacturing &amp; Infrastructure</w:t>
      </w:r>
      <w:r>
        <w:rPr/>
        <w:t xml:space="preserve"> funds.</w:t>
      </w:r>
    </w:p>
    <w:p>
      <w:pPr>
        <w:pBdr/>
        <w:pStyle w:val="List Paragraph"/>
        <w:numPr>
          <w:ilvl w:val="0"/>
          <w:numId w:val="0"/>
        </w:numPr>
        <w:spacing/>
        <w:ind/>
        <w:rPr/>
      </w:pPr>
      <w:r>
        <w:rPr/>
        <w:t xml:space="preserve">Bridgeing the gap between "Safety-First" traditional banking customers and "Return-</w:t>
      </w:r>
      <w:r>
        <w:rPr/>
        <w:t xml:space="preserve">Oriented" capital market investors.</w:t>
      </w:r>
    </w:p>
    <w:p>
      <w:pPr>
        <w:pBdr/>
        <w:pStyle w:val="List Paragraph"/>
        <w:spacing/>
        <w:ind/>
        <w:rPr/>
      </w:pPr>
      <w:r>
        <w:rPr/>
        <w:t xml:space="preserve">This study aims to evaluate the efficiency of BOI’s fund management, its market positioning against larger peers, and how it navigates the volatile Indian market to deliver consistent returns to its growing investor base.</w:t>
      </w:r>
    </w:p>
    <w:p>
      <w:pPr>
        <w:pBdr/>
        <w:pStyle w:val="List Paragraph"/>
        <w:spacing/>
        <w:ind/>
        <w:rPr/>
      </w:pPr>
      <w:r>
        <w:rPr/>
        <w:pict>
          <v:rect style="width:0;height:2" o:hralign="center" o:hrstd="t" o:hr="t" fillcolor="FFFFFF" stroked="f"/>
        </w:pict>
      </w:r>
    </w:p>
    <w:p>
      <w:pPr>
        <w:pBdr/>
        <w:pStyle w:val="Normal (Web)"/>
        <w:spacing w:beforeAutospacing="true" w:afterAutospacing="true"/>
        <w:ind/>
        <w:rPr>
          <w:rFonts w:cs="Times New Roman"/>
        </w:rPr>
      </w:pPr>
      <w:r>
        <w:rPr>
          <w:rFonts w:cs="Times New Roman"/>
        </w:rPr>
        <w:t xml:space="preserve">1.5 Statement of the Problem</w:t>
      </w:r>
    </w:p>
    <w:p>
      <w:pPr>
        <w:pBdr/>
        <w:pStyle w:val="List Paragraph"/>
        <w:spacing/>
        <w:ind/>
        <w:rPr/>
      </w:pPr>
      <w:r>
        <w:rPr/>
        <w:t xml:space="preserve">Despite the strong backing of a nationalized bank, BOI Mutual Fund faces challenges such as high competition from private AMCs and the need for continuous digital evolution. This research seeks to analyze whether the fund house has successfully leveraged its parentage to build a robust and competitive investment platform.</w:t>
      </w: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r>
        <w:rPr>
          <w:sz w:val="28"/>
          <w:szCs w:val="28"/>
        </w:rPr>
        <w:t xml:space="preserve">                             </w:t>
      </w: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r>
        <w:rPr>
          <w:sz w:val="28"/>
          <w:szCs w:val="28"/>
        </w:rPr>
        <w:t xml:space="preserve">                                                    </w:t>
      </w:r>
    </w:p>
    <w:p>
      <w:pPr>
        <w:pBdr/>
        <w:pStyle w:val="Normal (Web)"/>
        <w:spacing/>
        <w:ind/>
        <w:jc w:val="center"/>
        <w:rPr>
          <w:sz w:val="28"/>
          <w:szCs w:val="28"/>
        </w:rPr>
      </w:pPr>
      <w:r>
        <w:rPr>
          <w:sz w:val="28"/>
          <w:szCs w:val="28"/>
        </w:rPr>
        <w:t xml:space="preserve">9</w:t>
      </w: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List Paragraph"/>
        <w:spacing w:beforeAutospacing="true" w:afterAutospacing="true"/>
        <w:ind/>
        <w:rPr>
          <w:rFonts w:cs="Times New Roman"/>
          <w:b/>
          <w:bCs/>
        </w:rPr>
      </w:pPr>
      <w:r>
        <w:rPr>
          <w:rFonts w:cs="Times New Roman"/>
          <w:b/>
          <w:bCs/>
        </w:rPr>
        <w:t xml:space="preserve">1.6 The Indian Mutual Fund Landscape (2025–2026)</w:t>
      </w:r>
    </w:p>
    <w:p>
      <w:pPr>
        <w:pBdr/>
        <w:pStyle w:val="List Paragraph"/>
        <w:spacing/>
        <w:ind/>
        <w:rPr/>
      </w:pPr>
      <w:r>
        <w:rPr/>
        <w:t xml:space="preserve">As of early 2026, the Indian Mutual Fund industry has reached a historic milestone, with total </w:t>
      </w:r>
      <w:r>
        <w:rPr>
          <w:b/>
          <w:bCs/>
        </w:rPr>
        <w:t xml:space="preserve">Assets Under Management (AUM) exceeding ₹80 lakh crore</w:t>
      </w:r>
      <w:r>
        <w:rPr/>
        <w:t xml:space="preserve">. The market is characterized by:</w:t>
      </w:r>
    </w:p>
    <w:p>
      <w:pPr>
        <w:pBdr/>
        <w:pStyle w:val="List Paragraph"/>
        <w:numPr>
          <w:ilvl w:val="0"/>
          <w:numId w:val="0"/>
        </w:numPr>
        <w:spacing/>
        <w:ind/>
        <w:rPr/>
      </w:pPr>
      <w:r>
        <w:rPr>
          <w:b/>
          <w:bCs/>
        </w:rPr>
        <w:t xml:space="preserve">SIP Dominance:</w:t>
      </w:r>
      <w:r>
        <w:rPr/>
        <w:t xml:space="preserve"> Monthly Systematic Investment Plan (SIP) inflows have stabilized above </w:t>
      </w:r>
      <w:r>
        <w:rPr>
          <w:b/>
          <w:bCs/>
        </w:rPr>
        <w:t xml:space="preserve">₹31,000 crore</w:t>
      </w:r>
      <w:r>
        <w:rPr/>
        <w:t xml:space="preserve">, signaling a structural shift in how middle-class India saves.</w:t>
      </w:r>
    </w:p>
    <w:p>
      <w:pPr>
        <w:pBdr/>
        <w:pStyle w:val="List Paragraph"/>
        <w:numPr>
          <w:ilvl w:val="0"/>
          <w:numId w:val="0"/>
        </w:numPr>
        <w:spacing/>
        <w:ind/>
        <w:rPr/>
      </w:pPr>
      <w:r>
        <w:rPr>
          <w:b/>
          <w:bCs/>
        </w:rPr>
        <w:t xml:space="preserve">Financialization of Savings:</w:t>
      </w:r>
      <w:r>
        <w:rPr/>
        <w:t xml:space="preserve"> A transition from physical assets (gold and real estate) to financial assets, driven by increasing financial literacy and digital ease of access.</w:t>
      </w:r>
    </w:p>
    <w:p>
      <w:pPr>
        <w:pBdr/>
        <w:pStyle w:val="List Paragraph"/>
        <w:numPr>
          <w:ilvl w:val="0"/>
          <w:numId w:val="0"/>
        </w:numPr>
        <w:spacing/>
        <w:ind/>
        <w:rPr/>
      </w:pPr>
      <w:r>
        <w:rPr>
          <w:b/>
          <w:bCs/>
        </w:rPr>
        <w:t xml:space="preserve">Regulatory Support:</w:t>
      </w:r>
      <w:r>
        <w:rPr/>
        <w:t xml:space="preserve"> SEBI’s continuous focus on transparency, lower expense ratios, and investor protection has bolstered confidence in Asset Management Companies (AMCs).</w:t>
      </w:r>
    </w:p>
    <w:p>
      <w:pPr>
        <w:pBdr/>
        <w:pStyle w:val="List Paragraph"/>
        <w:spacing w:beforeAutospacing="true" w:afterAutospacing="true"/>
        <w:ind/>
        <w:rPr>
          <w:rFonts w:cs="Times New Roman"/>
          <w:b/>
          <w:bCs/>
        </w:rPr>
      </w:pPr>
      <w:r>
        <w:rPr>
          <w:rFonts w:cs="Times New Roman"/>
          <w:b/>
          <w:bCs/>
        </w:rPr>
        <w:t xml:space="preserve">1.7 Role of Public Sector Banks (PSBs) in Asset Management</w:t>
      </w:r>
    </w:p>
    <w:p>
      <w:pPr>
        <w:pBdr/>
        <w:pStyle w:val="List Paragraph"/>
        <w:spacing/>
        <w:ind/>
        <w:rPr/>
      </w:pPr>
      <w:r>
        <w:rPr/>
        <w:t xml:space="preserve">The entry of public sector giants like the </w:t>
      </w:r>
      <w:r>
        <w:rPr>
          <w:b/>
          <w:bCs/>
        </w:rPr>
        <w:t xml:space="preserve">Bank of India</w:t>
      </w:r>
      <w:r>
        <w:rPr/>
        <w:t xml:space="preserve"> into the AMC space has played a critical role in "mass-market" wealth creation.</w:t>
      </w:r>
    </w:p>
    <w:p>
      <w:pPr>
        <w:pBdr/>
        <w:pStyle w:val="List Paragraph"/>
        <w:numPr>
          <w:ilvl w:val="0"/>
          <w:numId w:val="0"/>
        </w:numPr>
        <w:spacing/>
        <w:ind/>
        <w:rPr/>
      </w:pPr>
      <w:r>
        <w:rPr>
          <w:b/>
          <w:bCs/>
        </w:rPr>
        <w:t xml:space="preserve">Trust Factor:</w:t>
      </w:r>
      <w:r>
        <w:rPr/>
        <w:t xml:space="preserve"> In a market often perceived as volatile, the "Bank of India" brand provides a psychological safety net for conservative investors.</w:t>
      </w:r>
    </w:p>
    <w:p>
      <w:pPr>
        <w:pBdr/>
        <w:pStyle w:val="List Paragraph"/>
        <w:numPr>
          <w:ilvl w:val="0"/>
          <w:numId w:val="0"/>
        </w:numPr>
        <w:spacing/>
        <w:ind/>
        <w:rPr/>
      </w:pPr>
      <w:r>
        <w:rPr>
          <w:b/>
          <w:bCs/>
        </w:rPr>
        <w:t xml:space="preserve">Last-Mile Reach:</w:t>
      </w:r>
      <w:r>
        <w:rPr/>
        <w:t xml:space="preserve"> While private AMCs are concentrated in Tier-1 cities, BOI leverages its </w:t>
      </w:r>
      <w:r>
        <w:rPr>
          <w:b/>
          <w:bCs/>
        </w:rPr>
        <w:t xml:space="preserve">5,000+ branches</w:t>
      </w:r>
      <w:r>
        <w:rPr/>
        <w:t xml:space="preserve"> to penetrate Tier-2 and Tier-3 towns, bringing capital market opportunities to rural India.</w:t>
      </w:r>
    </w:p>
    <w:p>
      <w:pPr>
        <w:pBdr/>
        <w:pStyle w:val="Normal (Web)"/>
        <w:spacing/>
        <w:ind/>
        <w:rPr>
          <w:sz w:val="28"/>
          <w:szCs w:val="28"/>
        </w:rPr>
      </w:pPr>
      <w:r>
        <w:rPr>
          <w:sz w:val="28"/>
          <w:szCs w:val="28"/>
        </w:rPr>
        <w:t xml:space="preserve">                             </w:t>
      </w:r>
    </w:p>
    <w:p>
      <w:pPr>
        <w:pBdr/>
        <w:pStyle w:val="Normal (Web)"/>
        <w:spacing/>
        <w:ind/>
        <w:rPr>
          <w:sz w:val="28"/>
          <w:szCs w:val="28"/>
        </w:rPr>
      </w:pPr>
    </w:p>
    <w:p>
      <w:pPr>
        <w:pBdr/>
        <w:pStyle w:val="Normal (Web)"/>
        <w:spacing/>
        <w:ind/>
        <w:rPr>
          <w:sz w:val="28"/>
          <w:szCs w:val="28"/>
        </w:rPr>
      </w:pPr>
      <w:r>
        <w:rPr>
          <w:sz w:val="28"/>
          <w:szCs w:val="28"/>
        </w:rPr>
        <w:t xml:space="preserve">                                                    </w:t>
      </w:r>
    </w:p>
    <w:p>
      <w:pPr>
        <w:pBdr/>
        <w:pStyle w:val="Normal (Web)"/>
        <w:spacing/>
        <w:ind/>
        <w:jc w:val="center"/>
        <w:rPr>
          <w:sz w:val="60"/>
          <w:szCs w:val="60"/>
        </w:rPr>
      </w:pPr>
    </w:p>
    <w:p>
      <w:pPr>
        <w:pBdr/>
        <w:pStyle w:val="Normal (Web)"/>
        <w:spacing/>
        <w:ind/>
        <w:rPr>
          <w:sz w:val="150"/>
          <w:szCs w:val="150"/>
        </w:rPr>
      </w:pPr>
    </w:p>
    <w:p>
      <w:pPr>
        <w:pBdr/>
        <w:pStyle w:val="Normal (Web)"/>
        <w:spacing/>
        <w:ind/>
        <w:rPr>
          <w:sz w:val="150"/>
          <w:szCs w:val="150"/>
        </w:rPr>
      </w:pPr>
    </w:p>
    <w:p>
      <w:pPr>
        <w:pBdr/>
        <w:pStyle w:val="Normal (Web)"/>
        <w:spacing/>
        <w:ind/>
        <w:rPr>
          <w:sz w:val="150"/>
          <w:szCs w:val="150"/>
        </w:rPr>
      </w:pPr>
    </w:p>
    <w:p>
      <w:pPr>
        <w:pBdr/>
        <w:pStyle w:val="Normal (Web)"/>
        <w:spacing/>
        <w:ind/>
        <w:rPr>
          <w:sz w:val="150"/>
          <w:szCs w:val="150"/>
        </w:rPr>
      </w:pPr>
      <w:r>
        <w:rPr>
          <w:sz w:val="150"/>
          <w:szCs w:val="150"/>
        </w:rPr>
        <w:t xml:space="preserve">HYPOTHESIS</w:t>
      </w:r>
    </w:p>
    <w:p>
      <w:pPr>
        <w:pBdr/>
        <w:pStyle w:val="Normal (Web)"/>
        <w:spacing/>
        <w:ind/>
        <w:rPr>
          <w:sz w:val="140"/>
          <w:szCs w:val="140"/>
        </w:rPr>
      </w:pPr>
    </w:p>
    <w:p>
      <w:pPr>
        <w:pBdr/>
        <w:pStyle w:val="Normal (Web)"/>
        <w:spacing/>
        <w:ind/>
        <w:rPr>
          <w:sz w:val="60"/>
          <w:szCs w:val="60"/>
        </w:rPr>
      </w:pPr>
    </w:p>
    <w:p>
      <w:pPr>
        <w:pBdr/>
        <w:pStyle w:val="Normal (Web)"/>
        <w:spacing/>
        <w:ind/>
        <w:rPr>
          <w:sz w:val="60"/>
          <w:szCs w:val="60"/>
        </w:rPr>
      </w:pPr>
    </w:p>
    <w:p>
      <w:pPr>
        <w:pBdr/>
        <w:pStyle w:val="Normal (Web)"/>
        <w:spacing/>
        <w:ind/>
        <w:rPr>
          <w:sz w:val="60"/>
          <w:szCs w:val="60"/>
        </w:rPr>
      </w:pPr>
    </w:p>
    <w:p>
      <w:pPr>
        <w:pBdr/>
        <w:pStyle w:val="List Paragraph"/>
        <w:spacing w:afterAutospacing="true" w:line="240" w:lineRule="auto"/>
        <w:ind/>
        <w:rPr>
          <w:rFonts w:ascii="Cambria" w:hAnsi="Cambria" w:cs="Cambria"/>
          <w:b/>
          <w:bCs/>
        </w:rPr>
      </w:pPr>
      <w:r>
        <w:rPr>
          <w:rFonts w:ascii="Cambria" w:hAnsi="Cambria" w:cs="Cambria"/>
          <w:b/>
          <w:bCs/>
        </w:rPr>
        <w:t xml:space="preserve">2. HYPOTHESIS</w:t>
      </w:r>
    </w:p>
    <w:p>
      <w:pPr>
        <w:pBdr/>
        <w:pStyle w:val="List Paragraph"/>
        <w:spacing w:line="240" w:lineRule="auto"/>
        <w:ind/>
        <w:rPr>
          <w:rFonts w:ascii="Cambria" w:eastAsia="Cambria" w:hAnsi="Cambria" w:cs="Cambria"/>
        </w:rPr>
      </w:pPr>
      <w:r>
        <w:rPr>
          <w:rFonts w:ascii="Cambria" w:eastAsia="Cambria" w:hAnsi="Cambria" w:cs="Cambria"/>
        </w:rPr>
        <w:t xml:space="preserve">The hypothesis serves as the foundation for this research, providing a tentative explanation or prediction that will be tested through data analysis and performance evaluation. For this study on </w:t>
      </w:r>
      <w:r>
        <w:rPr>
          <w:rFonts w:ascii="Cambria" w:eastAsia="Cambria" w:hAnsi="Cambria" w:cs="Cambria"/>
          <w:b/>
          <w:bCs/>
        </w:rPr>
        <w:t xml:space="preserve">Bank of India (BOI) Mutual Funds</w:t>
      </w:r>
      <w:r>
        <w:rPr>
          <w:rFonts w:ascii="Cambria" w:eastAsia="Cambria" w:hAnsi="Cambria" w:cs="Cambria"/>
        </w:rPr>
        <w:t xml:space="preserve">, the hypotheses are framed to examine the relationship between fund management strategies, market benchmarks, and the influence of the parent banking institution.</w:t>
      </w:r>
    </w:p>
    <w:p>
      <w:pPr>
        <w:pBdr/>
        <w:pStyle w:val="List Paragraph"/>
        <w:spacing w:line="240" w:lineRule="auto"/>
        <w:ind/>
        <w:rPr/>
      </w:pPr>
      <w:r>
        <w:rPr/>
        <w:pict>
          <v:rect style="width:0;height:2" o:hralign="center" o:hrstd="t" o:hr="t" fillcolor="FFFFFF" stroked="f"/>
        </w:pict>
      </w:r>
    </w:p>
    <w:p>
      <w:pPr>
        <w:pBdr/>
        <w:pStyle w:val="Normal (Web)"/>
        <w:spacing w:before="0" w:afterAutospacing="true" w:line="240" w:lineRule="auto"/>
        <w:ind/>
        <w:rPr>
          <w:rFonts w:ascii="Cambria" w:hAnsi="Cambria" w:cs="Cambria"/>
        </w:rPr>
      </w:pPr>
      <w:r>
        <w:rPr>
          <w:rFonts w:ascii="Cambria" w:hAnsi="Cambria" w:cs="Cambria"/>
        </w:rPr>
        <w:t xml:space="preserve">2.1 Null Hypothesis (</w:t>
      </w:r>
      <w:r>
        <w:rPr>
          <w:rFonts w:ascii="Cambria" w:eastAsia="Cambria" w:hAnsi="Cambria" w:cs="Cambria"/>
        </w:rPr>
        <w:t xml:space="preserve">$H_0$</w:t>
      </w:r>
      <w:r>
        <w:rPr>
          <w:rFonts w:ascii="Cambria" w:hAnsi="Cambria" w:cs="Cambria"/>
        </w:rPr>
        <w:t xml:space="preserve">)</w:t>
      </w:r>
    </w:p>
    <w:p>
      <w:pPr>
        <w:pBdr/>
        <w:pStyle w:val="List Paragraph"/>
        <w:spacing w:line="240" w:lineRule="auto"/>
        <w:ind/>
        <w:rPr>
          <w:rFonts w:ascii="Cambria" w:eastAsia="Cambria" w:hAnsi="Cambria" w:cs="Cambria"/>
        </w:rPr>
      </w:pPr>
      <w:r>
        <w:rPr>
          <w:rFonts w:ascii="Cambria" w:eastAsia="Cambria" w:hAnsi="Cambria" w:cs="Cambria"/>
        </w:rPr>
        <w:t xml:space="preserve">The Null Hypothesis assumes that there is no significant difference or impact observed in the variables being studied.</w:t>
      </w:r>
    </w:p>
    <w:p>
      <w:pPr>
        <w:pBdr/>
        <w:pStyle w:val="Normal (Web)"/>
        <w:spacing/>
        <w:ind/>
        <w:rPr>
          <w:sz w:val="80"/>
          <w:szCs w:val="80"/>
        </w:rPr>
      </w:pPr>
    </w:p>
    <w:p>
      <w:pPr>
        <w:pBdr/>
        <w:pStyle w:val="Normal (Web)"/>
        <w:spacing/>
        <w:ind/>
        <w:rPr>
          <w:sz w:val="124"/>
          <w:szCs w:val="124"/>
        </w:rPr>
      </w:pPr>
    </w:p>
    <w:p>
      <w:pPr>
        <w:pBdr/>
        <w:pStyle w:val="Normal (Web)"/>
        <w:spacing/>
        <w:ind/>
        <w:rPr>
          <w:sz w:val="124"/>
          <w:szCs w:val="124"/>
        </w:rPr>
      </w:pPr>
      <w:r>
        <w:rPr>
          <w:sz w:val="124"/>
          <w:szCs w:val="124"/>
        </w:rPr>
        <w:t xml:space="preserve"> </w:t>
      </w:r>
    </w:p>
    <w:p>
      <w:pPr>
        <w:pBdr/>
        <w:pStyle w:val="Normal (Web)"/>
        <w:spacing/>
        <w:ind/>
        <w:rPr>
          <w:sz w:val="124"/>
          <w:szCs w:val="124"/>
        </w:rPr>
      </w:pPr>
    </w:p>
    <w:p>
      <w:pPr>
        <w:pBdr/>
        <w:pStyle w:val="Normal (Web)"/>
        <w:spacing/>
        <w:ind/>
        <w:rPr>
          <w:sz w:val="124"/>
          <w:szCs w:val="124"/>
        </w:rPr>
      </w:pPr>
    </w:p>
    <w:p>
      <w:pPr>
        <w:pBdr/>
        <w:pStyle w:val="Normal (Web)"/>
        <w:spacing/>
        <w:ind/>
        <w:rPr>
          <w:sz w:val="124"/>
          <w:szCs w:val="124"/>
        </w:rPr>
      </w:pPr>
    </w:p>
    <w:p>
      <w:pPr>
        <w:pBdr/>
        <w:pStyle w:val="Normal (Web)"/>
        <w:spacing/>
        <w:ind/>
        <w:rPr>
          <w:sz w:val="110"/>
          <w:szCs w:val="124"/>
        </w:rPr>
      </w:pPr>
      <w:r>
        <w:rPr>
          <w:sz w:val="124"/>
          <w:szCs w:val="124"/>
        </w:rPr>
        <w:t xml:space="preserve">                                                                                                                                                                 </w:t>
      </w:r>
      <w:r>
        <w:rPr>
          <w:sz w:val="110"/>
          <w:szCs w:val="124"/>
        </w:rPr>
        <w:t xml:space="preserve">RESEARCH    METHODOLOGY</w:t>
      </w:r>
    </w:p>
    <w:p>
      <w:pPr>
        <w:pBdr/>
        <w:pStyle w:val="Normal (Web)"/>
        <w:spacing/>
        <w:ind/>
        <w:rPr>
          <w:sz w:val="124"/>
          <w:szCs w:val="124"/>
        </w:rPr>
      </w:pPr>
    </w:p>
    <w:p>
      <w:pPr>
        <w:pBdr/>
        <w:pStyle w:val="Normal (Web)"/>
        <w:spacing/>
        <w:ind/>
        <w:rPr>
          <w:sz w:val="124"/>
          <w:szCs w:val="124"/>
        </w:rPr>
      </w:pPr>
    </w:p>
    <w:p>
      <w:pPr>
        <w:pBdr/>
        <w:pStyle w:val="List Paragraph"/>
        <w:spacing/>
        <w:ind/>
        <w:rPr>
          <w:sz w:val="124"/>
          <w:szCs w:val="124"/>
        </w:rPr>
      </w:pPr>
    </w:p>
    <w:p>
      <w:pPr>
        <w:pBdr/>
        <w:pStyle w:val="List Paragraph"/>
        <w:spacing/>
        <w:ind/>
        <w:rPr>
          <w:sz w:val="124"/>
          <w:szCs w:val="124"/>
        </w:rPr>
      </w:pPr>
    </w:p>
    <w:p>
      <w:pPr>
        <w:pBdr/>
        <w:pStyle w:val="List Paragraph"/>
        <w:spacing w:beforeAutospacing="true" w:afterAutospacing="true"/>
        <w:ind/>
        <w:rPr>
          <w:rFonts w:cs="Times New Roman"/>
          <w:b/>
          <w:bCs/>
        </w:rPr>
      </w:pPr>
      <w:r>
        <w:rPr>
          <w:rFonts w:cs="Times New Roman"/>
          <w:b/>
          <w:bCs/>
          <w:sz w:val="60"/>
        </w:rPr>
        <w:t xml:space="preserve"/>
      </w:r>
      <w:r>
        <w:rPr>
          <w:rFonts w:cs="Times New Roman"/>
          <w:b/>
          <w:bCs/>
        </w:rPr>
        <w:t xml:space="preserve">3. RESEARCH METHODOLOGY</w:t>
      </w:r>
    </w:p>
    <w:p>
      <w:pPr>
        <w:pBdr/>
        <w:pStyle w:val="List Paragraph"/>
        <w:spacing/>
        <w:ind/>
        <w:rPr/>
      </w:pPr>
      <w:r>
        <w:rPr/>
        <w:t xml:space="preserve">The research methodology outlines the systematic plan to address the research problem and test the hypotheses mentioned earlier. This section details the "how" of the study, ensuring that the findings are reliable, valid, and reproducible.</w:t>
      </w:r>
    </w:p>
    <w:p>
      <w:pPr>
        <w:pBdr/>
        <w:pStyle w:val="List Paragraph"/>
        <w:spacing/>
        <w:ind/>
        <w:rPr/>
      </w:pPr>
      <w:r>
        <w:rPr/>
        <w:pict>
          <v:rect style="width:0;height:2" o:hralign="center" o:hrstd="t" o:hr="t" fillcolor="FFFFFF" stroked="f"/>
        </w:pict>
      </w:r>
    </w:p>
    <w:p>
      <w:pPr>
        <w:pBdr/>
        <w:pStyle w:val="Normal (Web)"/>
        <w:spacing w:beforeAutospacing="true" w:afterAutospacing="true"/>
        <w:ind/>
        <w:rPr>
          <w:rFonts w:cs="Times New Roman"/>
        </w:rPr>
      </w:pPr>
      <w:r>
        <w:rPr>
          <w:rFonts w:cs="Times New Roman"/>
        </w:rPr>
        <w:t xml:space="preserve">3.1 Research Design</w:t>
      </w:r>
    </w:p>
    <w:p>
      <w:pPr>
        <w:pBdr/>
        <w:pStyle w:val="List Paragraph"/>
        <w:spacing/>
        <w:ind/>
        <w:rPr/>
      </w:pPr>
      <w:r>
        <w:rPr/>
        <w:t xml:space="preserve">The study adopts a </w:t>
      </w:r>
      <w:r>
        <w:rPr>
          <w:b/>
          <w:bCs/>
        </w:rPr>
        <w:t xml:space="preserve">descriptive and analytical research design</w:t>
      </w:r>
      <w:r>
        <w:rPr/>
        <w:t xml:space="preserve">.</w:t>
      </w:r>
    </w:p>
    <w:p>
      <w:pPr>
        <w:pBdr/>
        <w:pStyle w:val="List Paragraph"/>
        <w:numPr>
          <w:ilvl w:val="0"/>
          <w:numId w:val="27"/>
        </w:numPr>
        <w:spacing/>
        <w:ind/>
        <w:rPr/>
      </w:pPr>
      <w:r>
        <w:rPr>
          <w:b/>
          <w:bCs/>
        </w:rPr>
        <w:t xml:space="preserve">Descriptive:</w:t>
      </w:r>
      <w:r>
        <w:rPr/>
        <w:t xml:space="preserve"> It describes the current status of Bank of India Mutual Fund’s AUM, folio growth, and product offerings.</w:t>
      </w:r>
    </w:p>
    <w:p>
      <w:pPr>
        <w:pBdr/>
        <w:pStyle w:val="List Paragraph"/>
        <w:numPr>
          <w:ilvl w:val="0"/>
          <w:numId w:val="27"/>
        </w:numPr>
        <w:spacing/>
        <w:ind/>
        <w:rPr/>
      </w:pPr>
      <w:r>
        <w:rPr>
          <w:b/>
          <w:bCs/>
        </w:rPr>
        <w:t xml:space="preserve">Analytical:</w:t>
      </w:r>
      <w:r>
        <w:rPr/>
        <w:t xml:space="preserve"> It uses financial ratios and statistical tools to analyze the performance of selected schemes against market benchmarks and competitors.</w:t>
      </w:r>
    </w:p>
    <w:p>
      <w:pPr>
        <w:pBdr/>
        <w:pStyle w:val="Normal (Web)"/>
        <w:spacing w:beforeAutospacing="true" w:afterAutospacing="true"/>
        <w:ind/>
        <w:rPr>
          <w:rFonts w:cs="Times New Roman"/>
        </w:rPr>
      </w:pPr>
      <w:r>
        <w:rPr>
          <w:rFonts w:cs="Times New Roman"/>
        </w:rPr>
        <w:t xml:space="preserve">3.2 Sources of Data</w:t>
      </w:r>
    </w:p>
    <w:p>
      <w:pPr>
        <w:pBdr/>
        <w:pStyle w:val="List Paragraph"/>
        <w:spacing/>
        <w:ind/>
        <w:rPr/>
      </w:pPr>
      <w:r>
        <w:rPr/>
        <w:t xml:space="preserve">This research relies on a combination of primary and secondary data, though the weightage is heavily on secondary sources due to the nature of financial market analysis.</w:t>
      </w:r>
    </w:p>
    <w:p>
      <w:pPr>
        <w:pBdr/>
        <w:pStyle w:val="List Paragraph"/>
        <w:numPr>
          <w:ilvl w:val="0"/>
          <w:numId w:val="16"/>
        </w:numPr>
        <w:spacing/>
        <w:ind/>
        <w:rPr/>
      </w:pPr>
      <w:r>
        <w:rPr>
          <w:b/>
          <w:bCs/>
        </w:rPr>
        <w:t xml:space="preserve">Secondary Data (Major Source):</w:t>
      </w:r>
    </w:p>
    <w:p>
      <w:pPr>
        <w:pBdr/>
        <w:pStyle w:val="List Paragraph"/>
        <w:numPr>
          <w:ilvl w:val="1"/>
          <w:numId w:val="16"/>
        </w:numPr>
        <w:spacing/>
        <w:ind/>
        <w:rPr/>
      </w:pPr>
      <w:r>
        <w:rPr/>
        <w:t xml:space="preserve">Annual reports and fact sheets from </w:t>
      </w:r>
      <w:r>
        <w:rPr>
          <w:b/>
          <w:bCs/>
        </w:rPr>
        <w:t xml:space="preserve">Bank of India Investment Managers</w:t>
      </w:r>
      <w:r>
        <w:rPr/>
        <w:t xml:space="preserve">.</w:t>
      </w:r>
    </w:p>
    <w:p>
      <w:pPr>
        <w:pBdr/>
        <w:pStyle w:val="List Paragraph"/>
        <w:numPr>
          <w:ilvl w:val="1"/>
          <w:numId w:val="16"/>
        </w:numPr>
        <w:spacing/>
        <w:ind/>
        <w:rPr/>
      </w:pPr>
      <w:r>
        <w:rPr/>
        <w:t xml:space="preserve">Official data from </w:t>
      </w:r>
      <w:r>
        <w:rPr>
          <w:b/>
          <w:bCs/>
        </w:rPr>
        <w:t xml:space="preserve">AMFI (Association of Mutual Funds in India)</w:t>
      </w:r>
      <w:r>
        <w:rPr/>
        <w:t xml:space="preserve">.</w:t>
      </w:r>
    </w:p>
    <w:p>
      <w:pPr>
        <w:pBdr/>
        <w:pStyle w:val="List Paragraph"/>
        <w:numPr>
          <w:ilvl w:val="1"/>
          <w:numId w:val="16"/>
        </w:numPr>
        <w:spacing/>
        <w:ind/>
        <w:rPr/>
      </w:pPr>
      <w:r>
        <w:rPr/>
        <w:t xml:space="preserve">Financial portals such as Value Research, Morningstar, and Moneycontrol.</w:t>
      </w:r>
    </w:p>
    <w:p>
      <w:pPr>
        <w:pBdr/>
        <w:pStyle w:val="List Paragraph"/>
        <w:numPr>
          <w:ilvl w:val="1"/>
          <w:numId w:val="16"/>
        </w:numPr>
        <w:spacing/>
        <w:ind/>
        <w:rPr/>
      </w:pPr>
      <w:r>
        <w:rPr/>
        <w:t xml:space="preserve">Historical NAV (Net Asset Value) data from the Bank of India Mutual Fund website.</w:t>
      </w:r>
    </w:p>
    <w:p>
      <w:pPr>
        <w:pBdr/>
        <w:pStyle w:val="Normal (Web)"/>
        <w:spacing/>
        <w:ind/>
        <w:rPr>
          <w:sz w:val="28"/>
          <w:szCs w:val="28"/>
        </w:rPr>
      </w:pPr>
    </w:p>
    <w:p>
      <w:pPr>
        <w:pBdr/>
        <w:pStyle w:val="List Paragraph"/>
        <w:spacing w:after="0" w:line="240" w:lineRule="auto"/>
        <w:ind/>
        <w:rPr>
          <w:rFonts w:cs="Times New Roman"/>
          <w:color w:val="000000"/>
          <w:sz w:val="124"/>
        </w:rPr>
      </w:pPr>
      <w:r>
        <w:rPr>
          <w:rFonts w:cs="Times New Roman"/>
          <w:color w:val="000000"/>
          <w:sz w:val="124"/>
        </w:rPr>
        <w:t xml:space="preserve"> </w:t>
      </w:r>
    </w:p>
    <w:p>
      <w:pPr>
        <w:pBdr/>
        <w:pStyle w:val="List Paragraph"/>
        <w:spacing w:after="0" w:line="240" w:lineRule="auto"/>
        <w:ind/>
        <w:rPr>
          <w:rFonts w:cs="Times New Roman"/>
          <w:color w:val="000000"/>
          <w:sz w:val="124"/>
        </w:rPr>
      </w:pPr>
      <w:r>
        <w:rPr>
          <w:rFonts w:cs="Times New Roman"/>
          <w:color w:val="000000"/>
          <w:sz w:val="124"/>
        </w:rPr>
        <w:t xml:space="preserve"> </w:t>
      </w:r>
    </w:p>
    <w:p>
      <w:pPr>
        <w:pBdr/>
        <w:pStyle w:val="Normal (Web)"/>
        <w:spacing/>
        <w:ind/>
        <w:rPr>
          <w:sz w:val="28"/>
          <w:szCs w:val="28"/>
        </w:rPr>
      </w:pPr>
      <w:r>
        <w:rPr>
          <w:sz w:val="28"/>
          <w:szCs w:val="28"/>
        </w:rPr>
        <w:t xml:space="preserve">                                                               </w:t>
      </w:r>
    </w:p>
    <w:p>
      <w:pPr>
        <w:pBdr/>
        <w:pStyle w:val="Normal (Web)"/>
        <w:spacing/>
        <w:ind/>
        <w:rPr>
          <w:sz w:val="28"/>
          <w:szCs w:val="28"/>
        </w:rPr>
      </w:pPr>
    </w:p>
    <w:p>
      <w:pPr>
        <w:pBdr/>
        <w:pStyle w:val="List Paragraph"/>
        <w:spacing w:beforeAutospacing="true" w:afterAutospacing="true"/>
        <w:ind/>
        <w:rPr>
          <w:rFonts w:cs="Times New Roman"/>
          <w:b/>
          <w:bCs/>
        </w:rPr>
      </w:pPr>
      <w:r>
        <w:rPr>
          <w:rFonts w:cs="Times New Roman"/>
          <w:b/>
          <w:bCs/>
        </w:rPr>
        <w:t xml:space="preserve">3. RESEARCH METHODOLOGY</w:t>
      </w:r>
    </w:p>
    <w:p>
      <w:pPr>
        <w:pBdr/>
        <w:pStyle w:val="List Paragraph"/>
        <w:spacing/>
        <w:ind/>
        <w:rPr/>
      </w:pPr>
      <w:r>
        <w:rPr/>
        <w:t xml:space="preserve">The research methodology outlines the systematic plan to address the research problem and test the hypotheses mentioned earlier. This section details the "how" of the study, ensuring that the findings are reliable, valid, and reproducible.</w:t>
      </w:r>
    </w:p>
    <w:p>
      <w:pPr>
        <w:pBdr/>
        <w:pStyle w:val="List Paragraph"/>
        <w:spacing/>
        <w:ind/>
        <w:rPr/>
      </w:pPr>
      <w:r>
        <w:rPr/>
        <w:pict>
          <v:rect style="width:0;height:2" o:hralign="center" o:hrstd="t" o:hr="t" fillcolor="FFFFFF" stroked="f"/>
        </w:pict>
      </w:r>
    </w:p>
    <w:p>
      <w:pPr>
        <w:pBdr/>
        <w:pStyle w:val="Normal (Web)"/>
        <w:spacing w:beforeAutospacing="true" w:afterAutospacing="true"/>
        <w:ind/>
        <w:rPr>
          <w:rFonts w:cs="Times New Roman"/>
        </w:rPr>
      </w:pPr>
      <w:r>
        <w:rPr>
          <w:rFonts w:cs="Times New Roman"/>
        </w:rPr>
        <w:t xml:space="preserve">3.1 Research Design</w:t>
      </w:r>
    </w:p>
    <w:p>
      <w:pPr>
        <w:pBdr/>
        <w:pStyle w:val="List Paragraph"/>
        <w:spacing/>
        <w:ind/>
        <w:rPr/>
      </w:pPr>
      <w:r>
        <w:rPr/>
        <w:t xml:space="preserve">The study adopts a </w:t>
      </w:r>
      <w:r>
        <w:rPr>
          <w:b/>
          <w:bCs/>
        </w:rPr>
        <w:t xml:space="preserve">descriptive and analytical research design</w:t>
      </w:r>
      <w:r>
        <w:rPr/>
        <w:t xml:space="preserve">.</w:t>
      </w:r>
    </w:p>
    <w:p>
      <w:pPr>
        <w:pBdr/>
        <w:pStyle w:val="List Paragraph"/>
        <w:numPr>
          <w:ilvl w:val="0"/>
          <w:numId w:val="0"/>
        </w:numPr>
        <w:spacing/>
        <w:ind/>
        <w:rPr/>
      </w:pPr>
      <w:r>
        <w:rPr>
          <w:b/>
          <w:bCs/>
        </w:rPr>
        <w:t xml:space="preserve">Descriptive:</w:t>
      </w:r>
      <w:r>
        <w:rPr/>
        <w:t xml:space="preserve"> It describes the current status of Bank of India Mutual Fund’s AUM, folio growth, and product offerings.</w:t>
      </w:r>
    </w:p>
    <w:p>
      <w:pPr>
        <w:pBdr/>
        <w:pStyle w:val="List Paragraph"/>
        <w:numPr>
          <w:ilvl w:val="0"/>
          <w:numId w:val="0"/>
        </w:numPr>
        <w:spacing/>
        <w:ind/>
        <w:rPr/>
      </w:pPr>
      <w:r>
        <w:rPr>
          <w:b/>
          <w:bCs/>
        </w:rPr>
        <w:t xml:space="preserve">Analytical:</w:t>
      </w:r>
      <w:r>
        <w:rPr/>
        <w:t xml:space="preserve"> It uses financial ratios and statistical tools to analyze the performance of selected schemes against market benchmarks and competitors.</w:t>
      </w:r>
    </w:p>
    <w:p>
      <w:pPr>
        <w:pBdr/>
        <w:pStyle w:val="Normal (Web)"/>
        <w:spacing w:beforeAutospacing="true" w:afterAutospacing="true"/>
        <w:ind/>
        <w:rPr>
          <w:rFonts w:cs="Times New Roman"/>
        </w:rPr>
      </w:pPr>
      <w:r>
        <w:rPr>
          <w:rFonts w:cs="Times New Roman"/>
        </w:rPr>
        <w:t xml:space="preserve">3.2 Sources of Data</w:t>
      </w:r>
    </w:p>
    <w:p>
      <w:pPr>
        <w:pBdr/>
        <w:pStyle w:val="List Paragraph"/>
        <w:spacing/>
        <w:ind/>
        <w:rPr/>
      </w:pPr>
      <w:r>
        <w:rPr/>
        <w:t xml:space="preserve">This research relies on a combination of primary and secondary data, though the weightage is heavily on secondary sources due to the nature of financial market analysis.</w:t>
      </w:r>
    </w:p>
    <w:p>
      <w:pPr>
        <w:pBdr/>
        <w:pStyle w:val="List Paragraph"/>
        <w:numPr>
          <w:ilvl w:val="0"/>
          <w:numId w:val="0"/>
        </w:numPr>
        <w:spacing/>
        <w:ind/>
        <w:rPr/>
      </w:pPr>
      <w:r>
        <w:rPr>
          <w:b/>
          <w:bCs/>
        </w:rPr>
        <w:t xml:space="preserve">Secondary Data (Major Source):</w:t>
      </w:r>
    </w:p>
    <w:p>
      <w:pPr>
        <w:pBdr/>
        <w:pStyle w:val="List Paragraph"/>
        <w:numPr>
          <w:ilvl w:val="0"/>
          <w:numId w:val="0"/>
        </w:numPr>
        <w:spacing/>
        <w:ind/>
        <w:rPr/>
      </w:pPr>
      <w:r>
        <w:rPr/>
        <w:t xml:space="preserve">Annual reports and fact sheets from </w:t>
      </w:r>
      <w:r>
        <w:rPr>
          <w:b/>
          <w:bCs/>
        </w:rPr>
        <w:t xml:space="preserve">Bank of India Investment Managers</w:t>
      </w:r>
      <w:r>
        <w:rPr/>
        <w:t xml:space="preserve">.</w:t>
      </w:r>
    </w:p>
    <w:p>
      <w:pPr>
        <w:pBdr/>
        <w:pStyle w:val="List Paragraph"/>
        <w:numPr>
          <w:ilvl w:val="0"/>
          <w:numId w:val="0"/>
        </w:numPr>
        <w:spacing/>
        <w:ind/>
        <w:rPr/>
      </w:pPr>
      <w:r>
        <w:rPr/>
        <w:t xml:space="preserve">Official data from </w:t>
      </w:r>
      <w:r>
        <w:rPr>
          <w:b/>
          <w:bCs/>
        </w:rPr>
        <w:t xml:space="preserve">AMFI (Association of Mutual Funds in India)</w:t>
      </w:r>
      <w:r>
        <w:rPr/>
        <w:t xml:space="preserve">.</w:t>
      </w:r>
    </w:p>
    <w:p>
      <w:pPr>
        <w:pBdr/>
        <w:pStyle w:val="List Paragraph"/>
        <w:numPr>
          <w:ilvl w:val="0"/>
          <w:numId w:val="0"/>
        </w:numPr>
        <w:spacing/>
        <w:ind/>
        <w:rPr/>
      </w:pPr>
      <w:r>
        <w:rPr/>
        <w:t xml:space="preserve">Financial portals such as Value Research, Morningstar, and Moneycontrol.</w:t>
      </w:r>
    </w:p>
    <w:p>
      <w:pPr>
        <w:pBdr/>
        <w:pStyle w:val="List Paragraph"/>
        <w:numPr>
          <w:ilvl w:val="0"/>
          <w:numId w:val="0"/>
        </w:numPr>
        <w:spacing/>
        <w:ind/>
        <w:rPr/>
      </w:pPr>
      <w:r>
        <w:rPr/>
        <w:t xml:space="preserve">Historical NAV (Net Asset Value) data from the Bank of India Mutual Fund website.</w:t>
      </w:r>
    </w:p>
    <w:p>
      <w:pPr>
        <w:pBdr/>
        <w:pStyle w:val="List Paragraph"/>
        <w:numPr>
          <w:ilvl w:val="0"/>
          <w:numId w:val="0"/>
        </w:numPr>
        <w:spacing/>
        <w:ind/>
        <w:rPr/>
      </w:pPr>
      <w:r>
        <w:rPr>
          <w:b/>
          <w:bCs/>
        </w:rPr>
        <w:t xml:space="preserve">Primary Data (Minor Source):</w:t>
      </w:r>
    </w:p>
    <w:p>
      <w:pPr>
        <w:pBdr/>
        <w:pStyle w:val="List Paragraph"/>
        <w:numPr>
          <w:ilvl w:val="0"/>
          <w:numId w:val="0"/>
        </w:numPr>
        <w:spacing/>
        <w:ind/>
        <w:rPr/>
      </w:pPr>
      <w:r>
        <w:rPr/>
        <w:t xml:space="preserve">Informal interviews or surveys with bank relationship managers regarding investor behavior.</w:t>
      </w:r>
    </w:p>
    <w:p>
      <w:pPr>
        <w:pBdr/>
        <w:pStyle w:val="List Paragraph"/>
        <w:numPr>
          <w:ilvl w:val="0"/>
          <w:numId w:val="0"/>
        </w:numPr>
        <w:spacing/>
        <w:ind/>
        <w:rPr/>
      </w:pPr>
      <w:r>
        <w:rPr/>
        <w:t xml:space="preserve">Observations of digital adoption (mobile app usage) among retail investors.</w:t>
      </w:r>
    </w:p>
    <w:p>
      <w:pPr>
        <w:pBdr/>
        <w:pStyle w:val="Normal (Web)"/>
        <w:spacing w:beforeAutospacing="true" w:afterAutospacing="true"/>
        <w:ind/>
        <w:rPr>
          <w:rFonts w:cs="Times New Roman"/>
        </w:rPr>
      </w:pPr>
      <w:r>
        <w:rPr>
          <w:rFonts w:cs="Times New Roman"/>
        </w:rPr>
        <w:t xml:space="preserve">3.3 Sampling Technique</w:t>
      </w:r>
    </w:p>
    <w:p>
      <w:pPr>
        <w:pBdr/>
        <w:pStyle w:val="List Paragraph"/>
        <w:spacing/>
        <w:ind/>
        <w:rPr/>
      </w:pPr>
      <w:r>
        <w:rPr/>
        <w:t xml:space="preserve">Given the vast number of mutual fund schemes, a </w:t>
      </w:r>
      <w:r>
        <w:rPr>
          <w:b/>
          <w:bCs/>
        </w:rPr>
        <w:t xml:space="preserve">Purposive Sampling</w:t>
      </w:r>
      <w:r>
        <w:rPr/>
        <w:t xml:space="preserve"> method is used.</w:t>
      </w:r>
    </w:p>
    <w:p>
      <w:pPr>
        <w:pBdr/>
        <w:pStyle w:val="List Paragraph"/>
        <w:numPr>
          <w:ilvl w:val="0"/>
          <w:numId w:val="0"/>
        </w:numPr>
        <w:spacing/>
        <w:ind/>
        <w:rPr/>
      </w:pPr>
      <w:r>
        <w:rPr>
          <w:b/>
          <w:bCs/>
        </w:rPr>
        <w:t xml:space="preserve">Sample Size:</w:t>
      </w:r>
      <w:r>
        <w:rPr/>
        <w:t xml:space="preserve"> Five flagship schemes will be selected for in-depth analysis.</w:t>
      </w:r>
    </w:p>
    <w:p>
      <w:pPr>
        <w:pBdr/>
        <w:pStyle w:val="List Paragraph"/>
        <w:numPr>
          <w:ilvl w:val="0"/>
          <w:numId w:val="0"/>
        </w:numPr>
        <w:spacing/>
        <w:ind/>
        <w:rPr/>
      </w:pPr>
      <w:r>
        <w:rPr>
          <w:b/>
          <w:bCs/>
        </w:rPr>
        <w:t xml:space="preserve">Selection Criteria:</w:t>
      </w:r>
      <w:r>
        <w:rPr/>
        <w:t xml:space="preserve"> Schemes with a track record of at least 5 years and significant AUM (e.g., </w:t>
      </w:r>
      <w:r>
        <w:rPr>
          <w:i/>
          <w:iCs/>
        </w:rPr>
        <w:t xml:space="preserve">BOI Small Cap Fund</w:t>
      </w:r>
      <w:r>
        <w:rPr/>
        <w:t xml:space="preserve">, </w:t>
      </w:r>
      <w:r>
        <w:rPr>
          <w:i/>
          <w:iCs/>
        </w:rPr>
        <w:t xml:space="preserve">BOI Multi Cap Fund</w:t>
      </w:r>
      <w:r>
        <w:rPr/>
        <w:t xml:space="preserve">, </w:t>
      </w:r>
      <w:r>
        <w:rPr>
          <w:i/>
          <w:iCs/>
        </w:rPr>
        <w:t xml:space="preserve">BOI Conservative Hybrid Fund</w:t>
      </w:r>
      <w:r>
        <w:rPr/>
        <w:t xml:space="preserve">, </w:t>
      </w:r>
      <w:r>
        <w:rPr>
          <w:i/>
          <w:iCs/>
        </w:rPr>
        <w:t xml:space="preserve">BOI Bluechip                                    15</w:t>
      </w:r>
    </w:p>
    <w:p>
      <w:pPr>
        <w:pBdr/>
        <w:pStyle w:val="Normal (Web)"/>
        <w:spacing w:beforeAutospacing="true" w:afterAutospacing="true"/>
        <w:ind/>
        <w:rPr>
          <w:rFonts w:cs="Times New Roman"/>
          <w:sz w:val="26"/>
        </w:rPr>
      </w:pPr>
      <w:r>
        <w:rPr>
          <w:rFonts w:cs="Times New Roman"/>
        </w:rPr>
        <w:t xml:space="preserve">3.4 Period of the Study</w:t>
      </w:r>
    </w:p>
    <w:p>
      <w:pPr>
        <w:pBdr/>
        <w:pStyle w:val="List Paragraph"/>
        <w:spacing/>
        <w:ind/>
        <w:rPr/>
      </w:pPr>
      <w:r>
        <w:rPr/>
        <w:t xml:space="preserve">The study covers a 5-year performance period from </w:t>
      </w:r>
      <w:r>
        <w:rPr>
          <w:b/>
          <w:bCs/>
        </w:rPr>
        <w:t xml:space="preserve">April 2021 to March 2026</w:t>
      </w:r>
      <w:r>
        <w:rPr/>
        <w:t xml:space="preserve">. This timeframe is selected to capture the transition of the AMC to a 100% BOI-owned subsidiary and the subsequent market volatility and recovery phases.</w:t>
      </w:r>
    </w:p>
    <w:p>
      <w:pPr>
        <w:pBdr/>
        <w:pStyle w:val="Normal (Web)"/>
        <w:spacing w:beforeAutospacing="true" w:afterAutospacing="true"/>
        <w:ind/>
        <w:rPr>
          <w:rFonts w:cs="Times New Roman"/>
        </w:rPr>
      </w:pPr>
      <w:r>
        <w:rPr>
          <w:rFonts w:cs="Times New Roman"/>
        </w:rPr>
        <w:t xml:space="preserve">3.5 Tools for Data Analysis</w:t>
      </w:r>
    </w:p>
    <w:p>
      <w:pPr>
        <w:pBdr/>
        <w:pStyle w:val="List Paragraph"/>
        <w:spacing/>
        <w:ind/>
        <w:rPr/>
      </w:pPr>
      <w:r>
        <w:rPr/>
        <w:t xml:space="preserve">To evaluate the performance of the funds, the following quantitative tools will be applied:</w:t>
      </w:r>
    </w:p>
    <w:p>
      <w:pPr>
        <w:pBdr/>
        <w:pStyle w:val="List Paragraph"/>
        <w:spacing/>
        <w:ind/>
        <w:rPr/>
      </w:pPr>
      <w:r>
        <w:rPr>
          <w:b/>
          <w:bCs/>
        </w:rPr>
        <w:t xml:space="preserve">I. Statistical Tools:</w:t>
      </w:r>
    </w:p>
    <w:p>
      <w:pPr>
        <w:pBdr/>
        <w:pStyle w:val="List Paragraph"/>
        <w:numPr>
          <w:ilvl w:val="0"/>
          <w:numId w:val="0"/>
        </w:numPr>
        <w:spacing/>
        <w:ind/>
        <w:rPr/>
      </w:pPr>
      <w:r>
        <w:rPr>
          <w:b/>
          <w:bCs/>
        </w:rPr>
        <w:t xml:space="preserve">CAGR (Compound Annual Growth Rate):</w:t>
      </w:r>
      <w:r>
        <w:rPr/>
        <w:t xml:space="preserve"> To measure the year-on-year growth of investments.</w:t>
      </w:r>
    </w:p>
    <w:p>
      <w:pPr>
        <w:pBdr/>
        <w:pStyle w:val="List Paragraph"/>
        <w:numPr>
          <w:ilvl w:val="0"/>
          <w:numId w:val="0"/>
        </w:numPr>
        <w:spacing/>
        <w:ind/>
        <w:rPr/>
      </w:pPr>
      <w:r>
        <w:rPr>
          <w:b/>
          <w:bCs/>
        </w:rPr>
        <w:t xml:space="preserve">Standard Deviation:</w:t>
      </w:r>
      <w:r>
        <w:rPr/>
        <w:t xml:space="preserve"> To measure the volatility or risk associated with the fund’s returns.</w:t>
      </w:r>
    </w:p>
    <w:p>
      <w:pPr>
        <w:pBdr/>
        <w:pStyle w:val="List Paragraph"/>
        <w:spacing/>
        <w:ind/>
        <w:rPr/>
      </w:pPr>
      <w:r>
        <w:rPr>
          <w:b/>
          <w:bCs/>
        </w:rPr>
        <w:t xml:space="preserve">II. Risk-Adjusted Performance Ratios:</w:t>
      </w:r>
    </w:p>
    <w:p>
      <w:pPr>
        <w:pBdr/>
        <w:pStyle w:val="List Paragraph"/>
        <w:numPr>
          <w:ilvl w:val="0"/>
          <w:numId w:val="0"/>
        </w:numPr>
        <w:spacing/>
        <w:ind/>
        <w:rPr/>
      </w:pPr>
      <w:r>
        <w:rPr>
          <w:b/>
          <w:bCs/>
        </w:rPr>
        <w:t xml:space="preserve">Sharpe Ratio:</w:t>
      </w:r>
      <w:r>
        <w:rPr/>
        <w:t xml:space="preserve"> Measures the excess return per unit of risk.</w:t>
      </w:r>
    </w:p>
    <w:p>
      <w:pPr>
        <w:pBdr/>
        <w:pStyle w:val="List Paragraph"/>
        <w:numPr>
          <w:ilvl w:val="0"/>
          <w:numId w:val="0"/>
        </w:numPr>
        <w:spacing/>
        <w:ind/>
        <w:rPr/>
      </w:pPr>
      <w:r>
        <w:rPr>
          <w:b/>
          <w:bCs/>
        </w:rPr>
        <w:t xml:space="preserve">Treynor Ratio:</w:t>
      </w:r>
      <w:r>
        <w:rPr/>
        <w:t xml:space="preserve"> Measures the returns earned in excess of that which could have been earned on a risk-less investment per each unit of market risk.</w:t>
      </w:r>
    </w:p>
    <w:p>
      <w:pPr>
        <w:pBdr/>
        <w:pStyle w:val="List Paragraph"/>
        <w:numPr>
          <w:ilvl w:val="0"/>
          <w:numId w:val="0"/>
        </w:numPr>
        <w:spacing/>
        <w:ind/>
        <w:rPr/>
      </w:pPr>
      <w:r>
        <w:rPr>
          <w:b/>
          <w:bCs/>
        </w:rPr>
        <w:t xml:space="preserve">Alpha:</w:t>
      </w:r>
      <w:r>
        <w:rPr/>
        <w:t xml:space="preserve"> Indicates the value that the fund manager has added relative to the benchmark.</w:t>
      </w:r>
    </w:p>
    <w:p>
      <w:pPr>
        <w:pBdr/>
        <w:pStyle w:val="Normal (Web)"/>
        <w:spacing/>
        <w:ind/>
        <w:rPr>
          <w:sz w:val="28"/>
          <w:szCs w:val="28"/>
        </w:rPr>
      </w:pPr>
    </w:p>
    <w:p>
      <w:pPr>
        <w:pBdr/>
        <w:pStyle w:val="Normal (Web)"/>
        <w:spacing/>
        <w:ind/>
        <w:rPr>
          <w:sz w:val="28"/>
          <w:szCs w:val="28"/>
        </w:rPr>
      </w:pPr>
      <w:r>
        <w:rPr>
          <w:sz w:val="28"/>
          <w:szCs w:val="28"/>
        </w:rPr>
        <w:t xml:space="preserve">                              </w:t>
      </w:r>
    </w:p>
    <w:p>
      <w:pPr>
        <w:pBdr/>
        <w:pStyle w:val="Normal (Web)"/>
        <w:spacing/>
        <w:ind/>
        <w:rPr>
          <w:sz w:val="28"/>
          <w:szCs w:val="28"/>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sz w:val="176"/>
          <w:szCs w:val="176"/>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110"/>
        </w:rPr>
      </w:pPr>
      <w:r>
        <w:rPr>
          <w:sz w:val="110"/>
          <w:szCs w:val="176"/>
        </w:rPr>
        <w:t xml:space="preserve">   OBJECTIVES</w:t>
      </w:r>
    </w:p>
    <w:p>
      <w:pPr>
        <w:pBdr/>
        <w:pStyle w:val="Normal (Web)"/>
        <w:spacing/>
        <w:ind/>
        <w:rPr>
          <w:sz w:val="26"/>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Normal (Web)"/>
        <w:spacing/>
        <w:ind/>
        <w:rPr/>
      </w:pPr>
    </w:p>
    <w:p>
      <w:pPr>
        <w:pBdr/>
        <w:pStyle w:val="List Paragraph"/>
        <w:spacing w:beforeAutospacing="true" w:afterAutospacing="true"/>
        <w:ind/>
        <w:rPr>
          <w:rFonts w:cs="Times New Roman"/>
          <w:b/>
          <w:bCs/>
        </w:rPr>
      </w:pPr>
      <w:r>
        <w:rPr>
          <w:rFonts w:cs="Times New Roman"/>
          <w:b/>
          <w:bCs/>
        </w:rPr>
        <w:t xml:space="preserve">4. OBJECTIVES</w:t>
      </w:r>
    </w:p>
    <w:p>
      <w:pPr>
        <w:pBdr/>
        <w:pStyle w:val="List Paragraph"/>
        <w:spacing/>
        <w:ind/>
        <w:rPr/>
      </w:pPr>
      <w:r>
        <w:rPr/>
        <w:t xml:space="preserve">The primary aim of this study is to conduct a comprehensive evaluation of the Bank of India (BOI) Mutual Fund’s performance and its position within the competitive Indian Asset Management industry.</w:t>
      </w:r>
    </w:p>
    <w:p>
      <w:pPr>
        <w:pBdr/>
        <w:pStyle w:val="List Paragraph"/>
        <w:spacing/>
        <w:ind/>
        <w:rPr/>
      </w:pPr>
      <w:r>
        <w:rPr/>
        <w:t xml:space="preserve">To achieve this, the following specific objectives have been formulated:</w:t>
      </w:r>
    </w:p>
    <w:p>
      <w:pPr>
        <w:pBdr/>
        <w:pStyle w:val="List Paragraph"/>
        <w:spacing/>
        <w:ind/>
        <w:rPr/>
      </w:pPr>
      <w:r>
        <w:rPr/>
        <w:pict>
          <v:rect style="width:0;height:2" o:hralign="center" o:hrstd="t" o:hr="t" fillcolor="FFFFFF" stroked="f"/>
        </w:pict>
      </w:r>
    </w:p>
    <w:p>
      <w:pPr>
        <w:pBdr/>
        <w:pStyle w:val="Normal (Web)"/>
        <w:spacing w:beforeAutospacing="true" w:afterAutospacing="true"/>
        <w:ind/>
        <w:rPr>
          <w:rFonts w:cs="Times New Roman"/>
        </w:rPr>
      </w:pPr>
      <w:r>
        <w:rPr>
          <w:rFonts w:cs="Times New Roman"/>
        </w:rPr>
        <w:t xml:space="preserve">4.1 Primary Objective</w:t>
      </w:r>
    </w:p>
    <w:p>
      <w:pPr>
        <w:pBdr/>
        <w:pStyle w:val="List Paragraph"/>
        <w:numPr>
          <w:ilvl w:val="0"/>
          <w:numId w:val="0"/>
        </w:numPr>
        <w:spacing/>
        <w:ind/>
        <w:rPr/>
      </w:pPr>
      <w:r>
        <w:rPr/>
        <w:t xml:space="preserve">To analyze the </w:t>
      </w:r>
      <w:r>
        <w:rPr>
          <w:b/>
          <w:bCs/>
        </w:rPr>
        <w:t xml:space="preserve">financial performance</w:t>
      </w:r>
      <w:r>
        <w:rPr/>
        <w:t xml:space="preserve"> and growth trajectory of Bank of India Mutual Fund schemes over the designated study period (2021–2026).</w:t>
      </w:r>
    </w:p>
    <w:p>
      <w:pPr>
        <w:pBdr/>
        <w:pStyle w:val="Normal (Web)"/>
        <w:spacing/>
        <w:ind/>
        <w:rPr>
          <w:sz w:val="28"/>
          <w:szCs w:val="28"/>
        </w:rPr>
      </w:pPr>
    </w:p>
    <w:p>
      <w:pPr>
        <w:pBdr/>
        <w:pStyle w:val="Normal (Web)"/>
        <w:spacing/>
        <w:ind/>
        <w:rPr>
          <w:sz w:val="28"/>
          <w:szCs w:val="28"/>
        </w:rPr>
      </w:pPr>
    </w:p>
    <w:p>
      <w:pPr>
        <w:pBdr/>
        <w:pStyle w:val="Normal (Web)"/>
        <w:spacing/>
        <w:ind/>
        <w:rPr>
          <w:sz w:val="60"/>
          <w:szCs w:val="60"/>
        </w:rPr>
      </w:pPr>
    </w:p>
    <w:p>
      <w:pPr>
        <w:pBdr/>
        <w:pStyle w:val="Normal (Web)"/>
        <w:spacing/>
        <w:ind/>
        <w:rPr>
          <w:sz w:val="60"/>
          <w:szCs w:val="60"/>
        </w:rPr>
      </w:pPr>
      <w:r>
        <w:rPr>
          <w:sz w:val="60"/>
          <w:szCs w:val="60"/>
        </w:rPr>
        <w:t xml:space="preserve">                            </w:t>
      </w:r>
    </w:p>
    <w:p>
      <w:pPr>
        <w:pBdr/>
        <w:pStyle w:val="Normal (Web)"/>
        <w:spacing/>
        <w:ind/>
        <w:rPr>
          <w:sz w:val="80"/>
          <w:szCs w:val="80"/>
        </w:rPr>
      </w:pPr>
    </w:p>
    <w:p>
      <w:pPr>
        <w:pBdr/>
        <w:pStyle w:val="Normal (Web)"/>
        <w:spacing/>
        <w:ind/>
        <w:rPr/>
      </w:pPr>
    </w:p>
    <w:p>
      <w:pPr>
        <w:pBdr/>
        <w:pStyle w:val="Normal (Web)"/>
        <w:spacing/>
        <w:ind/>
        <w:rPr/>
      </w:pPr>
    </w:p>
    <w:p>
      <w:pPr>
        <w:pBdr/>
        <w:pStyle w:val="Normal (Web)"/>
        <w:spacing/>
        <w:ind/>
        <w:rPr/>
      </w:pPr>
    </w:p>
    <w:p>
      <w:pPr>
        <w:pBdr/>
        <w:pStyle w:val="Normal (Web)"/>
        <w:spacing/>
        <w:ind/>
        <w:rPr>
          <w:sz w:val="110"/>
          <w:szCs w:val="110"/>
        </w:rPr>
      </w:pPr>
    </w:p>
    <w:p>
      <w:pPr>
        <w:pBdr/>
        <w:pStyle w:val="Normal (Web)"/>
        <w:spacing/>
        <w:ind/>
        <w:rPr>
          <w:sz w:val="110"/>
          <w:szCs w:val="110"/>
        </w:rPr>
      </w:pPr>
    </w:p>
    <w:p>
      <w:pPr>
        <w:pBdr/>
        <w:pStyle w:val="Normal (Web)"/>
        <w:spacing/>
        <w:ind/>
        <w:rPr>
          <w:sz w:val="110"/>
          <w:szCs w:val="110"/>
        </w:rPr>
      </w:pPr>
    </w:p>
    <w:p>
      <w:pPr>
        <w:pBdr/>
        <w:pStyle w:val="Normal (Web)"/>
        <w:spacing/>
        <w:ind/>
        <w:rPr>
          <w:sz w:val="110"/>
          <w:szCs w:val="110"/>
        </w:rPr>
      </w:pPr>
    </w:p>
    <w:p>
      <w:pPr>
        <w:pBdr/>
        <w:pStyle w:val="Normal (Web)"/>
        <w:spacing/>
        <w:ind/>
        <w:rPr>
          <w:sz w:val="100"/>
          <w:szCs w:val="110"/>
        </w:rPr>
      </w:pPr>
      <w:r>
        <w:rPr>
          <w:sz w:val="100"/>
          <w:szCs w:val="110"/>
        </w:rPr>
        <w:t xml:space="preserve">DATA                                                                   COLLECTION   </w:t>
      </w:r>
    </w:p>
    <w:p>
      <w:pPr>
        <w:pBdr/>
        <w:pStyle w:val="Normal (Web)"/>
        <w:spacing/>
        <w:ind/>
        <w:rPr>
          <w:sz w:val="100"/>
          <w:szCs w:val="110"/>
        </w:rPr>
      </w:pPr>
      <w:r>
        <w:rPr>
          <w:sz w:val="100"/>
          <w:szCs w:val="110"/>
        </w:rPr>
        <w:t xml:space="preserve">AND </w:t>
      </w:r>
    </w:p>
    <w:p>
      <w:pPr>
        <w:pBdr/>
        <w:pStyle w:val="Normal (Web)"/>
        <w:spacing/>
        <w:ind/>
        <w:rPr>
          <w:sz w:val="100"/>
          <w:szCs w:val="110"/>
        </w:rPr>
      </w:pPr>
      <w:r>
        <w:rPr>
          <w:sz w:val="100"/>
          <w:szCs w:val="110"/>
        </w:rPr>
        <w:t xml:space="preserve">INTERPRETATION</w:t>
      </w:r>
    </w:p>
    <w:p>
      <w:pPr>
        <w:pBdr/>
        <w:pStyle w:val="Normal (Web)"/>
        <w:spacing/>
        <w:ind/>
        <w:rPr>
          <w:sz w:val="110"/>
          <w:szCs w:val="110"/>
        </w:rPr>
      </w:pPr>
    </w:p>
    <w:p>
      <w:pPr>
        <w:pBdr/>
        <w:pStyle w:val="Normal (Web)"/>
        <w:spacing/>
        <w:ind/>
        <w:rPr>
          <w:sz w:val="120"/>
          <w:szCs w:val="120"/>
        </w:rPr>
      </w:pPr>
    </w:p>
    <w:p>
      <w:pPr>
        <w:pBdr/>
        <w:pStyle w:val="Normal (Web)"/>
        <w:spacing/>
        <w:ind/>
        <w:rPr>
          <w:sz w:val="26"/>
        </w:rPr>
      </w:pPr>
    </w:p>
    <w:p>
      <w:pPr>
        <w:pBdr/>
        <w:pStyle w:val="Normal (Web)"/>
        <w:spacing/>
        <w:ind/>
        <w:rPr/>
      </w:pPr>
    </w:p>
    <w:p>
      <w:pPr>
        <w:pBdr/>
        <w:pStyle w:val="Normal (Web)"/>
        <w:spacing/>
        <w:ind/>
        <w:rPr>
          <w:sz w:val="26"/>
          <w:szCs w:val="60"/>
        </w:rPr>
      </w:pPr>
      <w:r>
        <w:rPr/>
        <w:t xml:space="preserve">                                                               </w:t>
      </w:r>
      <w:r>
        <w:rPr>
          <w:sz w:val="26"/>
        </w:rPr>
        <w:t xml:space="preserve">               </w:t>
      </w:r>
    </w:p>
    <w:p>
      <w:pPr>
        <w:pBdr/>
        <w:pStyle w:val="Normal (Web)"/>
        <w:spacing/>
        <w:ind/>
        <w:rPr>
          <w:sz w:val="26"/>
        </w:rPr>
      </w:pPr>
    </w:p>
    <w:p>
      <w:pPr>
        <w:pBdr/>
        <w:pStyle w:val="List Paragraph"/>
        <w:spacing w:afterAutospacing="true" w:line="240" w:lineRule="auto"/>
        <w:ind/>
        <w:rPr>
          <w:rFonts w:ascii="Cambria" w:hAnsi="Cambria" w:cs="Cambria"/>
          <w:b/>
          <w:bCs/>
        </w:rPr>
      </w:pPr>
      <w:r>
        <w:rPr>
          <w:rFonts w:ascii="Cambria" w:hAnsi="Cambria" w:cs="Cambria"/>
          <w:b/>
          <w:bCs/>
        </w:rPr>
        <w:t xml:space="preserve">5. DATA COLLECTION AND INTERPRETATION</w:t>
      </w:r>
    </w:p>
    <w:p>
      <w:pPr>
        <w:pBdr/>
        <w:pStyle w:val="List Paragraph"/>
        <w:spacing w:line="240" w:lineRule="auto"/>
        <w:ind/>
        <w:rPr>
          <w:rFonts w:ascii="Cambria" w:eastAsia="Cambria" w:hAnsi="Cambria" w:cs="Cambria"/>
        </w:rPr>
      </w:pPr>
      <w:r>
        <w:rPr>
          <w:rFonts w:ascii="Cambria" w:eastAsia="Cambria" w:hAnsi="Cambria" w:cs="Cambria"/>
        </w:rPr>
        <w:t xml:space="preserve">This section presents a quantitative and qualitative analysis of the Bank of India (BOI) Mutual Fund’s performance, asset growth, and portfolio strategies based on fiscal data through early 2026.</w:t>
      </w:r>
    </w:p>
    <w:p>
      <w:pPr>
        <w:pBdr/>
        <w:pStyle w:val="List Paragraph"/>
        <w:spacing w:line="240" w:lineRule="auto"/>
        <w:ind/>
        <w:rPr/>
      </w:pPr>
      <w:r>
        <w:rPr/>
        <w:pict>
          <v:rect style="width:0;height:2" o:hralign="center" o:hrstd="t" o:hr="t" fillcolor="FFFFFF" stroked="f"/>
        </w:pict>
      </w:r>
    </w:p>
    <w:p>
      <w:pPr>
        <w:pBdr/>
        <w:pStyle w:val="Normal (Web)"/>
        <w:spacing w:before="0" w:afterAutospacing="true" w:line="240" w:lineRule="auto"/>
        <w:ind/>
        <w:rPr>
          <w:rFonts w:ascii="Cambria" w:hAnsi="Cambria" w:cs="Cambria"/>
        </w:rPr>
      </w:pPr>
      <w:r>
        <w:rPr>
          <w:rFonts w:ascii="Cambria" w:hAnsi="Cambria" w:cs="Cambria"/>
        </w:rPr>
        <w:t xml:space="preserve">5.1 Analysis of Growth (AUM &amp; Folios)</w:t>
      </w:r>
    </w:p>
    <w:p>
      <w:pPr>
        <w:pBdr/>
        <w:pStyle w:val="List Paragraph"/>
        <w:spacing w:line="240" w:lineRule="auto"/>
        <w:ind/>
        <w:rPr>
          <w:rFonts w:ascii="Cambria" w:eastAsia="Cambria" w:hAnsi="Cambria" w:cs="Cambria"/>
        </w:rPr>
      </w:pPr>
      <w:r>
        <w:rPr>
          <w:rFonts w:ascii="Cambria" w:eastAsia="Cambria" w:hAnsi="Cambria" w:cs="Cambria"/>
        </w:rPr>
        <w:t xml:space="preserve">The fund house has experienced a "growth surge" phase since becoming a 100% subsidiary of the Bank of India.</w:t>
      </w:r>
    </w:p>
    <w:tbl>
      <w:tblPr>
        <w:tblW w:w="0" w:type="auto"/>
        <w:jc w:val="left"/>
        <w:tblCellSpacing w:w="14" w:type="dxa"/>
        <w:tblInd w:w="0" w:type="dxa"/>
        <w:tblCellMar>
          <w:top w:w="17" w:type="dxa"/>
          <w:left w:w="17" w:type="dxa"/>
          <w:bottom w:w="17" w:type="dxa"/>
          <w:right w:w="17" w:type="dxa"/>
        </w:tblCellMar>
        <w:tblBorders>
          <w:top w:val="none" w:sz="0" w:space="0"/>
          <w:left w:val="none" w:sz="0" w:space="0"/>
          <w:bottom w:val="none" w:sz="0" w:space="0"/>
          <w:right w:val="none" w:sz="0" w:space="0"/>
          <w:insideH w:val="none" w:sz="0" w:space="0"/>
          <w:insideV w:val="none" w:sz="0" w:space="0"/>
        </w:tblBorders>
        <w:shd w:fill="auto" w:color="auto"/>
      </w:tblPr>
      <w:tblGrid>
        <w:gridCol w:w="2325"/>
        <w:gridCol w:w="1382"/>
        <w:gridCol w:w="1517"/>
        <w:gridCol w:w="1402"/>
      </w:tblGrid>
      <w:tr>
        <w:tblPrEx>
          <w:tblBorders>
            <w:top w:val="none" w:sz="0" w:space="0"/>
            <w:left w:val="none" w:sz="0" w:space="0"/>
            <w:bottom w:val="none" w:sz="0" w:space="0"/>
            <w:right w:val="none" w:sz="0" w:space="0"/>
            <w:insideH w:val="none" w:sz="0" w:space="0"/>
            <w:insideV w:val="none" w:sz="0" w:space="0"/>
          </w:tblBorders>
          <w:tblCellMar>
            <w:top w:w="17" w:type="dxa"/>
            <w:left w:w="17" w:type="dxa"/>
            <w:bottom w:w="17" w:type="dxa"/>
            <w:right w:w="17" w:type="dxa"/>
          </w:tblCellMar>
        </w:tblPrEx>
        <w:trPr>
          <w:trHeight w:hRule="atLeast" w:val="20"/>
          <w:tblHeader/>
        </w:trPr>
        <w:tc>
          <w:tcPr>
            <w:tcW w:type="auto" w:w="0"/>
            <w:tcBorders/>
            <w:shd w:fill="auto" w:color="auto"/>
            <w:vAlign w:val="center"/>
          </w:tcPr>
          <w:p>
            <w:pPr>
              <w:pBdr/>
              <w:pStyle w:val="List Paragraph"/>
              <w:spacing/>
              <w:ind/>
              <w:rPr/>
            </w:pPr>
            <w:r>
              <w:rPr>
                <w:rFonts w:ascii="Cambria" w:eastAsia="Cambria" w:hAnsi="Cambria" w:cs="Cambria"/>
                <w:b/>
                <w:bCs/>
              </w:rPr>
              <w:t xml:space="preserve">Metric</w:t>
            </w:r>
          </w:p>
        </w:tc>
        <w:tc>
          <w:tcPr>
            <w:tcW w:type="auto" w:w="0"/>
            <w:tcBorders/>
            <w:shd w:fill="auto" w:color="auto"/>
            <w:vAlign w:val="center"/>
          </w:tcPr>
          <w:p>
            <w:pPr>
              <w:pBdr/>
              <w:pStyle w:val="List Paragraph"/>
              <w:spacing/>
              <w:ind/>
              <w:rPr/>
            </w:pPr>
            <w:r>
              <w:rPr>
                <w:rFonts w:ascii="Cambria" w:eastAsia="Cambria" w:hAnsi="Cambria" w:cs="Cambria"/>
                <w:b/>
                <w:bCs/>
              </w:rPr>
              <w:t xml:space="preserve">March 2024</w:t>
            </w:r>
          </w:p>
        </w:tc>
        <w:tc>
          <w:tcPr>
            <w:tcW w:type="auto" w:w="0"/>
            <w:tcBorders/>
            <w:shd w:fill="auto" w:color="auto"/>
            <w:vAlign w:val="center"/>
          </w:tcPr>
          <w:p>
            <w:pPr>
              <w:pBdr/>
              <w:pStyle w:val="List Paragraph"/>
              <w:spacing/>
              <w:ind/>
              <w:rPr/>
            </w:pPr>
            <w:r>
              <w:rPr>
                <w:rFonts w:ascii="Cambria" w:eastAsia="Cambria" w:hAnsi="Cambria" w:cs="Cambria"/>
                <w:b/>
                <w:bCs/>
              </w:rPr>
              <w:t xml:space="preserve">March 2025</w:t>
            </w:r>
          </w:p>
        </w:tc>
        <w:tc>
          <w:tcPr>
            <w:tcW w:type="auto" w:w="0"/>
            <w:tcBorders/>
            <w:shd w:fill="auto" w:color="auto"/>
            <w:vAlign w:val="center"/>
          </w:tcPr>
          <w:p>
            <w:pPr>
              <w:pBdr/>
              <w:pStyle w:val="List Paragraph"/>
              <w:spacing/>
              <w:ind/>
              <w:rPr/>
            </w:pPr>
            <w:r>
              <w:rPr>
                <w:rFonts w:ascii="Cambria" w:eastAsia="Cambria" w:hAnsi="Cambria" w:cs="Cambria"/>
                <w:b/>
                <w:bCs/>
              </w:rPr>
              <w:t xml:space="preserve">Growth (%)</w:t>
            </w:r>
          </w:p>
        </w:tc>
      </w:tr>
      <w:tr>
        <w:tblPrEx>
          <w:tblBorders>
            <w:top w:val="none" w:sz="0" w:space="0"/>
            <w:left w:val="none" w:sz="0" w:space="0"/>
            <w:bottom w:val="none" w:sz="0" w:space="0"/>
            <w:right w:val="none" w:sz="0" w:space="0"/>
            <w:insideH w:val="none" w:sz="0" w:space="0"/>
            <w:insideV w:val="none" w:sz="0" w:space="0"/>
          </w:tblBorders>
          <w:tblCellMar>
            <w:top w:w="17" w:type="dxa"/>
            <w:left w:w="17" w:type="dxa"/>
            <w:bottom w:w="17" w:type="dxa"/>
            <w:right w:w="17" w:type="dxa"/>
          </w:tblCellMar>
        </w:tblPrEx>
        <w:trPr>
          <w:trHeight w:hRule="atLeast" w:val="20"/>
        </w:trPr>
        <w:tc>
          <w:tcPr>
            <w:tcW w:type="auto" w:w="0"/>
            <w:tcBorders/>
            <w:shd w:fill="auto" w:color="auto"/>
            <w:vAlign w:val="center"/>
          </w:tcPr>
          <w:p>
            <w:pPr>
              <w:pBdr/>
              <w:pStyle w:val="List Paragraph"/>
              <w:spacing/>
              <w:ind/>
              <w:rPr/>
            </w:pPr>
            <w:r>
              <w:rPr>
                <w:rFonts w:ascii="Cambria" w:eastAsia="Cambria" w:hAnsi="Cambria" w:cs="Cambria"/>
                <w:b/>
                <w:bCs/>
              </w:rPr>
              <w:t xml:space="preserve">Total AUM</w:t>
            </w:r>
          </w:p>
        </w:tc>
        <w:tc>
          <w:tcPr>
            <w:tcW w:type="auto" w:w="0"/>
            <w:tcBorders/>
            <w:shd w:fill="auto" w:color="auto"/>
            <w:vAlign w:val="center"/>
          </w:tcPr>
          <w:p>
            <w:pPr>
              <w:pBdr/>
              <w:pStyle w:val="List Paragraph"/>
              <w:spacing w:line="240" w:lineRule="auto"/>
              <w:ind/>
              <w:rPr/>
            </w:pPr>
            <w:r>
              <w:rPr>
                <w:rFonts w:ascii="Cambria" w:eastAsia="Cambria" w:hAnsi="Cambria" w:cs="Cambria"/>
              </w:rPr>
              <w:t xml:space="preserve">₹7,008.76 Cr</w:t>
            </w:r>
          </w:p>
        </w:tc>
        <w:tc>
          <w:tcPr>
            <w:tcW w:type="auto" w:w="0"/>
            <w:tcBorders/>
            <w:shd w:fill="auto" w:color="auto"/>
            <w:vAlign w:val="center"/>
          </w:tcPr>
          <w:p>
            <w:pPr>
              <w:pBdr/>
              <w:pStyle w:val="List Paragraph"/>
              <w:spacing w:line="240" w:lineRule="auto"/>
              <w:ind/>
              <w:rPr/>
            </w:pPr>
            <w:r>
              <w:rPr>
                <w:rFonts w:ascii="Cambria" w:eastAsia="Cambria" w:hAnsi="Cambria" w:cs="Cambria"/>
              </w:rPr>
              <w:t xml:space="preserve">₹11,429.88 Cr</w:t>
            </w:r>
          </w:p>
        </w:tc>
        <w:tc>
          <w:tcPr>
            <w:tcW w:type="auto" w:w="0"/>
            <w:tcBorders/>
            <w:shd w:fill="auto" w:color="auto"/>
            <w:vAlign w:val="center"/>
          </w:tcPr>
          <w:p>
            <w:pPr>
              <w:pBdr/>
              <w:pStyle w:val="List Paragraph"/>
              <w:spacing/>
              <w:ind/>
              <w:rPr/>
            </w:pPr>
            <w:r>
              <w:rPr>
                <w:rFonts w:ascii="Cambria" w:eastAsia="Cambria" w:hAnsi="Cambria" w:cs="Cambria"/>
                <w:b/>
                <w:bCs/>
              </w:rPr>
              <w:t xml:space="preserve">+63.1%</w:t>
            </w:r>
          </w:p>
        </w:tc>
      </w:tr>
      <w:tr>
        <w:tblPrEx>
          <w:tblBorders>
            <w:top w:val="none" w:sz="0" w:space="0"/>
            <w:left w:val="none" w:sz="0" w:space="0"/>
            <w:bottom w:val="none" w:sz="0" w:space="0"/>
            <w:right w:val="none" w:sz="0" w:space="0"/>
            <w:insideH w:val="none" w:sz="0" w:space="0"/>
            <w:insideV w:val="none" w:sz="0" w:space="0"/>
          </w:tblBorders>
          <w:tblCellMar>
            <w:top w:w="17" w:type="dxa"/>
            <w:left w:w="17" w:type="dxa"/>
            <w:bottom w:w="17" w:type="dxa"/>
            <w:right w:w="17" w:type="dxa"/>
          </w:tblCellMar>
        </w:tblPrEx>
        <w:trPr>
          <w:trHeight w:hRule="atLeast" w:val="20"/>
        </w:trPr>
        <w:tc>
          <w:tcPr>
            <w:tcW w:type="auto" w:w="0"/>
            <w:tcBorders/>
            <w:shd w:fill="auto" w:color="auto"/>
            <w:vAlign w:val="center"/>
          </w:tcPr>
          <w:p>
            <w:pPr>
              <w:pBdr/>
              <w:pStyle w:val="List Paragraph"/>
              <w:spacing/>
              <w:ind/>
              <w:rPr/>
            </w:pPr>
            <w:r>
              <w:rPr>
                <w:rFonts w:ascii="Cambria" w:eastAsia="Cambria" w:hAnsi="Cambria" w:cs="Cambria"/>
                <w:b/>
                <w:bCs/>
              </w:rPr>
              <w:t xml:space="preserve">Folio Count</w:t>
            </w:r>
          </w:p>
        </w:tc>
        <w:tc>
          <w:tcPr>
            <w:tcW w:type="auto" w:w="0"/>
            <w:tcBorders/>
            <w:shd w:fill="auto" w:color="auto"/>
            <w:vAlign w:val="center"/>
          </w:tcPr>
          <w:p>
            <w:pPr>
              <w:pBdr/>
              <w:pStyle w:val="List Paragraph"/>
              <w:spacing w:line="240" w:lineRule="auto"/>
              <w:ind/>
              <w:rPr/>
            </w:pPr>
            <w:r>
              <w:rPr>
                <w:rFonts w:ascii="Cambria" w:eastAsia="Cambria" w:hAnsi="Cambria" w:cs="Cambria"/>
              </w:rPr>
              <w:t xml:space="preserve">4,42,368</w:t>
            </w:r>
          </w:p>
        </w:tc>
        <w:tc>
          <w:tcPr>
            <w:tcW w:type="auto" w:w="0"/>
            <w:tcBorders/>
            <w:shd w:fill="auto" w:color="auto"/>
            <w:vAlign w:val="center"/>
          </w:tcPr>
          <w:p>
            <w:pPr>
              <w:pBdr/>
              <w:pStyle w:val="List Paragraph"/>
              <w:spacing w:line="240" w:lineRule="auto"/>
              <w:ind/>
              <w:rPr/>
            </w:pPr>
            <w:r>
              <w:rPr>
                <w:rFonts w:ascii="Cambria" w:eastAsia="Cambria" w:hAnsi="Cambria" w:cs="Cambria"/>
              </w:rPr>
              <w:t xml:space="preserve">7,43,389</w:t>
            </w:r>
          </w:p>
        </w:tc>
        <w:tc>
          <w:tcPr>
            <w:tcW w:type="auto" w:w="0"/>
            <w:tcBorders/>
            <w:shd w:fill="auto" w:color="auto"/>
            <w:vAlign w:val="center"/>
          </w:tcPr>
          <w:p>
            <w:pPr>
              <w:pBdr/>
              <w:pStyle w:val="List Paragraph"/>
              <w:spacing/>
              <w:ind/>
              <w:rPr/>
            </w:pPr>
            <w:r>
              <w:rPr>
                <w:rFonts w:ascii="Cambria" w:eastAsia="Cambria" w:hAnsi="Cambria" w:cs="Cambria"/>
                <w:b/>
                <w:bCs/>
              </w:rPr>
              <w:t xml:space="preserve">+68.1%</w:t>
            </w:r>
          </w:p>
        </w:tc>
      </w:tr>
      <w:tr>
        <w:tblPrEx>
          <w:tblBorders>
            <w:top w:val="none" w:sz="0" w:space="0"/>
            <w:left w:val="none" w:sz="0" w:space="0"/>
            <w:bottom w:val="none" w:sz="0" w:space="0"/>
            <w:right w:val="none" w:sz="0" w:space="0"/>
            <w:insideH w:val="none" w:sz="0" w:space="0"/>
            <w:insideV w:val="none" w:sz="0" w:space="0"/>
          </w:tblBorders>
          <w:tblCellMar>
            <w:top w:w="17" w:type="dxa"/>
            <w:left w:w="17" w:type="dxa"/>
            <w:bottom w:w="17" w:type="dxa"/>
            <w:right w:w="17" w:type="dxa"/>
          </w:tblCellMar>
        </w:tblPrEx>
        <w:trPr>
          <w:trHeight w:hRule="atLeast" w:val="20"/>
        </w:trPr>
        <w:tc>
          <w:tcPr>
            <w:tcW w:type="auto" w:w="0"/>
            <w:tcBorders/>
            <w:shd w:fill="auto" w:color="auto"/>
            <w:vAlign w:val="center"/>
          </w:tcPr>
          <w:p>
            <w:pPr>
              <w:pBdr/>
              <w:pStyle w:val="List Paragraph"/>
              <w:spacing/>
              <w:ind/>
              <w:rPr/>
            </w:pPr>
            <w:r>
              <w:rPr>
                <w:rFonts w:ascii="Cambria" w:eastAsia="Cambria" w:hAnsi="Cambria" w:cs="Cambria"/>
                <w:b/>
                <w:bCs/>
              </w:rPr>
              <w:t xml:space="preserve">Average AUM (FY25)</w:t>
            </w:r>
          </w:p>
        </w:tc>
        <w:tc>
          <w:tcPr>
            <w:tcW w:type="auto" w:w="0"/>
            <w:tcBorders/>
            <w:shd w:fill="auto" w:color="auto"/>
            <w:vAlign w:val="center"/>
          </w:tcPr>
          <w:p>
            <w:pPr>
              <w:pBdr/>
              <w:pStyle w:val="List Paragraph"/>
              <w:spacing w:line="240" w:lineRule="auto"/>
              <w:ind/>
              <w:rPr/>
            </w:pPr>
            <w:r>
              <w:rPr>
                <w:rFonts w:ascii="Cambria" w:eastAsia="Cambria" w:hAnsi="Cambria" w:cs="Cambria"/>
              </w:rPr>
              <w:t xml:space="preserve">-</w:t>
            </w:r>
          </w:p>
        </w:tc>
        <w:tc>
          <w:tcPr>
            <w:tcW w:type="auto" w:w="0"/>
            <w:tcBorders/>
            <w:shd w:fill="auto" w:color="auto"/>
            <w:vAlign w:val="center"/>
          </w:tcPr>
          <w:p>
            <w:pPr>
              <w:pBdr/>
              <w:pStyle w:val="List Paragraph"/>
              <w:spacing w:line="240" w:lineRule="auto"/>
              <w:ind/>
              <w:rPr/>
            </w:pPr>
            <w:r>
              <w:rPr>
                <w:rFonts w:ascii="Cambria" w:eastAsia="Cambria" w:hAnsi="Cambria" w:cs="Cambria"/>
              </w:rPr>
              <w:t xml:space="preserve">₹11,350.59 Cr</w:t>
            </w:r>
          </w:p>
        </w:tc>
        <w:tc>
          <w:tcPr>
            <w:tcW w:type="auto" w:w="0"/>
            <w:tcBorders/>
            <w:shd w:fill="auto" w:color="auto"/>
            <w:vAlign w:val="center"/>
          </w:tcPr>
          <w:p>
            <w:pPr>
              <w:pBdr/>
              <w:pStyle w:val="List Paragraph"/>
              <w:spacing w:line="240" w:lineRule="auto"/>
              <w:ind/>
              <w:rPr/>
            </w:pPr>
            <w:r>
              <w:rPr>
                <w:rFonts w:ascii="Cambria" w:eastAsia="Cambria" w:hAnsi="Cambria" w:cs="Cambria"/>
              </w:rPr>
              <w:t xml:space="preserve">-</w:t>
            </w:r>
          </w:p>
        </w:tc>
      </w:tr>
    </w:tbl>
    <w:p>
      <w:pPr>
        <w:pBdr/>
        <w:pStyle w:val="Normal (Web)"/>
        <w:spacing/>
        <w:ind/>
        <w:rPr>
          <w:sz w:val="28"/>
          <w:szCs w:val="28"/>
        </w:rPr>
      </w:pPr>
    </w:p>
    <w:p>
      <w:pPr>
        <w:pBdr/>
        <w:pStyle w:val="Normal (Web)"/>
        <w:spacing/>
        <w:ind/>
        <w:rPr>
          <w:sz w:val="28"/>
          <w:szCs w:val="28"/>
        </w:rPr>
      </w:pPr>
    </w:p>
    <w:p>
      <w:pPr>
        <w:pBdr/>
        <w:pStyle w:val="List Paragraph"/>
        <w:spacing w:after="0" w:line="240" w:lineRule="auto"/>
        <w:ind/>
        <w:rPr>
          <w:rFonts w:cs="Times New Roman"/>
          <w:color w:val="000000"/>
          <w:sz w:val="124"/>
        </w:rPr>
      </w:pPr>
    </w:p>
    <w:p>
      <w:pPr>
        <w:pBdr/>
        <w:pStyle w:val="List Paragraph"/>
        <w:spacing w:after="0" w:line="240" w:lineRule="auto"/>
        <w:ind/>
        <w:rPr>
          <w:rFonts w:cs="Times New Roman"/>
          <w:color w:val="000000"/>
          <w:sz w:val="124"/>
        </w:rPr>
      </w:pPr>
      <w:r>
        <w:rPr>
          <w:rFonts w:cs="Times New Roman"/>
          <w:color w:val="000000"/>
          <w:sz w:val="124"/>
        </w:rPr>
        <w:t xml:space="preserve"> </w:t>
      </w: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List Paragraph"/>
        <w:spacing w:line="240" w:lineRule="auto"/>
        <w:ind/>
        <w:rPr>
          <w:rFonts w:ascii="Cambria" w:eastAsia="Cambria" w:hAnsi="Cambria" w:cs="Cambria"/>
        </w:rPr>
      </w:pPr>
      <w:r>
        <w:rPr>
          <w:rFonts w:ascii="Cambria" w:eastAsia="Cambria" w:hAnsi="Cambria" w:cs="Cambria"/>
          <w:b/>
          <w:bCs/>
        </w:rPr>
        <w:t xml:space="preserve">Interpretation:</w:t>
      </w:r>
      <w:r>
        <w:rPr>
          <w:rFonts w:ascii="Cambria" w:eastAsia="Cambria" w:hAnsi="Cambria" w:cs="Cambria"/>
        </w:rPr>
        <w:t xml:space="preserve"> The simultaneous jump in both AUM and folio counts indicates that growth is not just coming from a few large institutional investors, but from a massive influx of </w:t>
      </w:r>
      <w:r>
        <w:rPr>
          <w:rFonts w:ascii="Cambria" w:eastAsia="Cambria" w:hAnsi="Cambria" w:cs="Cambria"/>
          <w:b/>
          <w:bCs/>
        </w:rPr>
        <w:t xml:space="preserve">retail participants</w:t>
      </w:r>
      <w:r>
        <w:rPr>
          <w:rFonts w:ascii="Cambria" w:eastAsia="Cambria" w:hAnsi="Cambria" w:cs="Cambria"/>
        </w:rPr>
        <w:t xml:space="preserve">. This suggests that the "Bank of India" brand is successfully migrating traditional bank depositors into mutual fund products.</w:t>
      </w:r>
    </w:p>
    <w:p>
      <w:pPr>
        <w:pBdr/>
        <w:pStyle w:val="List Paragraph"/>
        <w:spacing w:line="240" w:lineRule="auto"/>
        <w:ind/>
        <w:rPr/>
      </w:pPr>
      <w:r>
        <w:rPr/>
        <w:pict>
          <v:rect style="width:0;height:2" o:hralign="center" o:hrstd="t" o:hr="t" fillcolor="FFFFFF" stroked="f"/>
        </w:pict>
      </w:r>
    </w:p>
    <w:p>
      <w:pPr>
        <w:pBdr/>
        <w:pStyle w:val="Normal (Web)"/>
        <w:spacing w:before="0" w:afterAutospacing="true" w:line="240" w:lineRule="auto"/>
        <w:ind/>
        <w:rPr>
          <w:rFonts w:ascii="Cambria" w:hAnsi="Cambria" w:cs="Cambria"/>
        </w:rPr>
      </w:pPr>
      <w:r>
        <w:rPr>
          <w:rFonts w:ascii="Cambria" w:hAnsi="Cambria" w:cs="Cambria"/>
        </w:rPr>
        <w:t xml:space="preserve">5.2 Scheme Performance vs. Benchmarks (As of March 2026)</w:t>
      </w:r>
    </w:p>
    <w:p>
      <w:pPr>
        <w:pBdr/>
        <w:pStyle w:val="List Paragraph"/>
        <w:spacing w:line="240" w:lineRule="auto"/>
        <w:ind/>
        <w:rPr>
          <w:rFonts w:ascii="Cambria" w:eastAsia="Cambria" w:hAnsi="Cambria" w:cs="Cambria"/>
        </w:rPr>
      </w:pPr>
      <w:r>
        <w:rPr>
          <w:rFonts w:ascii="Cambria" w:eastAsia="Cambria" w:hAnsi="Cambria" w:cs="Cambria"/>
        </w:rPr>
        <w:t xml:space="preserve">An analysis of flagship schemes shows a trend of outperformance in specific equity categories over a 3-year horizon.</w:t>
      </w:r>
    </w:p>
    <w:tbl>
      <w:tblPr>
        <w:tblW w:w="0" w:type="auto"/>
        <w:jc w:val="left"/>
        <w:tblCellSpacing w:w="14" w:type="dxa"/>
        <w:tblInd w:w="0" w:type="dxa"/>
        <w:tblCellMar>
          <w:top w:w="17" w:type="dxa"/>
          <w:left w:w="17" w:type="dxa"/>
          <w:bottom w:w="17" w:type="dxa"/>
          <w:right w:w="17" w:type="dxa"/>
        </w:tblCellMar>
        <w:tblBorders>
          <w:top w:val="none" w:sz="0" w:space="0"/>
          <w:left w:val="none" w:sz="0" w:space="0"/>
          <w:bottom w:val="none" w:sz="0" w:space="0"/>
          <w:right w:val="none" w:sz="0" w:space="0"/>
          <w:insideH w:val="none" w:sz="0" w:space="0"/>
          <w:insideV w:val="none" w:sz="0" w:space="0"/>
        </w:tblBorders>
        <w:shd w:fill="auto" w:color="auto"/>
      </w:tblPr>
      <w:tblGrid>
        <w:gridCol w:w="2350"/>
        <w:gridCol w:w="2165"/>
        <w:gridCol w:w="2858"/>
        <w:gridCol w:w="2447"/>
      </w:tblGrid>
      <w:tr>
        <w:tblPrEx>
          <w:tblBorders>
            <w:top w:val="none" w:sz="0" w:space="0"/>
            <w:left w:val="none" w:sz="0" w:space="0"/>
            <w:bottom w:val="none" w:sz="0" w:space="0"/>
            <w:right w:val="none" w:sz="0" w:space="0"/>
            <w:insideH w:val="none" w:sz="0" w:space="0"/>
            <w:insideV w:val="none" w:sz="0" w:space="0"/>
          </w:tblBorders>
          <w:tblCellMar>
            <w:top w:w="17" w:type="dxa"/>
            <w:left w:w="17" w:type="dxa"/>
            <w:bottom w:w="17" w:type="dxa"/>
            <w:right w:w="17" w:type="dxa"/>
          </w:tblCellMar>
        </w:tblPrEx>
        <w:trPr>
          <w:trHeight w:hRule="atLeast" w:val="20"/>
          <w:tblHeader/>
        </w:trPr>
        <w:tc>
          <w:tcPr>
            <w:tcW w:type="auto" w:w="0"/>
            <w:tcBorders/>
            <w:shd w:fill="auto" w:color="auto"/>
            <w:vAlign w:val="center"/>
          </w:tcPr>
          <w:p>
            <w:pPr>
              <w:pBdr/>
              <w:pStyle w:val="List Paragraph"/>
              <w:spacing/>
              <w:ind/>
              <w:rPr/>
            </w:pPr>
            <w:r>
              <w:rPr>
                <w:rFonts w:ascii="Cambria" w:eastAsia="Cambria" w:hAnsi="Cambria" w:cs="Cambria"/>
                <w:b/>
                <w:bCs/>
              </w:rPr>
              <w:t xml:space="preserve">Scheme Name</w:t>
            </w:r>
          </w:p>
        </w:tc>
        <w:tc>
          <w:tcPr>
            <w:tcW w:type="auto" w:w="0"/>
            <w:tcBorders/>
            <w:shd w:fill="auto" w:color="auto"/>
            <w:vAlign w:val="center"/>
          </w:tcPr>
          <w:p>
            <w:pPr>
              <w:pBdr/>
              <w:pStyle w:val="List Paragraph"/>
              <w:spacing/>
              <w:ind/>
              <w:rPr/>
            </w:pPr>
            <w:r>
              <w:rPr>
                <w:rFonts w:ascii="Cambria" w:eastAsia="Cambria" w:hAnsi="Cambria" w:cs="Cambria"/>
                <w:b/>
                <w:bCs/>
              </w:rPr>
              <w:t xml:space="preserve">3-Year CAGR (Fund)</w:t>
            </w:r>
          </w:p>
        </w:tc>
        <w:tc>
          <w:tcPr>
            <w:tcW w:type="auto" w:w="0"/>
            <w:tcBorders/>
            <w:shd w:fill="auto" w:color="auto"/>
            <w:vAlign w:val="center"/>
          </w:tcPr>
          <w:p>
            <w:pPr>
              <w:pBdr/>
              <w:pStyle w:val="List Paragraph"/>
              <w:spacing/>
              <w:ind/>
              <w:rPr/>
            </w:pPr>
            <w:r>
              <w:rPr>
                <w:rFonts w:ascii="Cambria" w:eastAsia="Cambria" w:hAnsi="Cambria" w:cs="Cambria"/>
                <w:b/>
                <w:bCs/>
              </w:rPr>
              <w:t xml:space="preserve">3-Year CAGR (Benchmark)</w:t>
            </w:r>
          </w:p>
        </w:tc>
        <w:tc>
          <w:tcPr>
            <w:tcW w:type="auto" w:w="0"/>
            <w:tcBorders/>
            <w:shd w:fill="auto" w:color="auto"/>
            <w:vAlign w:val="center"/>
          </w:tcPr>
          <w:p>
            <w:pPr>
              <w:pBdr/>
              <w:pStyle w:val="List Paragraph"/>
              <w:spacing/>
              <w:ind/>
              <w:rPr/>
            </w:pPr>
            <w:r>
              <w:rPr>
                <w:rFonts w:ascii="Cambria" w:eastAsia="Cambria" w:hAnsi="Cambria" w:cs="Cambria"/>
                <w:b/>
                <w:bCs/>
              </w:rPr>
              <w:t xml:space="preserve">Alpha (Excess Return)</w:t>
            </w:r>
          </w:p>
        </w:tc>
      </w:tr>
      <w:tr>
        <w:tblPrEx>
          <w:tblBorders>
            <w:top w:val="none" w:sz="0" w:space="0"/>
            <w:left w:val="none" w:sz="0" w:space="0"/>
            <w:bottom w:val="none" w:sz="0" w:space="0"/>
            <w:right w:val="none" w:sz="0" w:space="0"/>
            <w:insideH w:val="none" w:sz="0" w:space="0"/>
            <w:insideV w:val="none" w:sz="0" w:space="0"/>
          </w:tblBorders>
          <w:tblCellMar>
            <w:top w:w="17" w:type="dxa"/>
            <w:left w:w="17" w:type="dxa"/>
            <w:bottom w:w="17" w:type="dxa"/>
            <w:right w:w="17" w:type="dxa"/>
          </w:tblCellMar>
        </w:tblPrEx>
        <w:trPr>
          <w:trHeight w:hRule="atLeast" w:val="20"/>
        </w:trPr>
        <w:tc>
          <w:tcPr>
            <w:tcW w:type="auto" w:w="0"/>
            <w:tcBorders/>
            <w:shd w:fill="auto" w:color="auto"/>
            <w:vAlign w:val="center"/>
          </w:tcPr>
          <w:p>
            <w:pPr>
              <w:pBdr/>
              <w:pStyle w:val="List Paragraph"/>
              <w:spacing/>
              <w:ind/>
              <w:rPr/>
            </w:pPr>
            <w:r>
              <w:rPr>
                <w:rFonts w:ascii="Cambria" w:eastAsia="Cambria" w:hAnsi="Cambria" w:cs="Cambria"/>
                <w:b/>
                <w:bCs/>
              </w:rPr>
              <w:t xml:space="preserve">BOI Multi Cap Fund</w:t>
            </w:r>
          </w:p>
        </w:tc>
        <w:tc>
          <w:tcPr>
            <w:tcW w:type="auto" w:w="0"/>
            <w:tcBorders/>
            <w:shd w:fill="auto" w:color="auto"/>
            <w:vAlign w:val="center"/>
          </w:tcPr>
          <w:p>
            <w:pPr>
              <w:pBdr/>
              <w:pStyle w:val="List Paragraph"/>
              <w:spacing w:line="240" w:lineRule="auto"/>
              <w:ind/>
              <w:rPr/>
            </w:pPr>
            <w:r>
              <w:rPr>
                <w:rFonts w:ascii="Cambria" w:eastAsia="Cambria" w:hAnsi="Cambria" w:cs="Cambria"/>
              </w:rPr>
              <w:t xml:space="preserve">18.66%</w:t>
            </w:r>
          </w:p>
        </w:tc>
        <w:tc>
          <w:tcPr>
            <w:tcW w:type="auto" w:w="0"/>
            <w:tcBorders/>
            <w:shd w:fill="auto" w:color="auto"/>
            <w:vAlign w:val="center"/>
          </w:tcPr>
          <w:p>
            <w:pPr>
              <w:pBdr/>
              <w:pStyle w:val="List Paragraph"/>
              <w:spacing w:line="240" w:lineRule="auto"/>
              <w:ind/>
              <w:rPr/>
            </w:pPr>
            <w:r>
              <w:rPr>
                <w:rFonts w:ascii="Cambria" w:eastAsia="Cambria" w:hAnsi="Cambria" w:cs="Cambria"/>
              </w:rPr>
              <w:t xml:space="preserve">15.40%</w:t>
            </w:r>
          </w:p>
        </w:tc>
        <w:tc>
          <w:tcPr>
            <w:tcW w:type="auto" w:w="0"/>
            <w:tcBorders/>
            <w:shd w:fill="auto" w:color="auto"/>
            <w:vAlign w:val="center"/>
          </w:tcPr>
          <w:p>
            <w:pPr>
              <w:pBdr/>
              <w:pStyle w:val="List Paragraph"/>
              <w:spacing/>
              <w:ind/>
              <w:rPr/>
            </w:pPr>
            <w:r>
              <w:rPr>
                <w:rFonts w:ascii="Cambria" w:eastAsia="Cambria" w:hAnsi="Cambria" w:cs="Cambria"/>
                <w:b/>
                <w:bCs/>
              </w:rPr>
              <w:t xml:space="preserve">+3.26%</w:t>
            </w:r>
          </w:p>
        </w:tc>
      </w:tr>
      <w:tr>
        <w:tblPrEx>
          <w:tblBorders>
            <w:top w:val="none" w:sz="0" w:space="0"/>
            <w:left w:val="none" w:sz="0" w:space="0"/>
            <w:bottom w:val="none" w:sz="0" w:space="0"/>
            <w:right w:val="none" w:sz="0" w:space="0"/>
            <w:insideH w:val="none" w:sz="0" w:space="0"/>
            <w:insideV w:val="none" w:sz="0" w:space="0"/>
          </w:tblBorders>
          <w:tblCellMar>
            <w:top w:w="17" w:type="dxa"/>
            <w:left w:w="17" w:type="dxa"/>
            <w:bottom w:w="17" w:type="dxa"/>
            <w:right w:w="17" w:type="dxa"/>
          </w:tblCellMar>
        </w:tblPrEx>
        <w:trPr>
          <w:trHeight w:hRule="atLeast" w:val="20"/>
        </w:trPr>
        <w:tc>
          <w:tcPr>
            <w:tcW w:type="auto" w:w="0"/>
            <w:tcBorders/>
            <w:shd w:fill="auto" w:color="auto"/>
            <w:vAlign w:val="center"/>
          </w:tcPr>
          <w:p>
            <w:pPr>
              <w:pBdr/>
              <w:pStyle w:val="List Paragraph"/>
              <w:spacing/>
              <w:ind/>
              <w:rPr/>
            </w:pPr>
            <w:r>
              <w:rPr>
                <w:rFonts w:ascii="Cambria" w:eastAsia="Cambria" w:hAnsi="Cambria" w:cs="Cambria"/>
                <w:b/>
                <w:bCs/>
              </w:rPr>
              <w:t xml:space="preserve">BOI Small Cap Fund</w:t>
            </w:r>
          </w:p>
        </w:tc>
        <w:tc>
          <w:tcPr>
            <w:tcW w:type="auto" w:w="0"/>
            <w:tcBorders/>
            <w:shd w:fill="auto" w:color="auto"/>
            <w:vAlign w:val="center"/>
          </w:tcPr>
          <w:p>
            <w:pPr>
              <w:pBdr/>
              <w:pStyle w:val="List Paragraph"/>
              <w:spacing w:line="240" w:lineRule="auto"/>
              <w:ind/>
              <w:rPr/>
            </w:pPr>
            <w:r>
              <w:rPr>
                <w:rFonts w:ascii="Cambria" w:eastAsia="Cambria" w:hAnsi="Cambria" w:cs="Cambria"/>
              </w:rPr>
              <w:t xml:space="preserve">23.80%</w:t>
            </w:r>
          </w:p>
        </w:tc>
        <w:tc>
          <w:tcPr>
            <w:tcW w:type="auto" w:w="0"/>
            <w:tcBorders/>
            <w:shd w:fill="auto" w:color="auto"/>
            <w:vAlign w:val="center"/>
          </w:tcPr>
          <w:p>
            <w:pPr>
              <w:pBdr/>
              <w:pStyle w:val="List Paragraph"/>
              <w:spacing w:line="240" w:lineRule="auto"/>
              <w:ind/>
              <w:rPr/>
            </w:pPr>
            <w:r>
              <w:rPr>
                <w:rFonts w:ascii="Cambria" w:eastAsia="Cambria" w:hAnsi="Cambria" w:cs="Cambria"/>
              </w:rPr>
              <w:t xml:space="preserve">21.10%</w:t>
            </w:r>
          </w:p>
        </w:tc>
        <w:tc>
          <w:tcPr>
            <w:tcW w:type="auto" w:w="0"/>
            <w:tcBorders/>
            <w:shd w:fill="auto" w:color="auto"/>
            <w:vAlign w:val="center"/>
          </w:tcPr>
          <w:p>
            <w:pPr>
              <w:pBdr/>
              <w:pStyle w:val="List Paragraph"/>
              <w:spacing/>
              <w:ind/>
              <w:rPr/>
            </w:pPr>
            <w:r>
              <w:rPr>
                <w:rFonts w:ascii="Cambria" w:eastAsia="Cambria" w:hAnsi="Cambria" w:cs="Cambria"/>
                <w:b/>
                <w:bCs/>
              </w:rPr>
              <w:t xml:space="preserve">+2.70%</w:t>
            </w:r>
          </w:p>
        </w:tc>
      </w:tr>
      <w:tr>
        <w:tblPrEx>
          <w:tblBorders>
            <w:top w:val="none" w:sz="0" w:space="0"/>
            <w:left w:val="none" w:sz="0" w:space="0"/>
            <w:bottom w:val="none" w:sz="0" w:space="0"/>
            <w:right w:val="none" w:sz="0" w:space="0"/>
            <w:insideH w:val="none" w:sz="0" w:space="0"/>
            <w:insideV w:val="none" w:sz="0" w:space="0"/>
          </w:tblBorders>
          <w:tblCellMar>
            <w:top w:w="17" w:type="dxa"/>
            <w:left w:w="17" w:type="dxa"/>
            <w:bottom w:w="17" w:type="dxa"/>
            <w:right w:w="17" w:type="dxa"/>
          </w:tblCellMar>
        </w:tblPrEx>
        <w:trPr>
          <w:trHeight w:hRule="atLeast" w:val="20"/>
        </w:trPr>
        <w:tc>
          <w:tcPr>
            <w:tcW w:type="auto" w:w="0"/>
            <w:tcBorders/>
            <w:shd w:fill="auto" w:color="auto"/>
            <w:vAlign w:val="center"/>
          </w:tcPr>
          <w:p>
            <w:pPr>
              <w:pBdr/>
              <w:pStyle w:val="List Paragraph"/>
              <w:spacing/>
              <w:ind/>
              <w:rPr/>
            </w:pPr>
            <w:r>
              <w:rPr>
                <w:rFonts w:ascii="Cambria" w:eastAsia="Cambria" w:hAnsi="Cambria" w:cs="Cambria"/>
                <w:b/>
                <w:bCs/>
              </w:rPr>
              <w:t xml:space="preserve">BOI Mfg &amp; Infra Fund</w:t>
            </w:r>
          </w:p>
        </w:tc>
        <w:tc>
          <w:tcPr>
            <w:tcW w:type="auto" w:w="0"/>
            <w:tcBorders/>
            <w:shd w:fill="auto" w:color="auto"/>
            <w:vAlign w:val="center"/>
          </w:tcPr>
          <w:p>
            <w:pPr>
              <w:pBdr/>
              <w:pStyle w:val="List Paragraph"/>
              <w:spacing w:line="240" w:lineRule="auto"/>
              <w:ind/>
              <w:rPr/>
            </w:pPr>
            <w:r>
              <w:rPr>
                <w:rFonts w:ascii="Cambria" w:eastAsia="Cambria" w:hAnsi="Cambria" w:cs="Cambria"/>
              </w:rPr>
              <w:t xml:space="preserve">27.90%</w:t>
            </w:r>
          </w:p>
        </w:tc>
        <w:tc>
          <w:tcPr>
            <w:tcW w:type="auto" w:w="0"/>
            <w:tcBorders/>
            <w:shd w:fill="auto" w:color="auto"/>
            <w:vAlign w:val="center"/>
          </w:tcPr>
          <w:p>
            <w:pPr>
              <w:pBdr/>
              <w:pStyle w:val="List Paragraph"/>
              <w:spacing w:line="240" w:lineRule="auto"/>
              <w:ind/>
              <w:rPr/>
            </w:pPr>
            <w:r>
              <w:rPr>
                <w:rFonts w:ascii="Cambria" w:eastAsia="Cambria" w:hAnsi="Cambria" w:cs="Cambria"/>
              </w:rPr>
              <w:t xml:space="preserve">23.50%</w:t>
            </w:r>
          </w:p>
        </w:tc>
        <w:tc>
          <w:tcPr>
            <w:tcW w:type="auto" w:w="0"/>
            <w:tcBorders/>
            <w:shd w:fill="auto" w:color="auto"/>
            <w:vAlign w:val="center"/>
          </w:tcPr>
          <w:p>
            <w:pPr>
              <w:pBdr/>
              <w:pStyle w:val="List Paragraph"/>
              <w:spacing/>
              <w:ind/>
              <w:rPr/>
            </w:pPr>
            <w:r>
              <w:rPr>
                <w:rFonts w:ascii="Cambria" w:eastAsia="Cambria" w:hAnsi="Cambria" w:cs="Cambria"/>
                <w:b/>
                <w:bCs/>
              </w:rPr>
              <w:t xml:space="preserve">+4.40%</w:t>
            </w:r>
          </w:p>
        </w:tc>
      </w:tr>
      <w:tr>
        <w:tblPrEx>
          <w:tblBorders>
            <w:top w:val="none" w:sz="0" w:space="0"/>
            <w:left w:val="none" w:sz="0" w:space="0"/>
            <w:bottom w:val="none" w:sz="0" w:space="0"/>
            <w:right w:val="none" w:sz="0" w:space="0"/>
            <w:insideH w:val="none" w:sz="0" w:space="0"/>
            <w:insideV w:val="none" w:sz="0" w:space="0"/>
          </w:tblBorders>
          <w:tblCellMar>
            <w:top w:w="17" w:type="dxa"/>
            <w:left w:w="17" w:type="dxa"/>
            <w:bottom w:w="17" w:type="dxa"/>
            <w:right w:w="17" w:type="dxa"/>
          </w:tblCellMar>
        </w:tblPrEx>
        <w:trPr>
          <w:trHeight w:hRule="atLeast" w:val="20"/>
        </w:trPr>
        <w:tc>
          <w:tcPr>
            <w:tcW w:type="auto" w:w="0"/>
            <w:tcBorders/>
            <w:shd w:fill="auto" w:color="auto"/>
            <w:vAlign w:val="center"/>
          </w:tcPr>
          <w:p>
            <w:pPr>
              <w:pBdr/>
              <w:pStyle w:val="List Paragraph"/>
              <w:spacing/>
              <w:ind/>
              <w:rPr/>
            </w:pPr>
            <w:r>
              <w:rPr>
                <w:rFonts w:ascii="Cambria" w:eastAsia="Cambria" w:hAnsi="Cambria" w:cs="Cambria"/>
                <w:b/>
                <w:bCs/>
              </w:rPr>
              <w:t xml:space="preserve">BOI Flexi Cap Fund</w:t>
            </w:r>
          </w:p>
        </w:tc>
        <w:tc>
          <w:tcPr>
            <w:tcW w:type="auto" w:w="0"/>
            <w:tcBorders/>
            <w:shd w:fill="auto" w:color="auto"/>
            <w:vAlign w:val="center"/>
          </w:tcPr>
          <w:p>
            <w:pPr>
              <w:pBdr/>
              <w:pStyle w:val="List Paragraph"/>
              <w:spacing w:line="240" w:lineRule="auto"/>
              <w:ind/>
              <w:rPr/>
            </w:pPr>
            <w:r>
              <w:rPr>
                <w:rFonts w:ascii="Cambria" w:eastAsia="Cambria" w:hAnsi="Cambria" w:cs="Cambria"/>
              </w:rPr>
              <w:t xml:space="preserve">24.10%</w:t>
            </w:r>
          </w:p>
        </w:tc>
        <w:tc>
          <w:tcPr>
            <w:tcW w:type="auto" w:w="0"/>
            <w:tcBorders/>
            <w:shd w:fill="auto" w:color="auto"/>
            <w:vAlign w:val="center"/>
          </w:tcPr>
          <w:p>
            <w:pPr>
              <w:pBdr/>
              <w:pStyle w:val="List Paragraph"/>
              <w:spacing w:line="240" w:lineRule="auto"/>
              <w:ind/>
              <w:rPr/>
            </w:pPr>
            <w:r>
              <w:rPr>
                <w:rFonts w:ascii="Cambria" w:eastAsia="Cambria" w:hAnsi="Cambria" w:cs="Cambria"/>
              </w:rPr>
              <w:t xml:space="preserve">20.80%</w:t>
            </w:r>
          </w:p>
        </w:tc>
        <w:tc>
          <w:tcPr>
            <w:tcW w:type="auto" w:w="0"/>
            <w:tcBorders/>
            <w:shd w:fill="auto" w:color="auto"/>
            <w:vAlign w:val="center"/>
          </w:tcPr>
          <w:p>
            <w:pPr>
              <w:pBdr/>
              <w:pStyle w:val="List Paragraph"/>
              <w:spacing/>
              <w:ind/>
              <w:rPr/>
            </w:pPr>
            <w:r>
              <w:rPr>
                <w:rFonts w:ascii="Cambria" w:eastAsia="Cambria" w:hAnsi="Cambria" w:cs="Cambria"/>
                <w:b/>
                <w:bCs/>
              </w:rPr>
              <w:t xml:space="preserve">+3.30%</w:t>
            </w:r>
          </w:p>
        </w:tc>
      </w:tr>
    </w:tbl>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List Paragraph"/>
        <w:spacing/>
        <w:ind/>
        <w:rPr/>
      </w:pPr>
      <w:r>
        <w:rPr>
          <w:b/>
          <w:bCs/>
        </w:rPr>
        <w:t xml:space="preserve">Interpretation:</w:t>
      </w:r>
      <w:r>
        <w:rPr/>
        <w:t xml:space="preserve"> The data shows consistent </w:t>
      </w:r>
      <w:r>
        <w:rPr>
          <w:b/>
          <w:bCs/>
        </w:rPr>
        <w:t xml:space="preserve">Alpha generation</w:t>
      </w:r>
      <w:r>
        <w:rPr/>
        <w:t xml:space="preserve"> across diverse equity categories. The Manufacturing &amp; Infrastructure fund’s performance is particularly notable, suggesting a successful thematic bet on India's industrial growth cycle.</w:t>
      </w:r>
    </w:p>
    <w:p>
      <w:pPr>
        <w:pBdr/>
        <w:pStyle w:val="List Paragraph"/>
        <w:spacing/>
        <w:ind/>
        <w:rPr/>
      </w:pPr>
      <w:r>
        <w:rPr/>
        <w:pict>
          <v:rect style="width:0;height:2" o:hralign="center" o:hrstd="t" o:hr="t" fillcolor="FFFFFF" stroked="f"/>
        </w:pict>
      </w:r>
    </w:p>
    <w:p>
      <w:pPr>
        <w:pBdr/>
        <w:pStyle w:val="Normal (Web)"/>
        <w:spacing w:beforeAutospacing="true" w:afterAutospacing="true"/>
        <w:ind/>
        <w:rPr>
          <w:rFonts w:cs="Times New Roman"/>
        </w:rPr>
      </w:pPr>
      <w:r>
        <w:rPr>
          <w:rFonts w:cs="Times New Roman"/>
        </w:rPr>
        <w:t xml:space="preserve">5.3 Sector Allocation &amp; Investment Strategy</w:t>
      </w:r>
    </w:p>
    <w:p>
      <w:pPr>
        <w:pBdr/>
        <w:pStyle w:val="List Paragraph"/>
        <w:spacing/>
        <w:ind/>
        <w:rPr/>
      </w:pPr>
      <w:r>
        <w:rPr/>
        <w:t xml:space="preserve">A deep dive into the </w:t>
      </w:r>
      <w:r>
        <w:rPr>
          <w:b/>
          <w:bCs/>
        </w:rPr>
        <w:t xml:space="preserve">BOI Multi Cap Fund</w:t>
      </w:r>
      <w:r>
        <w:rPr/>
        <w:t xml:space="preserve"> portfolio as of March 31, 2026, reveals the fund management’s conviction in specific sectors.</w:t>
      </w:r>
    </w:p>
    <w:p>
      <w:pPr>
        <w:pBdr/>
        <w:pStyle w:val="List Paragraph"/>
        <w:numPr>
          <w:ilvl w:val="0"/>
          <w:numId w:val="0"/>
        </w:numPr>
        <w:spacing/>
        <w:ind/>
        <w:rPr/>
      </w:pPr>
      <w:r>
        <w:rPr>
          <w:b/>
          <w:bCs/>
        </w:rPr>
        <w:t xml:space="preserve">Top 3 Sector Holdings:</w:t>
      </w:r>
    </w:p>
    <w:p>
      <w:pPr>
        <w:pBdr/>
        <w:pStyle w:val="List Paragraph"/>
        <w:numPr>
          <w:ilvl w:val="1"/>
          <w:numId w:val="1"/>
        </w:numPr>
        <w:spacing/>
        <w:ind/>
        <w:rPr/>
      </w:pPr>
      <w:r>
        <w:rPr>
          <w:b/>
          <w:bCs/>
        </w:rPr>
        <w:t xml:space="preserve">Financial Services:</w:t>
      </w:r>
      <w:r>
        <w:rPr/>
        <w:t xml:space="preserve"> 20.00% (Underweight vs Benchmark's 28.94%)</w:t>
      </w:r>
    </w:p>
    <w:p>
      <w:pPr>
        <w:pBdr/>
        <w:pStyle w:val="List Paragraph"/>
        <w:numPr>
          <w:ilvl w:val="1"/>
          <w:numId w:val="1"/>
        </w:numPr>
        <w:spacing/>
        <w:ind/>
        <w:rPr/>
      </w:pPr>
      <w:r>
        <w:rPr>
          <w:b/>
          <w:bCs/>
        </w:rPr>
        <w:t xml:space="preserve">Healthcare:</w:t>
      </w:r>
      <w:r>
        <w:rPr/>
        <w:t xml:space="preserve"> 13.45% (Overweight vs Benchmark's 8.46%)</w:t>
      </w:r>
    </w:p>
    <w:p>
      <w:pPr>
        <w:pBdr/>
        <w:pStyle w:val="List Paragraph"/>
        <w:numPr>
          <w:ilvl w:val="1"/>
          <w:numId w:val="1"/>
        </w:numPr>
        <w:spacing/>
        <w:ind/>
        <w:rPr/>
      </w:pPr>
      <w:r>
        <w:rPr>
          <w:b/>
          <w:bCs/>
        </w:rPr>
        <w:t xml:space="preserve">Metals &amp; Mining:</w:t>
      </w:r>
      <w:r>
        <w:rPr/>
        <w:t xml:space="preserve"> 8.02% (Overweight vs Benchmark's 3.86%)</w:t>
      </w:r>
    </w:p>
    <w:p>
      <w:pPr>
        <w:pBdr/>
        <w:pStyle w:val="List Paragraph"/>
        <w:spacing/>
        <w:ind/>
        <w:rPr/>
      </w:pPr>
      <w:r>
        <w:rPr>
          <w:b/>
          <w:bCs/>
        </w:rPr>
        <w:t xml:space="preserve">Interpretation:</w:t>
      </w:r>
      <w:r>
        <w:rPr/>
        <w:t xml:space="preserve"> The fund manager is taking an </w:t>
      </w:r>
      <w:r>
        <w:rPr>
          <w:b/>
          <w:bCs/>
        </w:rPr>
        <w:t xml:space="preserve">active contrarian stance</w:t>
      </w:r>
      <w:r>
        <w:rPr/>
        <w:t xml:space="preserve"> by being underweight in Financials and significantly overweight in Healthcare and Metals. This suggests a shift toward defensive and commodity-linked growth, which likely contributed to the scheme outperforming the benchmark during volatile periods in 2025.</w:t>
      </w:r>
    </w:p>
    <w:p>
      <w:pPr>
        <w:pBdr/>
        <w:pStyle w:val="Normal (Web)"/>
        <w:spacing/>
        <w:ind/>
        <w:rPr>
          <w:sz w:val="28"/>
          <w:szCs w:val="28"/>
        </w:rPr>
      </w:pPr>
      <w:r>
        <w:rPr>
          <w:sz w:val="28"/>
          <w:szCs w:val="28"/>
        </w:rPr>
        <w:t xml:space="preserve">                              </w:t>
      </w: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List Paragraph"/>
        <w:spacing w:after="0" w:line="240" w:lineRule="auto"/>
        <w:ind/>
        <w:rPr>
          <w:rFonts w:cs="Times New Roman"/>
          <w:color w:val="000000"/>
          <w:sz w:val="124"/>
        </w:rPr>
      </w:pPr>
    </w:p>
    <w:p>
      <w:pPr>
        <w:pBdr/>
        <w:pStyle w:val="List Paragraph"/>
        <w:spacing w:after="0" w:line="240" w:lineRule="auto"/>
        <w:ind/>
        <w:rPr>
          <w:rFonts w:cs="Times New Roman"/>
          <w:color w:val="000000"/>
          <w:sz w:val="124"/>
        </w:rPr>
      </w:pPr>
    </w:p>
    <w:p>
      <w:pPr>
        <w:pBdr/>
        <w:pStyle w:val="Normal (Web)"/>
        <w:spacing/>
        <w:ind/>
        <w:rPr>
          <w:sz w:val="28"/>
          <w:szCs w:val="28"/>
        </w:rPr>
      </w:pPr>
    </w:p>
    <w:p>
      <w:pPr>
        <w:pBdr/>
        <w:pStyle w:val="Normal (Web)"/>
        <w:spacing w:beforeAutospacing="true" w:afterAutospacing="true"/>
        <w:ind/>
        <w:rPr>
          <w:rFonts w:cs="Times New Roman"/>
        </w:rPr>
      </w:pPr>
      <w:r>
        <w:rPr>
          <w:rFonts w:cs="Times New Roman"/>
        </w:rPr>
        <w:t xml:space="preserve">5.4 Risk-Adjusted Returns (Efficiency Metrics)</w:t>
      </w:r>
    </w:p>
    <w:p>
      <w:pPr>
        <w:pBdr/>
        <w:pStyle w:val="List Paragraph"/>
        <w:spacing/>
        <w:ind/>
        <w:rPr/>
      </w:pPr>
      <w:r>
        <w:rPr/>
        <w:t xml:space="preserve">Efficiency is measured by how much risk the fund takes to achieve its returns.</w:t>
      </w:r>
    </w:p>
    <w:p>
      <w:pPr>
        <w:pBdr/>
        <w:pStyle w:val="List Paragraph"/>
        <w:numPr>
          <w:ilvl w:val="0"/>
          <w:numId w:val="0"/>
        </w:numPr>
        <w:spacing/>
        <w:ind/>
        <w:rPr/>
      </w:pPr>
      <w:r>
        <w:rPr>
          <w:b/>
          <w:bCs/>
        </w:rPr>
        <w:t xml:space="preserve">Sharpe Ratio (Flexi Cap):</w:t>
      </w:r>
      <w:r>
        <w:rPr/>
        <w:t xml:space="preserve"> 0.69</w:t>
      </w:r>
    </w:p>
    <w:p>
      <w:pPr>
        <w:pBdr/>
        <w:pStyle w:val="List Paragraph"/>
        <w:numPr>
          <w:ilvl w:val="0"/>
          <w:numId w:val="0"/>
        </w:numPr>
        <w:spacing/>
        <w:ind/>
        <w:rPr/>
      </w:pPr>
      <w:r>
        <w:rPr>
          <w:b/>
          <w:bCs/>
        </w:rPr>
        <w:t xml:space="preserve">Volatility (Small Cap):</w:t>
      </w:r>
      <w:r>
        <w:rPr/>
        <w:t xml:space="preserve"> 17.12%</w:t>
      </w:r>
    </w:p>
    <w:p>
      <w:pPr>
        <w:pBdr/>
        <w:pStyle w:val="List Paragraph"/>
        <w:numPr>
          <w:ilvl w:val="0"/>
          <w:numId w:val="0"/>
        </w:numPr>
        <w:spacing/>
        <w:ind/>
        <w:rPr/>
      </w:pPr>
      <w:r>
        <w:rPr>
          <w:b/>
          <w:bCs/>
        </w:rPr>
        <w:t xml:space="preserve">Expense Ratio:</w:t>
      </w:r>
      <w:r>
        <w:rPr/>
        <w:t xml:space="preserve"> Average of </w:t>
      </w:r>
      <w:r>
        <w:rPr>
          <w:b/>
          <w:bCs/>
        </w:rPr>
        <w:t xml:space="preserve">0.50% to 0.80%</w:t>
      </w:r>
      <w:r>
        <w:rPr/>
        <w:t xml:space="preserve"> for direct plans.</w:t>
      </w:r>
    </w:p>
    <w:p>
      <w:pPr>
        <w:pBdr/>
        <w:pStyle w:val="List Paragraph"/>
        <w:spacing/>
        <w:ind/>
        <w:rPr/>
      </w:pPr>
      <w:r>
        <w:rPr>
          <w:b/>
          <w:bCs/>
        </w:rPr>
        <w:t xml:space="preserve">Interpretation:</w:t>
      </w:r>
      <w:bookmarkStart w:name="p_rc_98257adb01f5978b_29" w:id="4"/>
      <w:r>
        <w:rPr/>
        <w:t xml:space="preserve"> The relatively low expense ratios (compared to some private peers) combined with positive Sharpe ratios indicate that the fund house is providing </w:t>
      </w:r>
      <w:bookmarkEnd w:id="4"/>
      <w:r>
        <w:rPr>
          <w:b/>
          <w:bCs/>
        </w:rPr>
        <w:t xml:space="preserve">cost-effective wealth creation</w:t>
      </w:r>
      <w:r>
        <w:rPr/>
        <w:t xml:space="preserve">. However, the high volatility in the Small Cap fund (17.12%) reminds investors that while returns are high, the "risk-price" is also significant.</w:t>
      </w: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List Paragraph"/>
        <w:spacing w:after="0" w:line="240" w:lineRule="auto"/>
        <w:ind/>
        <w:rPr>
          <w:rFonts w:cs="Times New Roman"/>
          <w:color w:val="000000"/>
          <w:sz w:val="124"/>
        </w:rPr>
      </w:pPr>
      <w:r>
        <w:rPr>
          <w:rFonts w:cs="Times New Roman"/>
          <w:color w:val="000000"/>
          <w:sz w:val="124"/>
        </w:rPr>
        <w:t xml:space="preserve"> </w:t>
      </w:r>
    </w:p>
    <w:p>
      <w:pPr>
        <w:pBdr/>
        <w:pStyle w:val="List Paragraph"/>
        <w:spacing w:after="0" w:line="240" w:lineRule="auto"/>
        <w:ind/>
        <w:rPr>
          <w:rFonts w:cs="Times New Roman"/>
          <w:color w:val="000000"/>
          <w:sz w:val="124"/>
        </w:rPr>
      </w:pPr>
      <w:r>
        <w:rPr>
          <w:rFonts w:cs="Times New Roman"/>
          <w:color w:val="000000"/>
          <w:sz w:val="124"/>
        </w:rPr>
        <w:t xml:space="preserve"> </w:t>
      </w:r>
    </w:p>
    <w:p>
      <w:pPr>
        <w:pBdr/>
        <w:pStyle w:val="List Paragraph"/>
        <w:spacing w:after="0" w:line="240" w:lineRule="auto"/>
        <w:ind/>
        <w:rPr>
          <w:rFonts w:cs="Times New Roman"/>
          <w:color w:val="000000"/>
          <w:sz w:val="124"/>
        </w:rPr>
      </w:pPr>
    </w:p>
    <w:p>
      <w:pPr>
        <w:pBdr/>
        <w:pStyle w:val="Normal (Web)"/>
        <w:spacing/>
        <w:ind/>
        <w:rPr>
          <w:sz w:val="28"/>
          <w:szCs w:val="28"/>
        </w:rPr>
      </w:pPr>
    </w:p>
    <w:p>
      <w:pPr>
        <w:pBdr/>
        <w:pStyle w:val="Normal (Web)"/>
        <w:spacing/>
        <w:ind/>
        <w:rPr>
          <w:sz w:val="28"/>
          <w:szCs w:val="28"/>
        </w:rPr>
      </w:pPr>
      <w:r>
        <w:rPr>
          <w:sz w:val="28"/>
          <w:szCs w:val="28"/>
        </w:rPr>
        <w:t xml:space="preserve">                            </w:t>
      </w: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beforeAutospacing="true" w:afterAutospacing="true"/>
        <w:ind/>
        <w:rPr>
          <w:rFonts w:cs="Times New Roman"/>
        </w:rPr>
      </w:pPr>
      <w:r>
        <w:rPr>
          <w:rFonts w:cs="Times New Roman"/>
        </w:rPr>
        <w:t xml:space="preserve">5.5 Interpretation of "Liq-uity" Concept</w:t>
      </w:r>
    </w:p>
    <w:p>
      <w:pPr>
        <w:pBdr/>
        <w:pStyle w:val="List Paragraph"/>
        <w:spacing/>
        <w:ind/>
        <w:rPr/>
      </w:pPr>
      <w:r>
        <w:rPr/>
        <w:t xml:space="preserve">BOI Mutual Fund introduced a unique feature called </w:t>
      </w:r>
      <w:r>
        <w:rPr>
          <w:b/>
          <w:bCs/>
        </w:rPr>
        <w:t xml:space="preserve">"Liq-uity,"</w:t>
      </w:r>
      <w:r>
        <w:rPr/>
        <w:t xml:space="preserve"> where daily gains from Liquid/Ultra Short Duration funds are automatically switched to Equity funds.</w:t>
      </w:r>
    </w:p>
    <w:p>
      <w:pPr>
        <w:pBdr/>
        <w:pStyle w:val="List Paragraph"/>
        <w:spacing/>
        <w:ind/>
        <w:rPr/>
      </w:pPr>
      <w:r>
        <w:rPr>
          <w:b/>
          <w:bCs/>
        </w:rPr>
        <w:t xml:space="preserve">Interpretation:</w:t>
      </w:r>
      <w:r>
        <w:rPr/>
        <w:t xml:space="preserve"> This demonstrates an innovative approach to </w:t>
      </w:r>
      <w:r>
        <w:rPr>
          <w:b/>
          <w:bCs/>
        </w:rPr>
        <w:t xml:space="preserve">Rupee Cost Averaging</w:t>
      </w:r>
      <w:r>
        <w:rPr/>
        <w:t xml:space="preserve">. Instead of a fixed monthly SIP, this strategy allows investors to remain safe in debt while "dripping" their profits into the equity market daily, effectively hedging against timing risk. This is a key driver for the increased retail interest observed in the 2025–26 period</w:t>
      </w:r>
    </w:p>
    <w:p>
      <w:pPr>
        <w:pBdr/>
        <w:pStyle w:val="Normal (Web)"/>
        <w:spacing/>
        <w:ind/>
        <w:rPr>
          <w:sz w:val="28"/>
          <w:szCs w:val="28"/>
        </w:rPr>
      </w:pPr>
      <w:r>
        <w:rPr>
          <w:sz w:val="28"/>
          <w:szCs w:val="28"/>
        </w:rPr>
        <w:t xml:space="preserve">                             </w:t>
      </w: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List Paragraph"/>
        <w:spacing w:after="0" w:line="240" w:lineRule="auto"/>
        <w:ind/>
        <w:rPr>
          <w:rFonts w:cs="Times New Roman"/>
          <w:color w:val="000000"/>
          <w:sz w:val="124"/>
        </w:rPr>
      </w:pPr>
      <w:r>
        <w:rPr>
          <w:rFonts w:cs="Times New Roman"/>
          <w:color w:val="000000"/>
          <w:sz w:val="124"/>
        </w:rPr>
        <w:t xml:space="preserve"> </w:t>
      </w:r>
    </w:p>
    <w:p>
      <w:pPr>
        <w:pBdr/>
        <w:pStyle w:val="List Paragraph"/>
        <w:spacing w:after="0" w:line="240" w:lineRule="auto"/>
        <w:ind/>
        <w:rPr>
          <w:rFonts w:cs="Times New Roman"/>
          <w:color w:val="000000"/>
          <w:sz w:val="124"/>
        </w:rPr>
      </w:pPr>
      <w:r>
        <w:rPr>
          <w:rFonts w:cs="Times New Roman"/>
          <w:color w:val="000000"/>
          <w:sz w:val="124"/>
        </w:rPr>
        <w:t xml:space="preserve"> </w:t>
      </w:r>
    </w:p>
    <w:p>
      <w:pPr>
        <w:pBdr/>
        <w:pStyle w:val="List Paragraph"/>
        <w:spacing w:after="0" w:line="240" w:lineRule="auto"/>
        <w:ind/>
        <w:rPr>
          <w:rFonts w:cs="Times New Roman"/>
          <w:color w:val="000000"/>
          <w:sz w:val="124"/>
        </w:rPr>
      </w:pPr>
    </w:p>
    <w:p>
      <w:pPr>
        <w:pBdr/>
        <w:pStyle w:val="List Paragraph"/>
        <w:spacing/>
        <w:ind/>
        <w:rPr/>
      </w:pPr>
      <w:r>
        <w:rPr/>
        <w:t xml:space="preserve">To complete </w:t>
      </w:r>
      <w:r>
        <w:rPr>
          <w:b/>
          <w:bCs/>
        </w:rPr>
        <w:t xml:space="preserve">Section 5</w:t>
      </w:r>
      <w:r>
        <w:rPr/>
        <w:t xml:space="preserve"> of your research, the </w:t>
      </w:r>
      <w:r>
        <w:rPr>
          <w:b/>
          <w:bCs/>
        </w:rPr>
        <w:t xml:space="preserve">Interpretation</w:t>
      </w:r>
      <w:r>
        <w:rPr/>
        <w:t xml:space="preserve"> must bridge the gap between raw numbers and "what they actually mean" for an investor and the bank. Since you have a large page allocation (Pages 19–25), you should divide your interpretation into specific thematic pillars.</w:t>
      </w:r>
    </w:p>
    <w:p>
      <w:pPr>
        <w:pBdr/>
        <w:pStyle w:val="List Paragraph"/>
        <w:spacing/>
        <w:ind/>
        <w:rPr/>
      </w:pPr>
      <w:r>
        <w:rPr/>
        <w:pict>
          <v:rect style="width:0;height:2" o:hralign="center" o:hrstd="t" o:hr="t" fillcolor="FFFFFF" stroked="f"/>
        </w:pict>
      </w:r>
    </w:p>
    <w:p>
      <w:pPr>
        <w:pBdr/>
        <w:pStyle w:val="List Paragraph"/>
        <w:spacing w:beforeAutospacing="true" w:afterAutospacing="true"/>
        <w:ind/>
        <w:rPr>
          <w:rFonts w:cs="Times New Roman"/>
          <w:b/>
          <w:bCs/>
        </w:rPr>
      </w:pPr>
      <w:r>
        <w:rPr>
          <w:rFonts w:cs="Times New Roman"/>
          <w:b/>
          <w:bCs/>
        </w:rPr>
        <w:t xml:space="preserve">5.6 Interpretation of Performance Ratios</w:t>
      </w:r>
    </w:p>
    <w:p>
      <w:pPr>
        <w:pBdr/>
        <w:pStyle w:val="List Paragraph"/>
        <w:spacing/>
        <w:ind/>
        <w:rPr/>
      </w:pPr>
      <w:r>
        <w:rPr/>
        <w:t xml:space="preserve">When we look at the </w:t>
      </w:r>
      <w:r>
        <w:rPr>
          <w:b/>
          <w:bCs/>
        </w:rPr>
        <w:t xml:space="preserve">Alpha</w:t>
      </w:r>
      <w:r>
        <w:rPr/>
        <w:t xml:space="preserve"> and </w:t>
      </w:r>
      <w:r>
        <w:rPr>
          <w:b/>
          <w:bCs/>
        </w:rPr>
        <w:t xml:space="preserve">Beta</w:t>
      </w:r>
      <w:r>
        <w:rPr/>
        <w:t xml:space="preserve"> of BOI Mutual Funds, several key insights emerge:</w:t>
      </w:r>
    </w:p>
    <w:p>
      <w:pPr>
        <w:pBdr/>
        <w:pStyle w:val="List Paragraph"/>
        <w:numPr>
          <w:ilvl w:val="0"/>
          <w:numId w:val="2"/>
        </w:numPr>
        <w:spacing/>
        <w:ind/>
        <w:rPr/>
      </w:pPr>
      <w:r>
        <w:rPr>
          <w:b/>
          <w:bCs/>
        </w:rPr>
        <w:t xml:space="preserve">Active Management Success:</w:t>
      </w:r>
      <w:r>
        <w:rPr/>
        <w:t xml:space="preserve"> The positive Alpha across equity schemes indicates that fund managers are successfully picking stocks that outperform the general market. This justifies the "Active Management" fee charged to investors.</w:t>
      </w:r>
    </w:p>
    <w:p>
      <w:pPr>
        <w:pBdr/>
        <w:pStyle w:val="List Paragraph"/>
        <w:numPr>
          <w:ilvl w:val="0"/>
          <w:numId w:val="2"/>
        </w:numPr>
        <w:spacing/>
        <w:ind/>
        <w:rPr/>
      </w:pPr>
      <w:r>
        <w:rPr>
          <w:b/>
          <w:bCs/>
        </w:rPr>
        <w:t xml:space="preserve">Volatility Control:</w:t>
      </w:r>
      <w:r>
        <w:rPr/>
        <w:t xml:space="preserve"> A </w:t>
      </w:r>
      <w:r>
        <w:rPr>
          <w:b/>
          <w:bCs/>
        </w:rPr>
        <w:t xml:space="preserve">Beta</w:t>
      </w:r>
      <w:r>
        <w:rPr/>
        <w:t xml:space="preserve"> near 0.90 for their Bluechip funds suggests that while the market fluctuates, BOI’s large-cap offerings are slightly less volatile than the Nifty 50, providing a "cushion" for conservative bank clients.</w:t>
      </w: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List Paragraph"/>
        <w:spacing w:after="0" w:line="240" w:lineRule="auto"/>
        <w:ind/>
        <w:rPr>
          <w:rFonts w:cs="Times New Roman"/>
          <w:color w:val="000000"/>
          <w:sz w:val="124"/>
        </w:rPr>
      </w:pPr>
      <w:r>
        <w:rPr>
          <w:rFonts w:cs="Times New Roman"/>
          <w:color w:val="000000"/>
          <w:sz w:val="124"/>
        </w:rPr>
        <w:t xml:space="preserve"> </w:t>
      </w:r>
    </w:p>
    <w:p>
      <w:pPr>
        <w:pBdr/>
        <w:pStyle w:val="List Paragraph"/>
        <w:spacing w:after="0" w:line="240" w:lineRule="auto"/>
        <w:ind/>
        <w:rPr>
          <w:rFonts w:cs="Times New Roman"/>
          <w:color w:val="000000"/>
          <w:sz w:val="124"/>
        </w:rPr>
      </w:pPr>
      <w:r>
        <w:rPr>
          <w:rFonts w:cs="Times New Roman"/>
          <w:color w:val="000000"/>
          <w:sz w:val="124"/>
        </w:rPr>
        <w:t xml:space="preserve"> </w:t>
      </w:r>
    </w:p>
    <w:p>
      <w:pPr>
        <w:pBdr/>
        <w:pStyle w:val="List Paragraph"/>
        <w:spacing w:after="0" w:line="240" w:lineRule="auto"/>
        <w:ind/>
        <w:rPr>
          <w:rFonts w:cs="Times New Roman"/>
          <w:color w:val="000000"/>
          <w:sz w:val="124"/>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jc w:val="center"/>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128"/>
          <w:szCs w:val="28"/>
        </w:rPr>
      </w:pPr>
    </w:p>
    <w:p>
      <w:pPr>
        <w:pBdr/>
        <w:pStyle w:val="Normal (Web)"/>
        <w:spacing/>
        <w:ind/>
        <w:rPr>
          <w:sz w:val="128"/>
          <w:szCs w:val="28"/>
        </w:rPr>
      </w:pPr>
      <w:r>
        <w:rPr>
          <w:sz w:val="128"/>
          <w:szCs w:val="28"/>
        </w:rPr>
        <w:t xml:space="preserve">        LIMITATION</w:t>
      </w: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r>
        <w:rPr>
          <w:sz w:val="28"/>
          <w:szCs w:val="28"/>
        </w:rPr>
        <w:t xml:space="preserve">                              </w:t>
      </w: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List Paragraph"/>
        <w:spacing w:beforeAutospacing="true" w:afterAutospacing="true"/>
        <w:ind/>
        <w:rPr>
          <w:rFonts w:cs="Times New Roman"/>
          <w:b/>
          <w:bCs/>
        </w:rPr>
      </w:pPr>
      <w:r>
        <w:rPr>
          <w:rFonts w:cs="Times New Roman"/>
          <w:b/>
          <w:bCs/>
        </w:rPr>
        <w:t xml:space="preserve">6. LIMITATION</w:t>
      </w:r>
    </w:p>
    <w:p>
      <w:pPr>
        <w:pBdr/>
        <w:pStyle w:val="List Paragraph"/>
        <w:spacing/>
        <w:ind/>
        <w:rPr/>
      </w:pPr>
      <w:r>
        <w:rPr/>
        <w:t xml:space="preserve">Acknowledging the limitations of a study is a hallmark of rigorous academic research. For this study on </w:t>
      </w:r>
      <w:r>
        <w:rPr>
          <w:b/>
          <w:bCs/>
        </w:rPr>
        <w:t xml:space="preserve">Bank of India (BOI) Mutual Funds</w:t>
      </w:r>
      <w:r>
        <w:rPr/>
        <w:t xml:space="preserve">, several internal and external constraints must be considered when evaluating the findings and interpretations.</w:t>
      </w:r>
    </w:p>
    <w:p>
      <w:pPr>
        <w:pBdr/>
        <w:pStyle w:val="List Paragraph"/>
        <w:spacing/>
        <w:ind/>
        <w:rPr/>
      </w:pPr>
      <w:r>
        <w:rPr/>
        <w:pict>
          <v:rect style="width:0;height:2" o:hralign="center" o:hrstd="t" o:hr="t" fillcolor="FFFFFF" stroked="f"/>
        </w:pict>
      </w:r>
    </w:p>
    <w:p>
      <w:pPr>
        <w:pBdr/>
        <w:pStyle w:val="Normal (Web)"/>
        <w:spacing w:beforeAutospacing="true" w:afterAutospacing="true"/>
        <w:ind/>
        <w:rPr>
          <w:rFonts w:cs="Times New Roman"/>
        </w:rPr>
      </w:pPr>
      <w:r>
        <w:rPr>
          <w:rFonts w:cs="Times New Roman"/>
        </w:rPr>
        <w:t xml:space="preserve">6.1 Data Constraints</w:t>
      </w:r>
    </w:p>
    <w:p>
      <w:pPr>
        <w:pBdr/>
        <w:pStyle w:val="List Paragraph"/>
        <w:numPr>
          <w:ilvl w:val="0"/>
          <w:numId w:val="0"/>
        </w:numPr>
        <w:spacing/>
        <w:ind/>
        <w:rPr/>
      </w:pPr>
      <w:r>
        <w:rPr>
          <w:b/>
          <w:bCs/>
        </w:rPr>
        <w:t xml:space="preserve">Historical Performance Bias:</w:t>
      </w:r>
      <w:r>
        <w:rPr/>
        <w:t xml:space="preserve"> The study relies heavily on past performance data (2021–2026). In the financial world, "past performance is not a guarantee of future results." The high growth observed in 2025 might be influenced by specific market cycles that may not repeat.</w:t>
      </w:r>
    </w:p>
    <w:p>
      <w:pPr>
        <w:pBdr/>
        <w:pStyle w:val="List Paragraph"/>
        <w:numPr>
          <w:ilvl w:val="0"/>
          <w:numId w:val="0"/>
        </w:numPr>
        <w:spacing/>
        <w:ind/>
        <w:rPr/>
      </w:pPr>
      <w:r>
        <w:rPr>
          <w:b/>
          <w:bCs/>
        </w:rPr>
        <w:t xml:space="preserve">Reliance on Published Sources:</w:t>
      </w:r>
      <w:r>
        <w:rPr/>
        <w:t xml:space="preserve"> Since the research is primarily based on secondary data from AMC fact sheets, AMFI reports, and annual statements, the study is limited by the accuracy and transparency of these published documents.</w:t>
      </w:r>
    </w:p>
    <w:p>
      <w:pPr>
        <w:pBdr/>
        <w:pStyle w:val="List Paragraph"/>
        <w:numPr>
          <w:ilvl w:val="0"/>
          <w:numId w:val="0"/>
        </w:numPr>
        <w:spacing/>
        <w:ind/>
        <w:rPr/>
      </w:pPr>
      <w:r>
        <w:rPr>
          <w:b/>
          <w:bCs/>
        </w:rPr>
        <w:t xml:space="preserve">Limited Access to Internal Strategies:</w:t>
      </w:r>
      <w:r>
        <w:rPr/>
        <w:t xml:space="preserve"> While the study analyzes portfolio outcomes, the specific internal decision-making processes, proprietary algorithms, and "behind-the-scenes" risk management strategies of BOI fund managers remain confidential and inaccessible for analysis.</w:t>
      </w:r>
    </w:p>
    <w:p>
      <w:pPr>
        <w:pBdr/>
        <w:pStyle w:val="Normal (Web)"/>
        <w:spacing/>
        <w:ind/>
        <w:rPr>
          <w:sz w:val="28"/>
          <w:szCs w:val="28"/>
        </w:rPr>
      </w:pPr>
    </w:p>
    <w:p>
      <w:pPr>
        <w:pBdr/>
        <w:pStyle w:val="Normal (Web)"/>
        <w:spacing/>
        <w:ind/>
        <w:rPr>
          <w:sz w:val="28"/>
          <w:szCs w:val="28"/>
        </w:rPr>
      </w:pPr>
    </w:p>
    <w:p>
      <w:pPr>
        <w:pBdr/>
        <w:pStyle w:val="List Paragraph"/>
        <w:spacing w:after="0" w:line="240" w:lineRule="auto"/>
        <w:ind/>
        <w:rPr>
          <w:rFonts w:cs="Times New Roman"/>
          <w:color w:val="000000"/>
          <w:sz w:val="124"/>
        </w:rPr>
      </w:pPr>
      <w:r>
        <w:rPr>
          <w:rFonts w:cs="Times New Roman"/>
          <w:color w:val="000000"/>
          <w:sz w:val="124"/>
        </w:rPr>
        <w:t xml:space="preserve"> </w:t>
      </w:r>
    </w:p>
    <w:p>
      <w:pPr>
        <w:pBdr/>
        <w:pStyle w:val="List Paragraph"/>
        <w:spacing w:after="0" w:line="240" w:lineRule="auto"/>
        <w:ind/>
        <w:rPr>
          <w:rFonts w:cs="Times New Roman"/>
          <w:color w:val="000000"/>
          <w:sz w:val="124"/>
        </w:rPr>
      </w:pPr>
      <w:r>
        <w:rPr>
          <w:rFonts w:cs="Times New Roman"/>
          <w:color w:val="000000"/>
          <w:sz w:val="124"/>
        </w:rPr>
        <w:t xml:space="preserve"> </w:t>
      </w:r>
    </w:p>
    <w:p>
      <w:pPr>
        <w:pBdr/>
        <w:pStyle w:val="List Paragraph"/>
        <w:spacing w:after="0" w:line="240" w:lineRule="auto"/>
        <w:ind/>
        <w:rPr>
          <w:rFonts w:cs="Times New Roman"/>
          <w:color w:val="000000"/>
          <w:sz w:val="124"/>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beforeAutospacing="true" w:afterAutospacing="true"/>
        <w:ind/>
        <w:rPr>
          <w:rFonts w:cs="Times New Roman"/>
        </w:rPr>
      </w:pPr>
      <w:r>
        <w:rPr>
          <w:rFonts w:cs="Times New Roman"/>
        </w:rPr>
        <w:t xml:space="preserve">6.2 Temporal and Market Limitations</w:t>
      </w:r>
    </w:p>
    <w:p>
      <w:pPr>
        <w:pBdr/>
        <w:pStyle w:val="List Paragraph"/>
        <w:numPr>
          <w:ilvl w:val="0"/>
          <w:numId w:val="0"/>
        </w:numPr>
        <w:spacing/>
        <w:ind/>
        <w:rPr/>
      </w:pPr>
      <w:r>
        <w:rPr>
          <w:b/>
          <w:bCs/>
        </w:rPr>
        <w:t xml:space="preserve">Economic Volatility:</w:t>
      </w:r>
      <w:r>
        <w:rPr/>
        <w:t xml:space="preserve"> The study period (2021–2026) includes significant global events, including shifts in interest rate cycles by the RBI and geopolitical tensions. These external "shocks" can skew data, making it difficult to isolate the fund manager's skill from general market movements.</w:t>
      </w:r>
    </w:p>
    <w:p>
      <w:pPr>
        <w:pBdr/>
        <w:pStyle w:val="List Paragraph"/>
        <w:numPr>
          <w:ilvl w:val="0"/>
          <w:numId w:val="0"/>
        </w:numPr>
        <w:spacing/>
        <w:ind/>
        <w:rPr/>
      </w:pPr>
      <w:r>
        <w:rPr>
          <w:b/>
          <w:bCs/>
        </w:rPr>
        <w:t xml:space="preserve">Inflationary Adjustments:</w:t>
      </w:r>
      <w:r>
        <w:rPr/>
        <w:t xml:space="preserve"> The returns discussed are nominal. This study does not fully account for the impact of inflation on the "real" purchasing power of the returns generated for the investor.</w:t>
      </w:r>
    </w:p>
    <w:p>
      <w:pPr>
        <w:pBdr/>
        <w:pStyle w:val="Normal (Web)"/>
        <w:spacing w:beforeAutospacing="true" w:afterAutospacing="true"/>
        <w:ind/>
        <w:rPr>
          <w:rFonts w:cs="Times New Roman"/>
        </w:rPr>
      </w:pPr>
      <w:r>
        <w:rPr>
          <w:rFonts w:cs="Times New Roman"/>
        </w:rPr>
        <w:t xml:space="preserve">6.3 Scope and Sample Limitations</w:t>
      </w:r>
    </w:p>
    <w:p>
      <w:pPr>
        <w:pBdr/>
        <w:pStyle w:val="List Paragraph"/>
        <w:numPr>
          <w:ilvl w:val="0"/>
          <w:numId w:val="0"/>
        </w:numPr>
        <w:spacing/>
        <w:ind/>
        <w:rPr/>
      </w:pPr>
      <w:r>
        <w:rPr>
          <w:b/>
          <w:bCs/>
        </w:rPr>
        <w:t xml:space="preserve">Scheme Selection:</w:t>
      </w:r>
      <w:r>
        <w:rPr/>
        <w:t xml:space="preserve"> Out of over 25 schemes offered by BOI Mutual Fund, this study focuses only on 5–6 flagship schemes. The performance of smaller or more niche thematic funds might differ significantly from the results presented here.</w:t>
      </w:r>
    </w:p>
    <w:p>
      <w:pPr>
        <w:pBdr/>
        <w:pStyle w:val="List Paragraph"/>
        <w:numPr>
          <w:ilvl w:val="0"/>
          <w:numId w:val="0"/>
        </w:numPr>
        <w:spacing/>
        <w:ind/>
        <w:rPr/>
      </w:pPr>
      <w:r>
        <w:rPr>
          <w:b/>
          <w:bCs/>
        </w:rPr>
        <w:t xml:space="preserve">Comparative Constraints:</w:t>
      </w:r>
      <w:r>
        <w:rPr/>
        <w:t xml:space="preserve"> While comparisons are made with benchmarks and peers, "Apples-to-Apples" comparison is difficult because every AMC has a different investment philosophy, risk mandate, and expense structure.</w:t>
      </w:r>
    </w:p>
    <w:p>
      <w:pPr>
        <w:pBdr/>
        <w:pStyle w:val="List Paragraph"/>
        <w:numPr>
          <w:ilvl w:val="0"/>
          <w:numId w:val="0"/>
        </w:numPr>
        <w:spacing/>
        <w:ind/>
        <w:rPr/>
      </w:pPr>
      <w:r>
        <w:rPr>
          <w:b/>
          <w:bCs/>
        </w:rPr>
        <w:t xml:space="preserve">Geographical Generalization:</w:t>
      </w:r>
      <w:r>
        <w:rPr/>
        <w:t xml:space="preserve"> While Bank of India has a pan-India presence, investor behavior and folio growth might vary drastically between a rural branch in Bihar and a corporate branch in Mumbai. This study treats the data as a national aggregate.</w:t>
      </w: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r>
        <w:rPr>
          <w:sz w:val="28"/>
          <w:szCs w:val="28"/>
        </w:rPr>
        <w:t xml:space="preserve">                             </w:t>
      </w:r>
    </w:p>
    <w:p>
      <w:pPr>
        <w:pBdr/>
        <w:pStyle w:val="List Paragraph"/>
        <w:spacing w:after="0" w:line="240" w:lineRule="auto"/>
        <w:ind/>
        <w:rPr>
          <w:rFonts w:cs="Times New Roman"/>
          <w:color w:val="000000"/>
          <w:sz w:val="124"/>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beforeAutospacing="true" w:afterAutospacing="true"/>
        <w:ind/>
        <w:rPr>
          <w:rFonts w:cs="Times New Roman"/>
        </w:rPr>
      </w:pPr>
      <w:r>
        <w:rPr>
          <w:rFonts w:cs="Times New Roman"/>
        </w:rPr>
        <w:t xml:space="preserve">6.4 Behavioral Limitations</w:t>
      </w:r>
    </w:p>
    <w:p>
      <w:pPr>
        <w:pBdr/>
        <w:pStyle w:val="List Paragraph"/>
        <w:numPr>
          <w:ilvl w:val="0"/>
          <w:numId w:val="0"/>
        </w:numPr>
        <w:spacing/>
        <w:ind/>
        <w:rPr/>
      </w:pPr>
      <w:r>
        <w:rPr>
          <w:b/>
          <w:bCs/>
        </w:rPr>
        <w:t xml:space="preserve">Investor Psychology:</w:t>
      </w:r>
      <w:r>
        <w:rPr/>
        <w:t xml:space="preserve"> The data shows </w:t>
      </w:r>
      <w:r>
        <w:rPr>
          <w:i/>
          <w:iCs/>
        </w:rPr>
        <w:t xml:space="preserve">what</w:t>
      </w:r>
      <w:r>
        <w:rPr/>
        <w:t xml:space="preserve"> investors did (e.g., increased SIPs), but not necessarily </w:t>
      </w:r>
      <w:r>
        <w:rPr>
          <w:i/>
          <w:iCs/>
        </w:rPr>
        <w:t xml:space="preserve">why</w:t>
      </w:r>
      <w:r>
        <w:rPr/>
        <w:t xml:space="preserve">. Quantitative data cannot fully capture the emotional or psychological reasons behind investor entry and exit during market crashes.</w:t>
      </w:r>
    </w:p>
    <w:p>
      <w:pPr>
        <w:pBdr/>
        <w:pStyle w:val="List Paragraph"/>
        <w:numPr>
          <w:ilvl w:val="0"/>
          <w:numId w:val="0"/>
        </w:numPr>
        <w:spacing/>
        <w:ind/>
        <w:rPr/>
      </w:pPr>
      <w:r>
        <w:rPr>
          <w:b/>
          <w:bCs/>
        </w:rPr>
        <w:t xml:space="preserve">Cross-Selling Bias:</w:t>
      </w:r>
      <w:r>
        <w:rPr/>
        <w:t xml:space="preserve"> A significant portion of BOI’s AUM growth may be due to "push-</w:t>
      </w:r>
      <w:r>
        <w:rPr/>
        <w:t xml:space="preserve">marketing" by bank staff rather than "pull-demand" from investors. Distinguishing between organic interest and bank-led sales pressure is beyond the scope of this quantitative study.</w:t>
      </w:r>
    </w:p>
    <w:p>
      <w:pPr>
        <w:pBdr/>
        <w:pStyle w:val="Normal (Web)"/>
        <w:spacing/>
        <w:ind/>
        <w:rPr>
          <w:sz w:val="28"/>
          <w:szCs w:val="28"/>
        </w:rPr>
      </w:pPr>
    </w:p>
    <w:p>
      <w:pPr>
        <w:pBdr/>
        <w:pStyle w:val="List Paragraph"/>
        <w:spacing w:after="0" w:line="240" w:lineRule="auto"/>
        <w:ind/>
        <w:rPr>
          <w:rFonts w:cs="Times New Roman"/>
          <w:color w:val="000000"/>
          <w:sz w:val="124"/>
        </w:rPr>
      </w:pPr>
      <w:r>
        <w:rPr>
          <w:rFonts w:cs="Times New Roman"/>
          <w:color w:val="000000"/>
          <w:sz w:val="124"/>
        </w:rPr>
        <w:t xml:space="preserve"> </w:t>
      </w:r>
    </w:p>
    <w:p>
      <w:pPr>
        <w:pBdr/>
        <w:pStyle w:val="List Paragraph"/>
        <w:spacing w:after="0" w:line="240" w:lineRule="auto"/>
        <w:ind/>
        <w:rPr>
          <w:rFonts w:cs="Times New Roman"/>
          <w:color w:val="000000"/>
          <w:sz w:val="124"/>
        </w:rPr>
      </w:pPr>
      <w:r>
        <w:rPr>
          <w:rFonts w:cs="Times New Roman"/>
          <w:color w:val="000000"/>
          <w:sz w:val="124"/>
        </w:rPr>
        <w:t xml:space="preserve"> </w:t>
      </w:r>
    </w:p>
    <w:p>
      <w:pPr>
        <w:pBdr/>
        <w:pStyle w:val="List Paragraph"/>
        <w:spacing w:after="0" w:line="240" w:lineRule="auto"/>
        <w:ind/>
        <w:rPr>
          <w:rFonts w:cs="Times New Roman"/>
          <w:color w:val="000000"/>
          <w:sz w:val="124"/>
        </w:rPr>
      </w:pPr>
      <w:r>
        <w:rPr>
          <w:rFonts w:cs="Times New Roman"/>
          <w:color w:val="000000"/>
          <w:sz w:val="124"/>
        </w:rPr>
        <w:t xml:space="preserve"> </w:t>
      </w:r>
    </w:p>
    <w:p>
      <w:pPr>
        <w:pBdr/>
        <w:pStyle w:val="List Paragraph"/>
        <w:spacing w:after="0" w:line="240" w:lineRule="auto"/>
        <w:ind/>
        <w:rPr>
          <w:rFonts w:cs="Times New Roman"/>
          <w:color w:val="000000"/>
          <w:sz w:val="124"/>
        </w:rPr>
      </w:pPr>
      <w:r>
        <w:rPr>
          <w:rFonts w:cs="Times New Roman"/>
          <w:color w:val="000000"/>
          <w:sz w:val="124"/>
        </w:rPr>
        <w:t xml:space="preserve"> </w:t>
      </w:r>
    </w:p>
    <w:p>
      <w:pPr>
        <w:pBdr/>
        <w:pStyle w:val="List Paragraph"/>
        <w:spacing w:after="0" w:line="240" w:lineRule="auto"/>
        <w:ind/>
        <w:rPr>
          <w:rFonts w:cs="Times New Roman"/>
          <w:color w:val="000000"/>
          <w:sz w:val="124"/>
        </w:rPr>
      </w:pPr>
    </w:p>
    <w:p>
      <w:pPr>
        <w:pBdr/>
        <w:pStyle w:val="List Paragraph"/>
        <w:spacing w:after="0" w:line="240" w:lineRule="auto"/>
        <w:ind/>
        <w:rPr>
          <w:rFonts w:cs="Times New Roman"/>
          <w:color w:val="000000"/>
          <w:sz w:val="124"/>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List Paragraph"/>
        <w:spacing w:beforeAutospacing="true" w:afterAutospacing="true"/>
        <w:ind/>
        <w:rPr>
          <w:rFonts w:cs="Times New Roman"/>
          <w:b/>
          <w:bCs/>
        </w:rPr>
      </w:pPr>
      <w:r>
        <w:rPr>
          <w:rFonts w:cs="Times New Roman"/>
          <w:b/>
          <w:bCs/>
        </w:rPr>
        <w:t xml:space="preserve">6.5 Competitive and Operational Limitations (Expanded)</w:t>
      </w:r>
    </w:p>
    <w:p>
      <w:pPr>
        <w:pBdr/>
        <w:pStyle w:val="List Paragraph"/>
        <w:numPr>
          <w:ilvl w:val="0"/>
          <w:numId w:val="6"/>
        </w:numPr>
        <w:spacing/>
        <w:ind/>
        <w:rPr/>
      </w:pPr>
      <w:r>
        <w:rPr>
          <w:b/>
          <w:bCs/>
        </w:rPr>
        <w:t xml:space="preserve">Technological Lag:</w:t>
      </w:r>
      <w:r>
        <w:rPr/>
        <w:t xml:space="preserve"> While BOI has upgraded its digital infrastructure, it still faces stiff competition from "FinTech-first" AMCs and private giants. The study is limited in assessing how much AUM might be lost to smoother, more intuitive user interfaces (UI/UX) of competitors.</w:t>
      </w:r>
    </w:p>
    <w:p>
      <w:pPr>
        <w:pBdr/>
        <w:pStyle w:val="List Paragraph"/>
        <w:numPr>
          <w:ilvl w:val="0"/>
          <w:numId w:val="6"/>
        </w:numPr>
        <w:spacing/>
        <w:ind/>
        <w:rPr/>
      </w:pPr>
      <w:r>
        <w:rPr>
          <w:b/>
          <w:bCs/>
        </w:rPr>
        <w:t xml:space="preserve">Personnel Constraints:</w:t>
      </w:r>
      <w:r>
        <w:rPr/>
        <w:t xml:space="preserve"> Unlike private AMCs where fund managers may have high-</w:t>
      </w:r>
      <w:r>
        <w:rPr/>
        <w:t xml:space="preserve">performance incentives, PSB-sponsored AMCs operate under different HR and compensation structures. This study cannot quantify the "Key Person Risk" or the impact of potential talent migration to the private sector.</w:t>
      </w:r>
    </w:p>
    <w:p>
      <w:pPr>
        <w:pBdr/>
        <w:pStyle w:val="List Paragraph"/>
        <w:numPr>
          <w:ilvl w:val="0"/>
          <w:numId w:val="6"/>
        </w:numPr>
        <w:spacing/>
        <w:ind/>
        <w:rPr/>
      </w:pPr>
      <w:r>
        <w:rPr>
          <w:b/>
          <w:bCs/>
        </w:rPr>
        <w:t xml:space="preserve">Brand Perception:</w:t>
      </w:r>
      <w:r>
        <w:rPr/>
        <w:t xml:space="preserve"> There is a lingering perception that PSBs are "slow" or "conservative." The study is limited in measuring how much this "legacy perception" hinders the recruitment of younger, Gen-Z investors who prefer trendy or aggressive investment brands.</w:t>
      </w:r>
    </w:p>
    <w:p>
      <w:pPr>
        <w:pBdr/>
        <w:pStyle w:val="List Paragraph"/>
        <w:spacing w:after="0" w:line="240" w:lineRule="auto"/>
        <w:ind/>
        <w:rPr>
          <w:rFonts w:cs="Times New Roman"/>
          <w:color w:val="000000"/>
          <w:sz w:val="124"/>
        </w:rPr>
      </w:pPr>
      <w:r>
        <w:rPr>
          <w:rFonts w:cs="Times New Roman"/>
          <w:color w:val="000000"/>
          <w:sz w:val="124"/>
        </w:rPr>
        <w:t xml:space="preserve"> </w:t>
      </w:r>
    </w:p>
    <w:p>
      <w:pPr>
        <w:pBdr/>
        <w:pStyle w:val="List Paragraph"/>
        <w:spacing w:after="0" w:line="240" w:lineRule="auto"/>
        <w:ind/>
        <w:rPr>
          <w:rFonts w:cs="Times New Roman"/>
          <w:color w:val="000000"/>
          <w:sz w:val="124"/>
        </w:rPr>
      </w:pPr>
      <w:r>
        <w:rPr>
          <w:rFonts w:cs="Times New Roman"/>
          <w:color w:val="000000"/>
          <w:sz w:val="124"/>
        </w:rPr>
        <w:t xml:space="preserve"> </w:t>
      </w:r>
    </w:p>
    <w:p>
      <w:pPr>
        <w:pBdr/>
        <w:pStyle w:val="List Paragraph"/>
        <w:spacing w:after="0" w:line="240" w:lineRule="auto"/>
        <w:ind/>
        <w:rPr>
          <w:rFonts w:cs="Times New Roman"/>
          <w:color w:val="000000"/>
          <w:sz w:val="124"/>
        </w:rPr>
      </w:pPr>
      <w:r>
        <w:rPr>
          <w:rFonts w:cs="Times New Roman"/>
          <w:color w:val="000000"/>
          <w:sz w:val="124"/>
        </w:rPr>
        <w:t xml:space="preserve"> </w:t>
      </w:r>
    </w:p>
    <w:p>
      <w:pPr>
        <w:pBdr/>
        <w:pStyle w:val="List Paragraph"/>
        <w:spacing w:after="0" w:line="240" w:lineRule="auto"/>
        <w:ind/>
        <w:rPr>
          <w:rFonts w:cs="Times New Roman"/>
          <w:color w:val="000000"/>
          <w:sz w:val="124"/>
        </w:rPr>
      </w:pPr>
      <w:r>
        <w:rPr>
          <w:rFonts w:cs="Times New Roman"/>
          <w:color w:val="000000"/>
          <w:sz w:val="124"/>
        </w:rPr>
        <w:t xml:space="preserve"> </w:t>
      </w:r>
    </w:p>
    <w:p>
      <w:pPr>
        <w:pBdr/>
        <w:pStyle w:val="List Paragraph"/>
        <w:spacing w:after="0" w:line="240" w:lineRule="auto"/>
        <w:ind/>
        <w:rPr>
          <w:rFonts w:cs="Times New Roman"/>
          <w:color w:val="000000"/>
          <w:sz w:val="124"/>
        </w:rPr>
      </w:pPr>
    </w:p>
    <w:p>
      <w:pPr>
        <w:pBdr/>
        <w:pStyle w:val="List Paragraph"/>
        <w:spacing w:after="0" w:line="240" w:lineRule="auto"/>
        <w:ind/>
        <w:rPr>
          <w:rFonts w:cs="Times New Roman"/>
          <w:color w:val="000000"/>
          <w:sz w:val="124"/>
        </w:rPr>
      </w:pPr>
    </w:p>
    <w:p>
      <w:pPr>
        <w:pBdr/>
        <w:pStyle w:val="Normal (Web)"/>
        <w:spacing/>
        <w:ind/>
        <w:rPr>
          <w:sz w:val="28"/>
          <w:szCs w:val="28"/>
        </w:rPr>
      </w:pPr>
    </w:p>
    <w:p>
      <w:pPr>
        <w:pBdr/>
        <w:pStyle w:val="List Paragraph"/>
        <w:numPr>
          <w:ilvl w:val="0"/>
          <w:numId w:val="0"/>
        </w:numPr>
        <w:spacing/>
        <w:ind/>
        <w:rPr/>
      </w:pPr>
      <w:r>
        <w:rPr/>
        <w:t xml:space="preserve">To fill the remaining space in your </w:t>
      </w:r>
      <w:r>
        <w:rPr>
          <w:b/>
          <w:bCs/>
        </w:rPr>
        <w:t xml:space="preserve">Limitation</w:t>
      </w:r>
      <w:r>
        <w:rPr/>
        <w:t xml:space="preserve"> section (specifically moving into </w:t>
      </w:r>
      <w:r>
        <w:rPr>
          <w:b/>
          <w:bCs/>
        </w:rPr>
        <w:t xml:space="preserve">Section 6.6</w:t>
      </w:r>
      <w:r>
        <w:rPr/>
        <w:t xml:space="preserve"> and beyond to reach Page 32), you should focus on the </w:t>
      </w:r>
      <w:r>
        <w:rPr>
          <w:b/>
          <w:bCs/>
        </w:rPr>
        <w:t xml:space="preserve">Research-Specific Constraints</w:t>
      </w:r>
      <w:r>
        <w:rPr/>
        <w:t xml:space="preserve"> and the </w:t>
      </w:r>
      <w:r>
        <w:rPr>
          <w:b/>
          <w:bCs/>
        </w:rPr>
        <w:t xml:space="preserve">Gap between Theory and Practice</w:t>
      </w:r>
      <w:r>
        <w:rPr/>
        <w:t xml:space="preserve">.</w:t>
      </w:r>
    </w:p>
    <w:p>
      <w:pPr>
        <w:pBdr/>
        <w:pStyle w:val="List Paragraph"/>
        <w:numPr>
          <w:ilvl w:val="0"/>
          <w:numId w:val="23"/>
        </w:numPr>
        <w:spacing/>
        <w:ind/>
        <w:rPr/>
      </w:pPr>
      <w:r>
        <w:rPr/>
        <w:pict>
          <v:rect style="width:0;height:2" o:hralign="center" o:hrstd="t" o:hr="t" fillcolor="FFFFFF" stroked="f"/>
        </w:pict>
      </w:r>
    </w:p>
    <w:p>
      <w:pPr>
        <w:pBdr/>
        <w:pStyle w:val="List Paragraph"/>
        <w:numPr>
          <w:ilvl w:val="0"/>
          <w:numId w:val="0"/>
        </w:numPr>
        <w:spacing w:beforeAutospacing="true" w:afterAutospacing="true"/>
        <w:ind/>
        <w:rPr>
          <w:rFonts w:cs="Times New Roman"/>
          <w:b/>
          <w:bCs/>
        </w:rPr>
      </w:pPr>
      <w:r>
        <w:rPr>
          <w:rFonts w:cs="Times New Roman"/>
          <w:b/>
          <w:bCs/>
        </w:rPr>
        <w:t xml:space="preserve">6.6 Limitations of Geographical Generalization</w:t>
      </w:r>
    </w:p>
    <w:p>
      <w:pPr>
        <w:pBdr/>
        <w:pStyle w:val="List Paragraph"/>
        <w:numPr>
          <w:ilvl w:val="0"/>
          <w:numId w:val="0"/>
        </w:numPr>
        <w:spacing/>
        <w:ind/>
        <w:rPr/>
      </w:pPr>
      <w:r>
        <w:rPr/>
        <w:t xml:space="preserve">While Bank of India (BOI) is a nationalized bank with a presence in every state, this study faces significant hurdles in generalizing investor behavior across different demographics.</w:t>
      </w:r>
    </w:p>
    <w:p>
      <w:pPr>
        <w:pBdr/>
        <w:pStyle w:val="List Paragraph"/>
        <w:numPr>
          <w:ilvl w:val="0"/>
          <w:numId w:val="0"/>
        </w:numPr>
        <w:spacing/>
        <w:ind/>
        <w:rPr/>
      </w:pPr>
      <w:r>
        <w:rPr>
          <w:b/>
          <w:bCs/>
        </w:rPr>
        <w:t xml:space="preserve">Urban vs. Rural Divergence:</w:t>
      </w:r>
      <w:r>
        <w:rPr/>
        <w:t xml:space="preserve"> The data analyzed is largely aggregate (National level). However, the investment patterns of a retail investor in a metropolitan hub like Mumbai may differ vastly from a first-time investor in a rural branch in Vidarbha.</w:t>
      </w:r>
    </w:p>
    <w:p>
      <w:pPr>
        <w:pBdr/>
        <w:pStyle w:val="List Paragraph"/>
        <w:numPr>
          <w:ilvl w:val="0"/>
          <w:numId w:val="0"/>
        </w:numPr>
        <w:spacing/>
        <w:ind/>
        <w:rPr/>
      </w:pPr>
      <w:r>
        <w:rPr>
          <w:b/>
          <w:bCs/>
        </w:rPr>
        <w:t xml:space="preserve">Language and Literacy Barriers:</w:t>
      </w:r>
      <w:r>
        <w:rPr/>
        <w:t xml:space="preserve"> The study assumes a uniform level of understanding of the "Product Disclosure Documents." In reality, the "Information Asymmetry" (the gap between what the fund manager knows and what the rural investor understands) is a major limitation that quantitative data cannot fully capture.</w:t>
      </w:r>
    </w:p>
    <w:p>
      <w:pPr>
        <w:pBdr/>
        <w:pStyle w:val="List Paragraph"/>
        <w:numPr>
          <w:ilvl w:val="0"/>
          <w:numId w:val="0"/>
        </w:numPr>
        <w:spacing/>
        <w:ind/>
        <w:rPr/>
      </w:pPr>
      <w:r>
        <w:rPr>
          <w:b/>
          <w:bCs/>
        </w:rPr>
        <w:t xml:space="preserve">Digital Divide:</w:t>
      </w:r>
      <w:r>
        <w:rPr/>
        <w:t xml:space="preserve"> While the study highlights digital growth, it is limited in its ability to account for the "Physical-only" investors who still rely entirely on paper-based transactions at local branches, which may be slower to reflect in real-time AUM data</w:t>
      </w:r>
    </w:p>
    <w:p>
      <w:pPr>
        <w:pBdr/>
        <w:pStyle w:val="Normal (Web)"/>
        <w:spacing w:before="0" w:after="0" w:line="240" w:lineRule="auto"/>
        <w:ind/>
        <w:rPr>
          <w:rFonts w:cs="Times New Roman"/>
          <w:b w:val="0"/>
          <w:color w:val="000000"/>
          <w:sz w:val="124"/>
        </w:rPr>
      </w:pPr>
      <w:r>
        <w:rPr>
          <w:rFonts w:cs="Times New Roman"/>
          <w:b w:val="0"/>
          <w:color w:val="000000"/>
          <w:sz w:val="124"/>
        </w:rPr>
        <w:t xml:space="preserve"> </w:t>
      </w:r>
    </w:p>
    <w:p>
      <w:pPr>
        <w:pBdr/>
        <w:pStyle w:val="Normal (Web)"/>
        <w:spacing w:before="0" w:after="0" w:line="240" w:lineRule="auto"/>
        <w:ind/>
        <w:rPr>
          <w:rFonts w:cs="Times New Roman"/>
          <w:b w:val="0"/>
          <w:color w:val="000000"/>
          <w:sz w:val="124"/>
        </w:rPr>
      </w:pPr>
      <w:r>
        <w:rPr>
          <w:rFonts w:cs="Times New Roman"/>
          <w:b w:val="0"/>
          <w:color w:val="000000"/>
          <w:sz w:val="124"/>
        </w:rPr>
        <w:t xml:space="preserve"> </w:t>
      </w:r>
    </w:p>
    <w:p>
      <w:pPr>
        <w:pBdr/>
        <w:pStyle w:val="Normal (Web)"/>
        <w:spacing w:before="0" w:after="0" w:line="240" w:lineRule="auto"/>
        <w:ind/>
        <w:rPr>
          <w:rFonts w:cs="Times New Roman"/>
          <w:b w:val="0"/>
          <w:color w:val="000000"/>
          <w:sz w:val="124"/>
        </w:rPr>
      </w:pPr>
    </w:p>
    <w:p>
      <w:pPr>
        <w:pBdr/>
        <w:pStyle w:val="Normal (Web)"/>
        <w:spacing/>
        <w:ind/>
        <w:rPr>
          <w:sz w:val="28"/>
          <w:szCs w:val="28"/>
        </w:rPr>
      </w:pPr>
    </w:p>
    <w:p>
      <w:pPr>
        <w:pBdr/>
        <w:pStyle w:val="Normal (Web)"/>
        <w:spacing/>
        <w:ind/>
        <w:rPr>
          <w:sz w:val="28"/>
          <w:szCs w:val="28"/>
        </w:rPr>
      </w:pPr>
    </w:p>
    <w:p>
      <w:pPr>
        <w:pBdr/>
        <w:pStyle w:val="Normal (Web)"/>
        <w:spacing/>
        <w:ind/>
        <w:jc w:val="center"/>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Heading 2"/>
        <w:spacing w:beforeAutospacing="true" w:afterAutospacing="true"/>
        <w:ind/>
        <w:rPr>
          <w:rFonts w:cs="Times New Roman"/>
          <w:color w:val="1565c0"/>
        </w:rPr>
      </w:pPr>
      <w:r>
        <w:rPr>
          <w:rFonts w:cs="Times New Roman"/>
          <w:color w:val="1565c0"/>
        </w:rPr>
        <w:t xml:space="preserve">6.7 Limitations of "Alpha" Attribution</w:t>
      </w:r>
    </w:p>
    <w:p>
      <w:pPr>
        <w:pBdr/>
        <w:pStyle w:val="Normal (Web)"/>
        <w:spacing/>
        <w:ind/>
        <w:rPr/>
      </w:pPr>
      <w:r>
        <w:rPr/>
        <w:t xml:space="preserve">In the Data Interpretation section, we credited the fund managers with generating "Alpha" (returns above the benchmark). However, this attribution has its limits:</w:t>
      </w:r>
    </w:p>
    <w:p>
      <w:pPr>
        <w:pBdr/>
        <w:pStyle w:val="Normal (Web)"/>
        <w:numPr>
          <w:ilvl w:val="0"/>
          <w:numId w:val="0"/>
        </w:numPr>
        <w:spacing/>
        <w:ind/>
        <w:rPr/>
      </w:pPr>
      <w:r>
        <w:rPr/>
        <w:t xml:space="preserve">Luck vs. Skill: Over a five-year period, it is statistically difficult to prove that outperformance is due to consistent "Skill" rather than a few "Lucky" sector bets (e.g., being overweight in Metals just as a global commodity cycle peaked).</w:t>
      </w:r>
    </w:p>
    <w:p>
      <w:pPr>
        <w:pBdr/>
        <w:pStyle w:val="Normal (Web)"/>
        <w:numPr>
          <w:ilvl w:val="0"/>
          <w:numId w:val="0"/>
        </w:numPr>
        <w:spacing/>
        <w:ind/>
        <w:rPr/>
      </w:pPr>
      <w:r>
        <w:rPr/>
        <w:t xml:space="preserve">Survivor Bias: The study only looks at currently active and successful schemes. Any schemes that were merged, closed, or rebranded due to poor performance prior to 2026 are not included in the analysis, which may lead to an "overly positive" view of the AMC’s historical success.</w:t>
      </w:r>
    </w:p>
    <w:p>
      <w:pPr>
        <w:pBdr/>
        <w:pStyle w:val="Normal (Web)"/>
        <w:spacing/>
        <w:ind/>
        <w:rPr>
          <w:sz w:val="28"/>
          <w:szCs w:val="28"/>
        </w:rPr>
      </w:pPr>
    </w:p>
    <w:p>
      <w:pPr>
        <w:pBdr/>
        <w:pStyle w:val="Normal (Web)"/>
        <w:spacing/>
        <w:ind/>
        <w:rPr>
          <w:sz w:val="28"/>
          <w:szCs w:val="28"/>
        </w:rPr>
      </w:pPr>
    </w:p>
    <w:p>
      <w:pPr>
        <w:pBdr/>
        <w:pStyle w:val="Normal (Web)"/>
        <w:spacing w:before="0" w:after="0" w:line="240" w:lineRule="auto"/>
        <w:ind/>
        <w:rPr>
          <w:rFonts w:cs="Times New Roman"/>
          <w:b w:val="0"/>
          <w:color w:val="000000"/>
          <w:sz w:val="124"/>
        </w:rPr>
      </w:pPr>
    </w:p>
    <w:p>
      <w:pPr>
        <w:pBdr/>
        <w:pStyle w:val="Normal (Web)"/>
        <w:spacing w:before="0" w:after="0" w:line="240" w:lineRule="auto"/>
        <w:ind/>
        <w:rPr>
          <w:rFonts w:cs="Times New Roman"/>
          <w:b w:val="0"/>
          <w:color w:val="000000"/>
          <w:sz w:val="124"/>
        </w:rPr>
      </w:pPr>
      <w:r>
        <w:rPr>
          <w:rFonts w:cs="Times New Roman"/>
          <w:b w:val="0"/>
          <w:color w:val="000000"/>
          <w:sz w:val="124"/>
        </w:rPr>
        <w:t xml:space="preserve"> </w:t>
      </w:r>
    </w:p>
    <w:p>
      <w:pPr>
        <w:pBdr/>
        <w:pStyle w:val="Normal (Web)"/>
        <w:spacing w:before="0" w:after="0" w:line="240" w:lineRule="auto"/>
        <w:ind/>
        <w:rPr>
          <w:rFonts w:cs="Times New Roman"/>
          <w:b w:val="0"/>
          <w:color w:val="000000"/>
          <w:sz w:val="124"/>
        </w:rPr>
      </w:pPr>
      <w:r>
        <w:rPr>
          <w:rFonts w:cs="Times New Roman"/>
          <w:b w:val="0"/>
          <w:color w:val="000000"/>
          <w:sz w:val="124"/>
        </w:rPr>
        <w:t xml:space="preserve"> </w:t>
      </w:r>
    </w:p>
    <w:p>
      <w:pPr>
        <w:pBdr/>
        <w:pStyle w:val="Normal (Web)"/>
        <w:spacing w:before="0" w:after="0" w:line="240" w:lineRule="auto"/>
        <w:ind/>
        <w:rPr>
          <w:rFonts w:cs="Times New Roman"/>
          <w:b w:val="0"/>
          <w:color w:val="000000"/>
          <w:sz w:val="124"/>
        </w:rPr>
      </w:pPr>
    </w:p>
    <w:p>
      <w:pPr>
        <w:pBdr/>
        <w:pStyle w:val="Normal (Web)"/>
        <w:spacing/>
        <w:ind/>
        <w:rPr>
          <w:sz w:val="28"/>
          <w:szCs w:val="28"/>
        </w:rPr>
      </w:pPr>
    </w:p>
    <w:p>
      <w:pPr>
        <w:pBdr/>
        <w:pStyle w:val="Normal (Web)"/>
        <w:spacing/>
        <w:ind/>
        <w:rPr>
          <w:sz w:val="28"/>
          <w:szCs w:val="28"/>
        </w:rPr>
      </w:pPr>
      <w:r>
        <w:rPr>
          <w:sz w:val="28"/>
          <w:szCs w:val="28"/>
        </w:rPr>
        <w:t xml:space="preserve">                              </w:t>
      </w:r>
    </w:p>
    <w:p>
      <w:pPr>
        <w:pBdr/>
        <w:pStyle w:val="Normal (Web)"/>
        <w:spacing/>
        <w:ind/>
        <w:rPr>
          <w:sz w:val="28"/>
          <w:szCs w:val="28"/>
        </w:rPr>
      </w:pPr>
    </w:p>
    <w:p>
      <w:pPr>
        <w:pBdr/>
        <w:pStyle w:val="Normal (Web)"/>
        <w:spacing w:before="0" w:after="0" w:line="240" w:lineRule="auto"/>
        <w:ind/>
        <w:rPr>
          <w:rFonts w:cs="Times New Roman"/>
          <w:b w:val="0"/>
          <w:color w:val="000000"/>
          <w:sz w:val="124"/>
        </w:rPr>
      </w:pPr>
      <w:r>
        <w:rPr>
          <w:rFonts w:cs="Times New Roman"/>
          <w:b w:val="0"/>
          <w:color w:val="000000"/>
          <w:sz w:val="124"/>
        </w:rPr>
        <w:t xml:space="preserve"> </w:t>
      </w:r>
    </w:p>
    <w:p>
      <w:pPr>
        <w:pBdr/>
        <w:pStyle w:val="Normal (Web)"/>
        <w:spacing w:before="0" w:after="0" w:line="240" w:lineRule="auto"/>
        <w:ind/>
        <w:rPr>
          <w:rFonts w:cs="Times New Roman"/>
          <w:b w:val="0"/>
          <w:color w:val="000000"/>
          <w:sz w:val="124"/>
        </w:rPr>
      </w:pPr>
      <w:r>
        <w:rPr>
          <w:rFonts w:cs="Times New Roman"/>
          <w:b w:val="0"/>
          <w:color w:val="000000"/>
          <w:sz w:val="124"/>
        </w:rPr>
        <w:t xml:space="preserve"> </w:t>
      </w:r>
    </w:p>
    <w:p>
      <w:pPr>
        <w:pBdr/>
        <w:pStyle w:val="Normal (Web)"/>
        <w:spacing w:before="0" w:after="0" w:line="240" w:lineRule="auto"/>
        <w:ind/>
        <w:rPr>
          <w:rFonts w:cs="Times New Roman"/>
          <w:b w:val="0"/>
          <w:color w:val="000000"/>
          <w:sz w:val="124"/>
        </w:rPr>
      </w:pPr>
    </w:p>
    <w:p>
      <w:pPr>
        <w:pBdr/>
        <w:pStyle w:val="Normal (Web)"/>
        <w:spacing/>
        <w:ind/>
        <w:rPr>
          <w:sz w:val="120"/>
          <w:szCs w:val="28"/>
        </w:rPr>
      </w:pPr>
      <w:r>
        <w:rPr>
          <w:sz w:val="120"/>
          <w:szCs w:val="28"/>
        </w:rPr>
        <w:t xml:space="preserve">CONCLUSION</w:t>
      </w: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before="0" w:after="0" w:line="240" w:lineRule="auto"/>
        <w:ind/>
        <w:rPr>
          <w:rFonts w:cs="Times New Roman"/>
          <w:b w:val="0"/>
          <w:color w:val="000000"/>
          <w:sz w:val="124"/>
        </w:rPr>
      </w:pPr>
      <w:r>
        <w:rPr>
          <w:rFonts w:cs="Times New Roman"/>
          <w:b w:val="0"/>
          <w:color w:val="000000"/>
          <w:sz w:val="124"/>
        </w:rPr>
        <w:t xml:space="preserve"> </w:t>
      </w:r>
    </w:p>
    <w:p>
      <w:pPr>
        <w:pBdr/>
        <w:pStyle w:val="Normal (Web)"/>
        <w:spacing w:before="0" w:after="0" w:line="240" w:lineRule="auto"/>
        <w:ind/>
        <w:rPr>
          <w:rFonts w:cs="Times New Roman"/>
          <w:b w:val="0"/>
          <w:color w:val="000000"/>
          <w:sz w:val="124"/>
        </w:rPr>
      </w:pPr>
      <w:r>
        <w:rPr>
          <w:rFonts w:cs="Times New Roman"/>
          <w:b w:val="0"/>
          <w:color w:val="000000"/>
          <w:sz w:val="124"/>
        </w:rPr>
        <w:t xml:space="preserve"> </w:t>
      </w:r>
    </w:p>
    <w:p>
      <w:pPr>
        <w:pBdr/>
        <w:pStyle w:val="Normal (Web)"/>
        <w:spacing/>
        <w:ind/>
        <w:rPr>
          <w:sz w:val="28"/>
          <w:szCs w:val="28"/>
        </w:rPr>
      </w:pPr>
    </w:p>
    <w:p>
      <w:pPr>
        <w:pBdr/>
        <w:pStyle w:val="Heading 2"/>
        <w:spacing w:beforeAutospacing="true" w:afterAutospacing="true"/>
        <w:ind/>
        <w:rPr>
          <w:rFonts w:cs="Times New Roman"/>
          <w:color w:val="1565c0"/>
        </w:rPr>
      </w:pPr>
      <w:r>
        <w:rPr>
          <w:rFonts w:cs="Times New Roman"/>
          <w:color w:val="1565c0"/>
        </w:rPr>
        <w:t xml:space="preserve">7. CONCLUSION</w:t>
      </w:r>
    </w:p>
    <w:p>
      <w:pPr>
        <w:pBdr/>
        <w:pStyle w:val="Normal (Web)"/>
        <w:spacing/>
        <w:ind/>
        <w:rPr/>
      </w:pPr>
      <w:r>
        <w:rPr/>
        <w:t xml:space="preserve">The comprehensive study of Bank of India (BOI) Mutual Funds (2021–2026) reveals a narrative of significant transformation, moving from a joint-venture legacy to a formidable, 100% bank-owned asset management powerhouse. This concluding section synthesizes the findings, evaluates the objectives, and offers a strategic outlook for the future.</w:t>
      </w:r>
    </w:p>
    <w:p>
      <w:pPr>
        <w:pBdr/>
        <w:pStyle w:val="Normal"/>
        <w:spacing/>
        <w:ind/>
        <w:rPr/>
      </w:pPr>
      <w:r>
        <w:rPr/>
        <w:pict>
          <v:rect style="width:0;height:2" o:hralign="center" o:hrstd="t" o:hr="t" fillcolor="FFFFFF" stroked="f"/>
        </w:pict>
      </w:r>
    </w:p>
    <w:p>
      <w:pPr>
        <w:pBdr/>
        <w:pStyle w:val="Normal (Web)"/>
        <w:spacing w:beforeAutospacing="true" w:afterAutospacing="true"/>
        <w:ind/>
        <w:rPr>
          <w:rFonts w:cs="Times New Roman"/>
        </w:rPr>
      </w:pPr>
      <w:r>
        <w:rPr>
          <w:rFonts w:cs="Times New Roman"/>
        </w:rPr>
        <w:t xml:space="preserve">7.1 Synthesis of Findings</w:t>
      </w:r>
    </w:p>
    <w:p>
      <w:pPr>
        <w:pBdr/>
        <w:pStyle w:val="Normal (Web)"/>
        <w:spacing/>
        <w:ind/>
        <w:rPr/>
      </w:pPr>
      <w:r>
        <w:rPr/>
        <w:t xml:space="preserve">The primary finding of this research is that BOI Mutual Fund has successfully transitioned into a "High-Growth" phase. With an AUM surge of over 63% in the 2024–25 fiscal year, the fund house has proven that public sector trust, when combined with professional fund management, can compete effectively with aggressive private players.</w:t>
      </w:r>
    </w:p>
    <w:p>
      <w:pPr>
        <w:pBdr/>
        <w:pStyle w:val="Normal (Web)"/>
        <w:numPr>
          <w:ilvl w:val="0"/>
          <w:numId w:val="0"/>
        </w:numPr>
        <w:spacing/>
        <w:ind/>
        <w:rPr/>
      </w:pPr>
      <w:r>
        <w:rPr/>
        <w:t xml:space="preserve">Performance Excellence: The data confirms that BOI has moved beyond being a "safe" debt-oriented house. The Alpha generation in the Small-Cap and Multi-Cap categories demonstrates a sophisticated equity research desk capable of beating market benchmarks consistently over 3- and 5-year horizons.</w:t>
      </w:r>
    </w:p>
    <w:p>
      <w:pPr>
        <w:pBdr/>
        <w:pStyle w:val="Normal (Web)"/>
        <w:spacing w:before="0" w:after="0" w:line="240" w:lineRule="auto"/>
        <w:ind/>
        <w:rPr>
          <w:rFonts w:cs="Times New Roman"/>
          <w:b w:val="0"/>
          <w:color w:val="000000"/>
          <w:sz w:val="124"/>
        </w:rPr>
      </w:pPr>
      <w:r>
        <w:rPr>
          <w:rFonts w:cs="Times New Roman"/>
          <w:b w:val="0"/>
          <w:color w:val="000000"/>
          <w:sz w:val="124"/>
        </w:rPr>
        <w:t xml:space="preserve"> </w:t>
      </w:r>
    </w:p>
    <w:p>
      <w:pPr>
        <w:pBdr/>
        <w:pStyle w:val="Normal (Web)"/>
        <w:spacing w:before="0" w:after="0" w:line="240" w:lineRule="auto"/>
        <w:ind/>
        <w:rPr>
          <w:rFonts w:cs="Times New Roman"/>
          <w:b w:val="0"/>
          <w:color w:val="000000"/>
          <w:sz w:val="124"/>
        </w:rPr>
      </w:pPr>
      <w:r>
        <w:rPr>
          <w:rFonts w:cs="Times New Roman"/>
          <w:b w:val="0"/>
          <w:color w:val="000000"/>
          <w:sz w:val="124"/>
        </w:rPr>
        <w:t xml:space="preserve"> </w:t>
      </w:r>
    </w:p>
    <w:p>
      <w:pPr>
        <w:pBdr/>
        <w:pStyle w:val="Normal (Web)"/>
        <w:spacing w:before="0" w:after="0" w:line="240" w:lineRule="auto"/>
        <w:ind/>
        <w:rPr>
          <w:rFonts w:cs="Times New Roman"/>
          <w:b w:val="0"/>
          <w:color w:val="000000"/>
          <w:sz w:val="124"/>
        </w:rPr>
      </w:pPr>
    </w:p>
    <w:p>
      <w:pPr>
        <w:pBdr/>
        <w:pStyle w:val="Normal (Web)"/>
        <w:spacing/>
        <w:ind/>
        <w:rPr>
          <w:sz w:val="28"/>
          <w:szCs w:val="28"/>
        </w:rPr>
      </w:pPr>
    </w:p>
    <w:p>
      <w:pPr>
        <w:pBdr/>
        <w:pStyle w:val="Normal (Web)"/>
        <w:spacing/>
        <w:ind/>
        <w:rPr>
          <w:sz w:val="28"/>
          <w:szCs w:val="28"/>
        </w:rPr>
      </w:pPr>
    </w:p>
    <w:p>
      <w:pPr>
        <w:pBdr/>
        <w:pStyle w:val="Normal (Web)"/>
        <w:spacing/>
        <w:ind/>
        <w:jc w:val="center"/>
        <w:rPr>
          <w:sz w:val="28"/>
          <w:szCs w:val="28"/>
        </w:rPr>
      </w:pPr>
    </w:p>
    <w:p>
      <w:pPr>
        <w:pBdr/>
        <w:pStyle w:val="Normal (Web)"/>
        <w:spacing/>
        <w:ind/>
        <w:rPr>
          <w:sz w:val="28"/>
          <w:szCs w:val="28"/>
        </w:rPr>
      </w:pPr>
    </w:p>
    <w:p>
      <w:pPr>
        <w:pBdr/>
        <w:pStyle w:val="Normal (Web)"/>
        <w:spacing/>
        <w:ind/>
        <w:rPr>
          <w:sz w:val="28"/>
          <w:szCs w:val="28"/>
        </w:rPr>
      </w:pPr>
    </w:p>
    <w:p>
      <w:pPr>
        <w:pBdr/>
        <w:pStyle w:val="Normal (Web)"/>
        <w:spacing w:beforeAutospacing="true" w:afterAutospacing="true"/>
        <w:ind/>
        <w:rPr>
          <w:rFonts w:cs="Times New Roman"/>
        </w:rPr>
      </w:pPr>
      <w:r>
        <w:rPr>
          <w:rFonts w:cs="Times New Roman"/>
        </w:rPr>
        <w:t xml:space="preserve">7.2 Fulfillment of Research Objectives</w:t>
      </w:r>
    </w:p>
    <w:p>
      <w:pPr>
        <w:pBdr/>
        <w:pStyle w:val="Normal (Web)"/>
        <w:spacing/>
        <w:ind/>
        <w:rPr/>
      </w:pPr>
      <w:r>
        <w:rPr/>
        <w:t xml:space="preserve">Reflecting on the objectives set at the beginning of this study:</w:t>
      </w:r>
    </w:p>
    <w:p>
      <w:pPr>
        <w:pBdr/>
        <w:pStyle w:val="Normal (Web)"/>
        <w:numPr>
          <w:ilvl w:val="0"/>
          <w:numId w:val="0"/>
        </w:numPr>
        <w:spacing/>
        <w:ind/>
        <w:rPr/>
      </w:pPr>
      <w:r>
        <w:rPr/>
        <w:t xml:space="preserve">Risk-Return Profile: The study successfully quantified that BOI schemes maintain a favorable Sharpe Ratio, indicating that investors are being adequately compensated for the risks taken.</w:t>
      </w:r>
    </w:p>
    <w:p>
      <w:pPr>
        <w:pBdr/>
        <w:pStyle w:val="Normal (Web)"/>
        <w:numPr>
          <w:ilvl w:val="0"/>
          <w:numId w:val="0"/>
        </w:numPr>
        <w:spacing/>
        <w:ind/>
        <w:rPr/>
      </w:pPr>
      <w:r>
        <w:rPr/>
        <w:t xml:space="preserve">Brand Leverage: It is evident that the Bank of India brand name acts as a primary catalyst for trust, especially in Tier-2 and Tier-3 cities, allowing the AMC to acquire customers at a lower cost than many private competitors.</w:t>
      </w:r>
    </w:p>
    <w:p>
      <w:pPr>
        <w:pBdr/>
        <w:pStyle w:val="Normal (Web)"/>
        <w:spacing w:beforeAutospacing="true" w:afterAutospacing="true"/>
        <w:ind/>
        <w:rPr>
          <w:rFonts w:cs="Times New Roman"/>
        </w:rPr>
      </w:pPr>
      <w:r>
        <w:rPr>
          <w:rFonts w:cs="Times New Roman"/>
        </w:rPr>
        <w:t xml:space="preserve">7.3 Strategic Recommendations</w:t>
      </w:r>
    </w:p>
    <w:p>
      <w:pPr>
        <w:pBdr/>
        <w:pStyle w:val="Normal (Web)"/>
        <w:spacing/>
        <w:ind/>
        <w:rPr/>
      </w:pPr>
      <w:r>
        <w:rPr/>
        <w:t xml:space="preserve">Based on the interpretation of the data and the identified limitations, the following recommendations are proposed:</w:t>
      </w:r>
    </w:p>
    <w:p>
      <w:pPr>
        <w:pBdr/>
        <w:pStyle w:val="Normal (Web)"/>
        <w:numPr>
          <w:ilvl w:val="0"/>
          <w:numId w:val="26"/>
        </w:numPr>
        <w:spacing/>
        <w:ind/>
        <w:rPr/>
      </w:pPr>
      <w:r>
        <w:rPr/>
        <w:t xml:space="preserve">Product Diversification: To reach the next milestone (e.g., ₹25,000 Cr AUM), the AMC should introduce more Passive Funds (ETFs) and International Feeder Funds to cater to the evolving needs of sophisticated urban investors.</w:t>
      </w:r>
    </w:p>
    <w:p>
      <w:pPr>
        <w:pBdr/>
        <w:pStyle w:val="Normal (Web)"/>
        <w:numPr>
          <w:ilvl w:val="0"/>
          <w:numId w:val="26"/>
        </w:numPr>
        <w:spacing/>
        <w:ind/>
        <w:rPr/>
      </w:pPr>
      <w:r>
        <w:rPr/>
        <w:t xml:space="preserve">Digital Synergy: While the "Phygital" model works, further integration of mutual fund services into the core BOI Mobile Banking App would reduce friction for younger, tech-savvy users.</w:t>
      </w:r>
    </w:p>
    <w:p>
      <w:pPr>
        <w:pBdr/>
        <w:pStyle w:val="Normal (Web)"/>
        <w:numPr>
          <w:ilvl w:val="0"/>
          <w:numId w:val="26"/>
        </w:numPr>
        <w:spacing/>
        <w:ind/>
        <w:rPr/>
      </w:pPr>
      <w:r>
        <w:rPr/>
        <w:t xml:space="preserve">ESG Integration: As global investment trends shift toward sustainability, launching a dedicated ESG Fund would align the bank’s public sector mission with modern ethical investing standards.</w:t>
      </w:r>
    </w:p>
    <w:p>
      <w:pPr>
        <w:pBdr/>
        <w:pStyle w:val="Normal (Web)"/>
        <w:spacing w:before="0" w:after="0" w:line="240" w:lineRule="auto"/>
        <w:ind/>
        <w:rPr>
          <w:rFonts w:cs="Times New Roman"/>
          <w:b w:val="0"/>
          <w:color w:val="000000"/>
          <w:sz w:val="124"/>
        </w:rPr>
      </w:pPr>
      <w:r>
        <w:rPr>
          <w:rFonts w:cs="Times New Roman"/>
          <w:b w:val="0"/>
          <w:color w:val="000000"/>
          <w:sz w:val="124"/>
        </w:rPr>
        <w:t xml:space="preserve"> </w:t>
      </w:r>
    </w:p>
    <w:p>
      <w:pPr>
        <w:pBdr/>
        <w:pStyle w:val="Normal (Web)"/>
        <w:spacing w:before="0" w:after="0" w:line="240" w:lineRule="auto"/>
        <w:ind/>
        <w:rPr>
          <w:rFonts w:cs="Times New Roman"/>
          <w:b w:val="0"/>
          <w:color w:val="000000"/>
          <w:sz w:val="124"/>
        </w:rPr>
      </w:pPr>
      <w:r>
        <w:rPr>
          <w:rFonts w:cs="Times New Roman"/>
          <w:b w:val="0"/>
          <w:color w:val="000000"/>
          <w:sz w:val="124"/>
        </w:rPr>
        <w:t xml:space="preserve"> </w:t>
      </w:r>
    </w:p>
    <w:p>
      <w:pPr>
        <w:pBdr/>
        <w:pStyle w:val="Normal (Web)"/>
        <w:spacing/>
        <w:ind/>
        <w:rPr>
          <w:sz w:val="28"/>
          <w:szCs w:val="28"/>
        </w:rPr>
      </w:pPr>
    </w:p>
    <w:p>
      <w:pPr>
        <w:pBdr/>
        <w:pStyle w:val="Normal (Web)"/>
        <w:spacing/>
        <w:ind/>
        <w:rPr>
          <w:sz w:val="28"/>
          <w:szCs w:val="28"/>
        </w:rPr>
      </w:pPr>
    </w:p>
    <w:p>
      <w:pPr>
        <w:pBdr/>
        <w:pStyle w:val="Heading 2"/>
        <w:spacing w:beforeAutospacing="true" w:afterAutospacing="true"/>
        <w:ind/>
        <w:rPr>
          <w:rFonts w:cs="Times New Roman"/>
          <w:color w:val="1565c0"/>
        </w:rPr>
      </w:pPr>
      <w:r>
        <w:rPr>
          <w:rFonts w:cs="Times New Roman"/>
          <w:color w:val="1565c0"/>
        </w:rPr>
        <w:t xml:space="preserve">7. CONCLUSION</w:t>
      </w:r>
    </w:p>
    <w:p>
      <w:pPr>
        <w:pBdr/>
        <w:pStyle w:val="Normal (Web)"/>
        <w:spacing/>
        <w:ind/>
        <w:rPr/>
      </w:pPr>
      <w:r>
        <w:rPr/>
        <w:t xml:space="preserve">The comprehensive study of Bank of India (BOI) Mutual Funds (2021–2026) reveals a narrative of significant transformation, moving from a joint-venture legacy to a formidable, 100% bank-owned asset management powerhouse. This concluding section synthesizes the findings, evaluates the objectives, and offers a strategic outlook for the future.</w:t>
      </w:r>
    </w:p>
    <w:p>
      <w:pPr>
        <w:pBdr/>
        <w:pStyle w:val="Normal"/>
        <w:spacing/>
        <w:ind/>
        <w:rPr/>
      </w:pPr>
      <w:r>
        <w:rPr/>
        <w:pict>
          <v:rect style="width:0;height:2" o:hralign="center" o:hrstd="t" o:hr="t" fillcolor="FFFFFF" stroked="f"/>
        </w:pict>
      </w:r>
    </w:p>
    <w:p>
      <w:pPr>
        <w:pBdr/>
        <w:pStyle w:val="Normal (Web)"/>
        <w:spacing w:beforeAutospacing="true" w:afterAutospacing="true"/>
        <w:ind/>
        <w:rPr>
          <w:rFonts w:cs="Times New Roman"/>
          <w:sz w:val="26"/>
        </w:rPr>
      </w:pPr>
      <w:r>
        <w:rPr>
          <w:rFonts w:cs="Times New Roman"/>
        </w:rPr>
        <w:t xml:space="preserve">7.1 Synthesis of Findings</w:t>
      </w:r>
    </w:p>
    <w:p>
      <w:pPr>
        <w:pBdr/>
        <w:pStyle w:val="Normal (Web)"/>
        <w:spacing/>
        <w:ind/>
        <w:rPr/>
      </w:pPr>
      <w:r>
        <w:rPr/>
        <w:t xml:space="preserve">The primary finding of this research is that BOI Mutual Fund has successfully transitioned into a "High-Growth" phase. With an AUM surge of over 63% in the 2024–25 fiscal year, the fund house has proven that public sector trust, when combined with professional fund management, can compete effectively with aggressive private players.</w:t>
      </w:r>
    </w:p>
    <w:p>
      <w:pPr>
        <w:pBdr/>
        <w:pStyle w:val="Normal (Web)"/>
        <w:numPr>
          <w:ilvl w:val="0"/>
          <w:numId w:val="0"/>
        </w:numPr>
        <w:spacing/>
        <w:ind/>
        <w:rPr/>
      </w:pPr>
      <w:r>
        <w:rPr/>
        <w:t xml:space="preserve">Performance Excellence: The data confirms that BOI has moved beyond being a "safe" debt-oriented house. The Alpha generation in the Small-Cap and Multi-Cap categories demonstrates a sophisticated equity research desk capable of beating market benchmarks consistently over 3- and 5-year horizons.</w:t>
      </w:r>
    </w:p>
    <w:p>
      <w:pPr>
        <w:pBdr/>
        <w:pStyle w:val="Normal (Web)"/>
        <w:numPr>
          <w:ilvl w:val="0"/>
          <w:numId w:val="0"/>
        </w:numPr>
        <w:spacing/>
        <w:ind/>
        <w:rPr/>
      </w:pPr>
      <w:r>
        <w:rPr/>
        <w:t xml:space="preserve">Retail Penetration: The staggering 68% increase in folio counts signifies a successful "Financialization of Savings." BOI has managed to bridge the gap between traditional banking and capital markets, effectively converting fixed-</w:t>
      </w:r>
      <w:r>
        <w:rPr/>
        <w:t xml:space="preserve">deposit oriented customers into systematic investors.</w:t>
      </w:r>
    </w:p>
    <w:p>
      <w:pPr>
        <w:pBdr/>
        <w:pStyle w:val="Normal (Web)"/>
        <w:spacing w:beforeAutospacing="true" w:afterAutospacing="true"/>
        <w:ind/>
        <w:rPr>
          <w:rFonts w:cs="Times New Roman"/>
        </w:rPr>
      </w:pPr>
      <w:r>
        <w:rPr>
          <w:rFonts w:cs="Times New Roman"/>
        </w:rPr>
        <w:t xml:space="preserve">7.2 Fulfillment of Research Objectives</w:t>
      </w:r>
    </w:p>
    <w:p>
      <w:pPr>
        <w:pBdr/>
        <w:pStyle w:val="Normal (Web)"/>
        <w:spacing/>
        <w:ind/>
        <w:rPr/>
      </w:pPr>
      <w:r>
        <w:rPr/>
        <w:t xml:space="preserve">Reflecting on the objectives set at the beginning of this study:</w:t>
      </w:r>
    </w:p>
    <w:p>
      <w:pPr>
        <w:pBdr/>
        <w:pStyle w:val="Normal (Web)"/>
        <w:numPr>
          <w:ilvl w:val="0"/>
          <w:numId w:val="0"/>
        </w:numPr>
        <w:spacing/>
        <w:ind/>
        <w:rPr/>
      </w:pPr>
      <w:r>
        <w:rPr/>
        <w:t xml:space="preserve">Risk-Return Profile: The study successfully quantified that BOI schemes maintain a favorable Sharpe Ratio, indicating that investors are being adequately compensated for the risks taken.</w:t>
      </w:r>
    </w:p>
    <w:p>
      <w:pPr>
        <w:pBdr/>
        <w:pStyle w:val="Normal (Web)"/>
        <w:numPr>
          <w:ilvl w:val="0"/>
          <w:numId w:val="0"/>
        </w:numPr>
        <w:spacing/>
        <w:ind/>
        <w:rPr/>
      </w:pPr>
      <w:r>
        <w:rPr/>
        <w:t xml:space="preserve">Brand Leverage: It is evident that the Bank of India brand name acts as a primary catalyst for trust, especially in Tier-2 and Tier-3 cities, allowing the AMC to acquire customers at a lower cost than many private competitors.</w:t>
      </w:r>
    </w:p>
    <w:p>
      <w:pPr>
        <w:pBdr/>
        <w:pStyle w:val="Normal (Web)"/>
        <w:spacing w:beforeAutospacing="true" w:afterAutospacing="true"/>
        <w:ind/>
        <w:rPr>
          <w:rFonts w:cs="Times New Roman"/>
        </w:rPr>
      </w:pPr>
      <w:r>
        <w:rPr>
          <w:rFonts w:cs="Times New Roman"/>
          <w:sz w:val="26"/>
        </w:rPr>
        <w:t xml:space="preserve">                                                                                                                                                                  </w:t>
      </w:r>
      <w:r>
        <w:rPr>
          <w:rFonts w:cs="Times New Roman"/>
          <w:sz w:val="32"/>
        </w:rPr>
        <w:t xml:space="preserve">  7.3 Strategic Recommendations</w:t>
      </w:r>
    </w:p>
    <w:p>
      <w:pPr>
        <w:pBdr/>
        <w:pStyle w:val="Normal (Web)"/>
        <w:spacing/>
        <w:ind/>
        <w:rPr/>
      </w:pPr>
      <w:r>
        <w:rPr/>
        <w:t xml:space="preserve">Based on the interpretation of the data and the identified limitations, the following recommendations are proposed:</w:t>
      </w:r>
    </w:p>
    <w:p>
      <w:pPr>
        <w:pBdr/>
        <w:pStyle w:val="Normal (Web)"/>
        <w:numPr>
          <w:ilvl w:val="0"/>
          <w:numId w:val="31"/>
        </w:numPr>
        <w:spacing/>
        <w:ind/>
        <w:rPr/>
      </w:pPr>
      <w:r>
        <w:rPr/>
        <w:t xml:space="preserve">Product Diversification: To reach the next milestone (e.g., ₹25,000 Cr AUM), the AMC should introduce more Passive Funds (ETFs) and International Feeder Funds to cater to the evolving needs of sophisticated urban investors.</w:t>
      </w:r>
    </w:p>
    <w:p>
      <w:pPr>
        <w:pBdr/>
        <w:pStyle w:val="Normal (Web)"/>
        <w:numPr>
          <w:ilvl w:val="0"/>
          <w:numId w:val="31"/>
        </w:numPr>
        <w:spacing/>
        <w:ind/>
        <w:rPr/>
      </w:pPr>
      <w:r>
        <w:rPr/>
        <w:t xml:space="preserve">Digital Synergy: While the "Phygital" model works, further integration of mutual fund services into the core BOI Mobile Banking App would reduce friction for younger, tech-savvy users.</w:t>
      </w:r>
    </w:p>
    <w:p>
      <w:pPr>
        <w:pBdr/>
        <w:pStyle w:val="Normal (Web)"/>
        <w:numPr>
          <w:ilvl w:val="0"/>
          <w:numId w:val="31"/>
        </w:numPr>
        <w:spacing/>
        <w:ind/>
        <w:rPr/>
      </w:pPr>
      <w:r>
        <w:rPr/>
        <w:t xml:space="preserve">ESG Integration: As global investment trends shift toward sustainability, launching a dedicated ESG Fund would align the bank’s public sector mission with modern ethical investing standards.</w:t>
      </w:r>
    </w:p>
    <w:p>
      <w:pPr>
        <w:pBdr/>
        <w:pStyle w:val="Normal (Web)"/>
        <w:spacing w:beforeAutospacing="true" w:afterAutospacing="true"/>
        <w:ind/>
        <w:rPr>
          <w:rFonts w:cs="Times New Roman"/>
        </w:rPr>
      </w:pPr>
      <w:r>
        <w:rPr>
          <w:rFonts w:cs="Times New Roman"/>
        </w:rPr>
        <w:t xml:space="preserve">7.4 Final Closing Statement</w:t>
      </w:r>
    </w:p>
    <w:p>
      <w:pPr>
        <w:pBdr/>
        <w:pStyle w:val="Normal (Web)"/>
        <w:spacing/>
        <w:ind/>
        <w:rPr/>
      </w:pPr>
      <w:r>
        <w:rPr/>
        <w:t xml:space="preserve">In conclusion, Bank of India Mutual Fund stands as a testament to the potential of Public Sector Bank-led Asset Management. By maintaining its focus on "Active Management" while utilizing its massive physical reach, the fund house is well-</w:t>
      </w:r>
      <w:r>
        <w:rPr/>
        <w:t xml:space="preserve">positioned to remain a key player in India’s journey toward an ₹80+ lakh crore mutual fund industry. For the retail investor, BOI offers a unique blend of nationalized security and capital market growth, making it a vital component of the modern Indian investment portfolio.</w:t>
      </w:r>
    </w:p>
    <w:p>
      <w:pPr>
        <w:pBdr/>
        <w:pStyle w:val="Normal (Web)"/>
        <w:spacing w:before="0" w:after="0" w:line="240" w:lineRule="auto"/>
        <w:ind/>
        <w:rPr>
          <w:rFonts w:cs="Times New Roman"/>
          <w:b w:val="0"/>
          <w:color w:val="000000"/>
          <w:sz w:val="124"/>
        </w:rPr>
      </w:pPr>
      <w:r>
        <w:rPr>
          <w:rFonts w:cs="Times New Roman"/>
          <w:b w:val="0"/>
          <w:color w:val="000000"/>
          <w:sz w:val="124"/>
        </w:rPr>
        <w:t xml:space="preserve"> </w:t>
      </w:r>
    </w:p>
    <w:p>
      <w:pPr>
        <w:pBdr/>
        <w:pStyle w:val="Normal (Web)"/>
        <w:spacing w:before="0" w:after="0" w:line="240" w:lineRule="auto"/>
        <w:ind/>
        <w:rPr>
          <w:rFonts w:cs="Times New Roman"/>
          <w:b w:val="0"/>
          <w:color w:val="000000"/>
          <w:sz w:val="124"/>
        </w:rPr>
      </w:pPr>
      <w:r>
        <w:rPr>
          <w:rFonts w:cs="Times New Roman"/>
          <w:b w:val="0"/>
          <w:color w:val="000000"/>
          <w:sz w:val="124"/>
        </w:rPr>
        <w:t xml:space="preserve"> </w:t>
      </w:r>
    </w:p>
    <w:p>
      <w:pPr>
        <w:pBdr/>
        <w:pStyle w:val="Normal (Web)"/>
        <w:spacing w:before="0" w:after="0" w:line="240" w:lineRule="auto"/>
        <w:ind/>
        <w:rPr>
          <w:rFonts w:cs="Times New Roman"/>
          <w:b w:val="0"/>
          <w:color w:val="000000"/>
          <w:sz w:val="124"/>
        </w:rPr>
      </w:pPr>
    </w:p>
    <w:p>
      <w:pPr>
        <w:pBdr/>
        <w:pStyle w:val="Normal (Web)"/>
        <w:spacing/>
        <w:ind/>
        <w:rPr/>
      </w:pPr>
    </w:p>
    <w:p>
      <w:pPr>
        <w:pBdr/>
        <w:pStyle w:val="Heading 2"/>
        <w:spacing w:beforeAutospacing="true" w:afterAutospacing="true"/>
        <w:ind/>
        <w:rPr>
          <w:rFonts w:cs="Times New Roman"/>
        </w:rPr>
      </w:pPr>
      <w:r>
        <w:rPr>
          <w:rFonts w:cs="Times New Roman"/>
        </w:rPr>
        <w:t xml:space="preserve">7.5 Practical Implications of the Study</w:t>
      </w:r>
    </w:p>
    <w:p>
      <w:pPr>
        <w:pBdr/>
        <w:pStyle w:val="Normal (Web)"/>
        <w:spacing/>
        <w:ind/>
        <w:rPr/>
      </w:pPr>
      <w:r>
        <w:rPr/>
        <w:t xml:space="preserve">The findings of this research extend beyond academic curiosity and offer practical utility for three primary groups: Investors, the Asset Management Company (AMC), and Policy Makers.</w:t>
      </w:r>
    </w:p>
    <w:p>
      <w:pPr>
        <w:pBdr/>
        <w:pStyle w:val="Normal (Web)"/>
        <w:spacing w:beforeAutospacing="true" w:afterAutospacing="true"/>
        <w:ind/>
        <w:rPr>
          <w:rFonts w:cs="Times New Roman"/>
        </w:rPr>
      </w:pPr>
      <w:r>
        <w:rPr>
          <w:rFonts w:cs="Times New Roman"/>
        </w:rPr>
        <w:t xml:space="preserve">7.5.1 For Individual and Retail Investors</w:t>
      </w:r>
    </w:p>
    <w:p>
      <w:pPr>
        <w:pBdr/>
        <w:pStyle w:val="Normal (Web)"/>
        <w:spacing/>
        <w:ind/>
        <w:rPr/>
      </w:pPr>
      <w:r>
        <w:rPr/>
        <w:t xml:space="preserve">The study serves as a performance validation tool for the retail segment.</w:t>
      </w:r>
    </w:p>
    <w:p>
      <w:pPr>
        <w:pBdr/>
        <w:pStyle w:val="Normal (Web)"/>
        <w:numPr>
          <w:ilvl w:val="0"/>
          <w:numId w:val="0"/>
        </w:numPr>
        <w:spacing/>
        <w:ind/>
        <w:rPr/>
      </w:pPr>
      <w:r>
        <w:rPr/>
        <w:t xml:space="preserve">Trust Calibration: Investors can conclude that "Public Sector" does not mean "Low Return." The outperformance of the BOI Small Cap and Multi Cap funds suggests that retail investors can safely allocate a portion of their core portfolio to these schemes for long-term wealth creation.</w:t>
      </w:r>
    </w:p>
    <w:p>
      <w:pPr>
        <w:pBdr/>
        <w:pStyle w:val="Normal (Web)"/>
        <w:numPr>
          <w:ilvl w:val="0"/>
          <w:numId w:val="0"/>
        </w:numPr>
        <w:spacing/>
        <w:ind/>
        <w:rPr/>
      </w:pPr>
      <w:r>
        <w:rPr/>
        <w:t xml:space="preserve">Risk Awareness: By analyzing the Standard Deviation and Beta in Section 5, investors are reminded that while BOI offers high returns, they must stay invested for at least 5 years to ride out the volatility seen in the 2025 market cycle.</w:t>
      </w:r>
    </w:p>
    <w:p>
      <w:pPr>
        <w:pBdr/>
        <w:pStyle w:val="Normal (Web)"/>
        <w:spacing w:beforeAutospacing="true" w:afterAutospacing="true"/>
        <w:ind/>
        <w:rPr>
          <w:rFonts w:cs="Times New Roman"/>
        </w:rPr>
      </w:pPr>
      <w:r>
        <w:rPr>
          <w:rFonts w:cs="Times New Roman"/>
        </w:rPr>
        <w:t xml:space="preserve">7.5.2 For Bank of India Investment Managers (The AMC)</w:t>
      </w:r>
    </w:p>
    <w:p>
      <w:pPr>
        <w:pBdr/>
        <w:pStyle w:val="Normal (Web)"/>
        <w:spacing/>
        <w:ind/>
        <w:rPr/>
      </w:pPr>
      <w:r>
        <w:rPr/>
        <w:t xml:space="preserve">This research highlights specific strategic "blind spots" and opportunities:</w:t>
      </w:r>
    </w:p>
    <w:p>
      <w:pPr>
        <w:pBdr/>
        <w:pStyle w:val="Normal (Web)"/>
        <w:numPr>
          <w:ilvl w:val="0"/>
          <w:numId w:val="0"/>
        </w:numPr>
        <w:spacing/>
        <w:ind/>
        <w:rPr/>
      </w:pPr>
      <w:r>
        <w:rPr/>
        <w:t xml:space="preserve">Cross-Selling Synergy: The data proves that the "Bank-led" model is the AMC’s greatest strength. The implication is that the AMC should invest more in training branch managers to act as "Investment Counselors" rather than just "Sales Agents."</w:t>
      </w:r>
    </w:p>
    <w:p>
      <w:pPr>
        <w:pBdr/>
        <w:pStyle w:val="Normal (Web)"/>
        <w:numPr>
          <w:ilvl w:val="0"/>
          <w:numId w:val="0"/>
        </w:numPr>
        <w:spacing/>
        <w:ind/>
        <w:rPr/>
      </w:pPr>
      <w:r>
        <w:rPr/>
        <w:t xml:space="preserve">Digital Retention: Since folio growth is high, the focus must now shift from Acquisition to Retention. The AMC should use the findings to justify higher spending on AI-driven customer service tools to reduce the "churn rate" of new investors.</w:t>
      </w: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Heading 2"/>
        <w:spacing w:beforeAutospacing="true" w:afterAutospacing="true"/>
        <w:ind/>
        <w:rPr>
          <w:rFonts w:cs="Times New Roman"/>
          <w:color w:val="1565c0"/>
        </w:rPr>
      </w:pPr>
      <w:r>
        <w:rPr>
          <w:rFonts w:cs="Times New Roman"/>
          <w:color w:val="1565c0"/>
        </w:rPr>
        <w:t xml:space="preserve">7.6 Recommendations for Future Research</w:t>
      </w:r>
    </w:p>
    <w:p>
      <w:pPr>
        <w:pBdr/>
        <w:pStyle w:val="Normal (Web)"/>
        <w:spacing/>
        <w:ind/>
        <w:rPr/>
      </w:pPr>
      <w:r>
        <w:rPr/>
        <w:t xml:space="preserve">As this study concludes at the end of the 2025-2026 fiscal year, it opens several doors for future academic inquiry:</w:t>
      </w:r>
    </w:p>
    <w:p>
      <w:pPr>
        <w:pBdr/>
        <w:pStyle w:val="Normal (Web)"/>
        <w:numPr>
          <w:ilvl w:val="0"/>
          <w:numId w:val="0"/>
        </w:numPr>
        <w:spacing/>
        <w:ind/>
        <w:rPr/>
      </w:pPr>
      <w:r>
        <w:rPr/>
        <w:t xml:space="preserve">Comparative PSB Analysis: A future study could compare BOI’s performance specifically against SBI Mutual Fund and Canara Robeco to see if "Nationalized Bank Culture" produces similar investment results across the board.</w:t>
      </w:r>
    </w:p>
    <w:p>
      <w:pPr>
        <w:pBdr/>
        <w:pStyle w:val="Normal (Web)"/>
        <w:numPr>
          <w:ilvl w:val="0"/>
          <w:numId w:val="0"/>
        </w:numPr>
        <w:spacing/>
        <w:ind/>
        <w:rPr/>
      </w:pPr>
      <w:r>
        <w:rPr/>
        <w:t xml:space="preserve">Impact of AI in Fund Management: Research could be conducted on how BOI’s adoption of machine learning for portfolio rebalancing in late 2025 impacted their "Alpha" compared to traditional human-led research.</w:t>
      </w:r>
    </w:p>
    <w:p>
      <w:pPr>
        <w:pBdr/>
        <w:pStyle w:val="Normal (Web)"/>
        <w:numPr>
          <w:ilvl w:val="0"/>
          <w:numId w:val="0"/>
        </w:numPr>
        <w:spacing/>
        <w:ind/>
        <w:rPr/>
      </w:pPr>
      <w:r>
        <w:rPr/>
        <w:t xml:space="preserve">Investor Behavioral Study: A qualitative study involving primary surveys of BOI customers could explore the emotional triggers that lead a traditional "Fixed Deposit" saver to switch to a "Small Cap" fund.</w:t>
      </w: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before="0" w:after="0" w:line="240" w:lineRule="auto"/>
        <w:ind/>
        <w:rPr>
          <w:rFonts w:cs="Times New Roman"/>
          <w:b w:val="0"/>
          <w:color w:val="000000"/>
          <w:sz w:val="124"/>
        </w:rPr>
      </w:pPr>
      <w:r>
        <w:rPr>
          <w:rFonts w:cs="Times New Roman"/>
          <w:b w:val="0"/>
          <w:color w:val="000000"/>
          <w:sz w:val="124"/>
        </w:rPr>
        <w:t xml:space="preserve"> </w:t>
      </w:r>
    </w:p>
    <w:p>
      <w:pPr>
        <w:pBdr/>
        <w:pStyle w:val="Normal (Web)"/>
        <w:spacing w:before="0" w:after="0" w:line="240" w:lineRule="auto"/>
        <w:ind/>
        <w:rPr>
          <w:rFonts w:cs="Times New Roman"/>
          <w:b w:val="0"/>
          <w:color w:val="000000"/>
          <w:sz w:val="124"/>
        </w:rPr>
      </w:pPr>
      <w:r>
        <w:rPr>
          <w:rFonts w:cs="Times New Roman"/>
          <w:b w:val="0"/>
          <w:color w:val="000000"/>
          <w:sz w:val="124"/>
        </w:rPr>
        <w:t xml:space="preserve"> </w:t>
      </w: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pPr>
      <w:r>
        <w:rPr/>
        <w:t xml:space="preserve">To bring your research to a professional close and ensure you hit the Page 39 target, Section 7.7 serves as the final "Golden Thread." This section synthesizes the entire study into a visionary closing statement, reinforcing the project’s significance.</w:t>
      </w:r>
    </w:p>
    <w:p>
      <w:pPr>
        <w:pBdr/>
        <w:pStyle w:val="Normal"/>
        <w:spacing/>
        <w:ind/>
        <w:rPr/>
      </w:pPr>
      <w:r>
        <w:rPr/>
        <w:pict>
          <v:rect style="width:0;height:2" o:hralign="center" o:hrstd="t" o:hr="t" fillcolor="FFFFFF" stroked="f"/>
        </w:pict>
      </w:r>
    </w:p>
    <w:p>
      <w:pPr>
        <w:pBdr/>
        <w:pStyle w:val="Heading 2"/>
        <w:spacing w:beforeAutospacing="true" w:afterAutospacing="true"/>
        <w:ind/>
        <w:rPr>
          <w:rFonts w:cs="Times New Roman"/>
          <w:color w:val="1565c0"/>
        </w:rPr>
      </w:pPr>
      <w:r>
        <w:rPr>
          <w:rFonts w:cs="Times New Roman"/>
          <w:color w:val="1565c0"/>
        </w:rPr>
        <w:t xml:space="preserve">7.7 Final Closing Statement and Research Synthesis</w:t>
      </w:r>
    </w:p>
    <w:p>
      <w:pPr>
        <w:pBdr/>
        <w:pStyle w:val="Normal (Web)"/>
        <w:spacing/>
        <w:ind/>
        <w:rPr/>
      </w:pPr>
      <w:r>
        <w:rPr/>
        <w:t xml:space="preserve">The study of the Bank of India Mutual Fund concludes at a pivotal moment in India's financial history. As the nation moves toward a $7 trillion economy by 2030, the role of institutionalized retail wealth management has never been more critical. This research has demonstrated that BOI Mutual Fund is not merely a subsidiary of a nationalized bank, but a sophisticated financial engine driving the "Financialization of Indian Savings."</w:t>
      </w:r>
    </w:p>
    <w:p>
      <w:pPr>
        <w:pBdr/>
        <w:pStyle w:val="Normal (Web)"/>
        <w:spacing w:beforeAutospacing="true" w:afterAutospacing="true"/>
        <w:ind/>
        <w:rPr>
          <w:rFonts w:cs="Times New Roman"/>
        </w:rPr>
      </w:pPr>
      <w:r>
        <w:rPr>
          <w:rFonts w:cs="Times New Roman"/>
        </w:rPr>
        <w:t xml:space="preserve">7.7.1 The "Public Trust" Competitive Edge</w:t>
      </w:r>
    </w:p>
    <w:p>
      <w:pPr>
        <w:pBdr/>
        <w:pStyle w:val="Normal (Web)"/>
        <w:spacing/>
        <w:ind/>
        <w:rPr/>
      </w:pPr>
      <w:r>
        <w:rPr/>
        <w:t xml:space="preserve">Throughout the data interpretation and performance analysis, a recurring theme emerged: Trust is the ultimate currency. While private AMCs may lead in marketing spend and digital UI, BOI Mutual Fund possesses an inherent advantage in its "Public Sector" identity. This study concludes that in a volatile market environment (such as the 2025-26 cycle), investors gravitate toward brands that offer a blend of professional "Alpha" generation and the perceived security of a government-backed parent.</w:t>
      </w: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before="0" w:after="0" w:line="240" w:lineRule="auto"/>
        <w:ind/>
        <w:rPr>
          <w:rFonts w:cs="Times New Roman"/>
          <w:b w:val="0"/>
          <w:color w:val="000000"/>
          <w:sz w:val="124"/>
        </w:rPr>
      </w:pPr>
      <w:r>
        <w:rPr>
          <w:rFonts w:cs="Times New Roman"/>
          <w:b w:val="0"/>
          <w:color w:val="000000"/>
          <w:sz w:val="124"/>
        </w:rPr>
        <w:t xml:space="preserve"> </w:t>
      </w:r>
    </w:p>
    <w:p>
      <w:pPr>
        <w:pBdr/>
        <w:pStyle w:val="Normal (Web)"/>
        <w:spacing w:before="0" w:after="0" w:line="240" w:lineRule="auto"/>
        <w:ind/>
        <w:rPr>
          <w:rFonts w:cs="Times New Roman"/>
          <w:b w:val="0"/>
          <w:color w:val="000000"/>
          <w:sz w:val="124"/>
        </w:rPr>
      </w:pPr>
      <w:r>
        <w:rPr>
          <w:rFonts w:cs="Times New Roman"/>
          <w:b w:val="0"/>
          <w:color w:val="000000"/>
          <w:sz w:val="124"/>
        </w:rPr>
        <w:t xml:space="preserve"> </w:t>
      </w:r>
    </w:p>
    <w:p>
      <w:pPr>
        <w:pBdr/>
        <w:pStyle w:val="Normal (Web)"/>
        <w:spacing w:before="0" w:after="0" w:line="240" w:lineRule="auto"/>
        <w:ind/>
        <w:rPr>
          <w:rFonts w:cs="Times New Roman"/>
          <w:b w:val="0"/>
          <w:color w:val="000000"/>
          <w:sz w:val="124"/>
        </w:rPr>
      </w:pPr>
    </w:p>
    <w:p>
      <w:pPr>
        <w:pBdr/>
        <w:pStyle w:val="Normal (Web)"/>
        <w:spacing/>
        <w:ind/>
        <w:rPr>
          <w:sz w:val="28"/>
          <w:szCs w:val="28"/>
        </w:rPr>
      </w:pPr>
    </w:p>
    <w:p>
      <w:pPr>
        <w:pBdr/>
        <w:pStyle w:val="Normal (Web)"/>
        <w:spacing/>
        <w:ind/>
        <w:rPr>
          <w:sz w:val="28"/>
          <w:szCs w:val="28"/>
        </w:rPr>
      </w:pPr>
    </w:p>
    <w:p>
      <w:pPr>
        <w:pBdr/>
        <w:pStyle w:val="Normal (Web)"/>
        <w:spacing/>
        <w:ind/>
        <w:rPr>
          <w:sz w:val="120"/>
          <w:szCs w:val="28"/>
        </w:rPr>
      </w:pPr>
      <w:r>
        <w:rPr>
          <w:sz w:val="120"/>
          <w:szCs w:val="28"/>
        </w:rPr>
        <w:t xml:space="preserve">BIBLIOGRAPHY</w:t>
      </w:r>
    </w:p>
    <w:p>
      <w:pPr>
        <w:pBdr/>
        <w:pStyle w:val="Normal (Web)"/>
        <w:spacing/>
        <w:ind/>
        <w:rPr>
          <w:sz w:val="28"/>
          <w:szCs w:val="28"/>
        </w:rPr>
      </w:pPr>
    </w:p>
    <w:p>
      <w:pPr>
        <w:pBdr/>
        <w:pStyle w:val="Normal (Web)"/>
        <w:spacing/>
        <w:ind/>
        <w:rPr>
          <w:sz w:val="28"/>
          <w:szCs w:val="28"/>
        </w:rPr>
      </w:pPr>
    </w:p>
    <w:p>
      <w:pPr>
        <w:pBdr/>
        <w:pStyle w:val="Normal (Web)"/>
        <w:spacing w:before="0" w:after="0" w:line="240" w:lineRule="auto"/>
        <w:ind/>
        <w:rPr>
          <w:rFonts w:cs="Times New Roman"/>
          <w:b w:val="0"/>
          <w:color w:val="000000"/>
          <w:sz w:val="124"/>
        </w:rPr>
      </w:pPr>
      <w:r>
        <w:rPr>
          <w:rFonts w:cs="Times New Roman"/>
          <w:b w:val="0"/>
          <w:color w:val="000000"/>
          <w:sz w:val="124"/>
        </w:rPr>
        <w:t xml:space="preserve"> </w:t>
      </w:r>
    </w:p>
    <w:p>
      <w:pPr>
        <w:pBdr/>
        <w:pStyle w:val="Normal (Web)"/>
        <w:spacing w:before="0" w:after="0" w:line="240" w:lineRule="auto"/>
        <w:ind/>
        <w:rPr>
          <w:rFonts w:cs="Times New Roman"/>
          <w:b w:val="0"/>
          <w:color w:val="000000"/>
          <w:sz w:val="124"/>
        </w:rPr>
      </w:pPr>
      <w:r>
        <w:rPr>
          <w:rFonts w:cs="Times New Roman"/>
          <w:b w:val="0"/>
          <w:color w:val="000000"/>
          <w:sz w:val="124"/>
        </w:rPr>
        <w:t xml:space="preserve"> </w:t>
      </w: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Heading 2"/>
        <w:spacing w:beforeAutospacing="true" w:afterAutospacing="true"/>
        <w:ind/>
        <w:rPr>
          <w:rFonts w:cs="Times New Roman"/>
          <w:color w:val="1565c0"/>
        </w:rPr>
      </w:pPr>
      <w:r>
        <w:rPr>
          <w:rFonts w:cs="Times New Roman"/>
          <w:color w:val="1565c0"/>
        </w:rPr>
        <w:t xml:space="preserve">8. BIBLIOGRAPHY</w:t>
      </w:r>
    </w:p>
    <w:p>
      <w:pPr>
        <w:pBdr/>
        <w:pStyle w:val="Normal (Web)"/>
        <w:spacing/>
        <w:ind/>
        <w:rPr/>
      </w:pPr>
      <w:r>
        <w:rPr/>
        <w:t xml:space="preserve">A comprehensive bibliography is essential to validate the research and provide a roadmap for future scholars. This section lists the diverse sources—ranging from academic journals to real-time financial databases—used to analyze the Bank of India (BOI) Mutual Fund performance up to 2026.</w:t>
      </w:r>
    </w:p>
    <w:p>
      <w:pPr>
        <w:pBdr/>
        <w:pStyle w:val="Normal"/>
        <w:spacing/>
        <w:ind/>
        <w:rPr/>
      </w:pPr>
      <w:r>
        <w:rPr/>
        <w:pict>
          <v:rect style="width:0;height:2" o:hralign="center" o:hrstd="t" o:hr="t" fillcolor="FFFFFF" stroked="f"/>
        </w:pict>
      </w:r>
    </w:p>
    <w:p>
      <w:pPr>
        <w:pBdr/>
        <w:pStyle w:val="Normal (Web)"/>
        <w:spacing w:beforeAutospacing="true" w:afterAutospacing="true"/>
        <w:ind/>
        <w:rPr>
          <w:rFonts w:cs="Times New Roman"/>
          <w:sz w:val="26"/>
        </w:rPr>
      </w:pPr>
    </w:p>
    <w:p>
      <w:pPr>
        <w:pBdr/>
        <w:pStyle w:val="Normal (Web)"/>
        <w:numPr>
          <w:ilvl w:val="0"/>
          <w:numId w:val="0"/>
        </w:numPr>
        <w:spacing/>
        <w:ind/>
        <w:rPr>
          <w:sz w:val="26"/>
        </w:rPr>
      </w:pPr>
    </w:p>
    <w:p>
      <w:pPr>
        <w:pBdr/>
        <w:pStyle w:val="Normal (Web)"/>
        <w:numPr>
          <w:ilvl w:val="0"/>
          <w:numId w:val="0"/>
        </w:numPr>
        <w:spacing/>
        <w:ind/>
        <w:rPr>
          <w:sz w:val="26"/>
        </w:rPr>
      </w:pPr>
    </w:p>
    <w:p>
      <w:pPr>
        <w:pBdr/>
        <w:pStyle w:val="Normal (Web)"/>
        <w:numPr>
          <w:ilvl w:val="0"/>
          <w:numId w:val="0"/>
        </w:numPr>
        <w:spacing/>
        <w:ind/>
        <w:rPr>
          <w:sz w:val="26"/>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spacing/>
        <w:ind/>
        <w:rPr>
          <w:sz w:val="28"/>
          <w:szCs w:val="28"/>
        </w:rPr>
      </w:pPr>
    </w:p>
    <w:p>
      <w:pPr>
        <w:pBdr/>
        <w:pStyle w:val="Normal (Web)"/>
        <w:numPr>
          <w:ilvl w:val="0"/>
          <w:numId w:val="0"/>
        </w:numPr>
        <w:spacing/>
        <w:ind/>
        <w:rPr>
          <w:color w:val="1565c0"/>
          <w:sz w:val="36"/>
        </w:rPr>
      </w:pPr>
      <w:r>
        <w:rPr>
          <w:color w:val="000000"/>
          <w:sz w:val="36"/>
        </w:rPr>
        <w:t xml:space="preserve">8.</w:t>
      </w:r>
      <w:r>
        <w:rPr>
          <w:color w:val="1565c0"/>
          <w:sz w:val="36"/>
        </w:rPr>
        <w:t xml:space="preserve">2 Journals and Research Papers</w:t>
      </w:r>
    </w:p>
    <w:p>
      <w:pPr>
        <w:pBdr/>
        <w:pStyle w:val="Normal (Web)"/>
        <w:spacing/>
        <w:ind/>
        <w:rPr/>
      </w:pPr>
      <w:r>
        <w:rPr/>
        <w:t xml:space="preserve">Gupta, S., &amp; Sharma, R. (2025). "Comparative Analysis of Public and Private Sector Mutual Funds: A Five-Year Study (2020-2025)." </w:t>
      </w:r>
      <w:r>
        <w:rPr>
          <w:i/>
          <w:iCs/>
        </w:rPr>
        <w:t xml:space="preserve">Indian Journal of Finance</w:t>
      </w:r>
      <w:r>
        <w:rPr/>
        <w:t xml:space="preserve">, Vol. 19, No. 2, pp. 45–60.</w:t>
      </w:r>
    </w:p>
    <w:p>
      <w:pPr>
        <w:pBdr/>
        <w:pStyle w:val="Normal (Web)"/>
        <w:numPr>
          <w:ilvl w:val="0"/>
          <w:numId w:val="0"/>
        </w:numPr>
        <w:spacing/>
        <w:ind/>
        <w:rPr/>
      </w:pPr>
      <w:r>
        <w:rPr/>
        <w:t xml:space="preserve">Malhotra, M. (2026). "The Impact of Bank-Sponsorship on Asset Under Management (AUM) Growth in Emerging Markets." </w:t>
      </w:r>
      <w:r>
        <w:rPr>
          <w:i/>
          <w:iCs/>
        </w:rPr>
        <w:t xml:space="preserve">Journal of Asset Management &amp; Financial Innovation</w:t>
      </w:r>
      <w:r>
        <w:rPr/>
        <w:t xml:space="preserve">, Vol. 8(1).</w:t>
      </w:r>
    </w:p>
    <w:p>
      <w:pPr>
        <w:pBdr/>
        <w:pStyle w:val="Normal (Web)"/>
        <w:numPr>
          <w:ilvl w:val="0"/>
          <w:numId w:val="0"/>
        </w:numPr>
        <w:spacing/>
        <w:ind/>
        <w:rPr/>
      </w:pPr>
      <w:r>
        <w:rPr/>
        <w:t xml:space="preserve">National Stock Exchange (NSE). (2025). "The Rise of Retail Participation in Mid and Small-Cap Funds." </w:t>
      </w:r>
      <w:r>
        <w:rPr>
          <w:i/>
          <w:iCs/>
        </w:rPr>
        <w:t xml:space="preserve">NSE White Paper Series on Indian Capital Markets</w:t>
      </w:r>
      <w:r>
        <w:rPr/>
        <w:t xml:space="preserve">.</w:t>
      </w:r>
    </w:p>
    <w:p>
      <w:pPr>
        <w:pBdr/>
        <w:pStyle w:val="Normal (Web)"/>
        <w:spacing w:before="0" w:after="0" w:line="240" w:lineRule="auto"/>
        <w:ind/>
        <w:rPr>
          <w:rFonts w:cs="Times New Roman"/>
          <w:b w:val="0"/>
          <w:color w:val="000000"/>
          <w:sz w:val="124"/>
        </w:rPr>
      </w:pPr>
      <w:r>
        <w:rPr>
          <w:rFonts w:cs="Times New Roman"/>
          <w:b w:val="0"/>
          <w:color w:val="000000"/>
          <w:sz w:val="124"/>
        </w:rPr>
        <w:t xml:space="preserve"> </w:t>
      </w:r>
    </w:p>
    <w:p>
      <w:pPr>
        <w:pBdr/>
        <w:pStyle w:val="Normal (Web)"/>
        <w:spacing w:before="0" w:after="0" w:line="240" w:lineRule="auto"/>
        <w:ind/>
        <w:rPr>
          <w:rFonts w:cs="Times New Roman"/>
          <w:b w:val="0"/>
          <w:color w:val="000000"/>
          <w:sz w:val="124"/>
        </w:rPr>
      </w:pPr>
      <w:r>
        <w:rPr>
          <w:rFonts w:cs="Times New Roman"/>
          <w:b w:val="0"/>
          <w:color w:val="000000"/>
          <w:sz w:val="124"/>
        </w:rPr>
        <w:t xml:space="preserve"> </w:t>
      </w:r>
    </w:p>
    <w:p>
      <w:pPr>
        <w:pBdr/>
        <w:pStyle w:val="Normal (Web)"/>
        <w:spacing w:before="0" w:after="0" w:line="240" w:lineRule="auto"/>
        <w:ind/>
        <w:rPr>
          <w:rFonts w:cs="Times New Roman"/>
          <w:b w:val="0"/>
          <w:color w:val="000000"/>
          <w:sz w:val="124"/>
        </w:rPr>
      </w:pPr>
    </w:p>
    <w:p>
      <w:pPr>
        <w:pBdr/>
        <w:pStyle w:val="Normal (Web)"/>
        <w:spacing w:before="0" w:after="0" w:line="240" w:lineRule="auto"/>
        <w:ind/>
        <w:rPr>
          <w:rFonts w:cs="Times New Roman"/>
          <w:b w:val="0"/>
          <w:color w:val="000000"/>
          <w:sz w:val="124"/>
        </w:rPr>
      </w:pPr>
      <w:r>
        <w:rPr>
          <w:rFonts w:cs="Times New Roman"/>
          <w:b w:val="0"/>
          <w:color w:val="000000"/>
          <w:sz w:val="124"/>
        </w:rPr>
        <w:t xml:space="preserve"> </w:t>
      </w:r>
    </w:p>
    <w:p>
      <w:pPr>
        <w:pBdr/>
        <w:pStyle w:val="Normal (Web)"/>
        <w:spacing w:before="0" w:after="0" w:line="240" w:lineRule="auto"/>
        <w:ind/>
        <w:rPr>
          <w:rFonts w:cs="Times New Roman"/>
          <w:b w:val="0"/>
          <w:color w:val="000000"/>
          <w:sz w:val="124"/>
        </w:rPr>
      </w:pPr>
    </w:p>
    <w:p>
      <w:pPr>
        <w:pBdr/>
        <w:pStyle w:val="Normal (Web)"/>
        <w:spacing/>
        <w:ind/>
        <w:jc w:val="center"/>
        <w:rPr>
          <w:b w:val="0"/>
          <w:sz w:val="28"/>
          <w:szCs w:val="28"/>
        </w:rPr>
      </w:pPr>
    </w:p>
    <w:sectPr>
      <w:footerReference w:type="default" r:id="rId2"/>
      <w:type w:val="nextPage"/>
      <w:pgSz w:w="12240" w:h="15840"/>
      <w:pgMar w:top="1380" w:right="1200" w:bottom="280" w:left="1220" w:header="720" w:footer="720"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eb)"/>
        <w:spacing/>
        <w:ind/>
        <w:rPr/>
      </w:pPr>
      <w:r>
        <w:rPr/>
        <w:separator/>
      </w:r>
    </w:p>
  </w:endnote>
  <w:endnote w:type="continuationSeparator" w:id="0">
    <w:p>
      <w:pPr>
        <w:pBdr/>
        <w:pStyle w:val="Normal (Web)"/>
        <w:spacing/>
        <w:ind/>
        <w:rPr/>
      </w:pPr>
      <w:r>
        <w:rPr/>
        <w:continuationSeparator/>
      </w:r>
    </w:p>
  </w:endnote>
  <w:endnote w:type="continuationNotice" w:id="1">
    <w:p>
      <w:pPr>
        <w:pBdr/>
        <w:pStyle w:val="Normal"/>
        <w:spacing/>
        <w:ind/>
        <w:rPr/>
      </w:pPr>
    </w:p>
  </w:endnote>
</w:endnotes>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Body Text"/>
      <w:spacing w:line="14" w:lineRule="auto"/>
      <w:ind/>
      <w:rPr>
        <w:sz w:val="2"/>
      </w:rPr>
    </w:pP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eb)"/>
        <w:spacing/>
        <w:ind/>
        <w:rPr/>
      </w:pPr>
      <w:r>
        <w:rPr/>
        <w:separator/>
      </w:r>
    </w:p>
  </w:footnote>
  <w:footnote w:type="continuationSeparator" w:id="0">
    <w:p>
      <w:pPr>
        <w:pBdr/>
        <w:pStyle w:val="Normal (Web)"/>
        <w:spacing/>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7BF97"/>
    <w:lvl w:ilvl="0">
      <w:start w:val="0"/>
      <w:numFmt w:val="bullet"/>
      <w:suff w:val="tab"/>
      <w:lvlText w:val=""/>
      <w:pPr>
        <w:pBdr/>
        <w:spacing/>
        <w:ind w:left="720" w:hanging="360"/>
      </w:pPr>
      <w:rPr>
        <w:rFonts w:ascii="Symbol" w:hAnsi="Symbol"/>
        <w:sz w:val="20"/>
      </w:rPr>
    </w:lvl>
    <w:lvl w:ilvl="1">
      <w:start w:val="1"/>
      <w:numFmt w:val="decimal"/>
      <w:suff w:val="tab"/>
      <w:lvlText w:val="%2."/>
      <w:pPr>
        <w:pBdr/>
        <w:spacing/>
        <w:ind w:left="1440" w:hanging="360"/>
      </w:pPr>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
    <w:nsid w:val="6A51BA"/>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5">
    <w:nsid w:val="31F7B13"/>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5">
    <w:nsid w:val="7938825"/>
    <w:lvl w:ilvl="0">
      <w:start w:val="0"/>
      <w:numFmt w:val="bullet"/>
      <w:suff w:val="tab"/>
      <w:lvlText w:val=""/>
      <w:pPr>
        <w:pBdr/>
        <w:spacing/>
        <w:ind w:left="720" w:hanging="360"/>
      </w:pPr>
      <w:rPr>
        <w:rFonts w:ascii="Symbol" w:eastAsia="Symbol" w:hAnsi="Symbol" w:cs="Symbol"/>
        <w:sz w:val="20"/>
      </w:rPr>
    </w:lvl>
    <w:lvl w:ilvl="1">
      <w:start w:val="0"/>
      <w:numFmt w:val="bullet"/>
      <w:suff w:val="tab"/>
      <w:lvlText w:val="o"/>
      <w:pPr>
        <w:pBdr/>
        <w:spacing/>
        <w:ind w:left="1440" w:hanging="360"/>
      </w:pPr>
      <w:rPr>
        <w:rFonts w:ascii="Courier New" w:eastAsia="Courier New" w:hAnsi="Courier New" w:cs="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22">
    <w:nsid w:val="265D6A37"/>
    <w:lvl w:ilvl="0">
      <w:start w:val="0"/>
      <w:numFmt w:val="bullet"/>
      <w:suff w:val="tab"/>
      <w:lvlText w:val=""/>
      <w:pPr>
        <w:pBdr/>
        <w:spacing/>
        <w:ind w:left="1080" w:hanging="720"/>
      </w:pPr>
      <w:rPr>
        <w:rFonts w:ascii="Symbol" w:eastAsia="Times New Roman" w:hAnsi="Symbol" w:cs="Times New Roman" w:hint="default"/>
      </w:rPr>
    </w:lvl>
    <w:lvl w:ilvl="1">
      <w:start w:val="0"/>
      <w:numFmt w:val="bullet"/>
      <w:suff w:val="tab"/>
      <w:lvlText w:val="o"/>
      <w:pPr>
        <w:pBdr/>
        <w:spacing/>
        <w:ind w:left="1440" w:hanging="360"/>
      </w:pPr>
      <w:rPr>
        <w:rFonts w:ascii="Courier New" w:hAnsi="Courier New" w:cs="Courier New" w:hint="default"/>
      </w:rPr>
    </w:lvl>
    <w:lvl w:ilvl="2">
      <w:start w:val="0"/>
      <w:numFmt w:val="bullet"/>
      <w:suff w:val="tab"/>
      <w:lvlText w:val=""/>
      <w:pPr>
        <w:pBdr/>
        <w:spacing/>
        <w:ind w:left="2160" w:hanging="360"/>
      </w:pPr>
      <w:rPr>
        <w:rFonts w:ascii="Wingdings" w:hAnsi="Wingdings" w:hint="default"/>
      </w:rPr>
    </w:lvl>
    <w:lvl w:ilvl="3">
      <w:start w:val="0"/>
      <w:numFmt w:val="bullet"/>
      <w:suff w:val="tab"/>
      <w:lvlText w:val=""/>
      <w:pPr>
        <w:pBdr/>
        <w:spacing/>
        <w:ind w:left="2880" w:hanging="360"/>
      </w:pPr>
      <w:rPr>
        <w:rFonts w:ascii="Symbol" w:hAnsi="Symbol" w:hint="default"/>
      </w:rPr>
    </w:lvl>
    <w:lvl w:ilvl="4">
      <w:start w:val="0"/>
      <w:numFmt w:val="bullet"/>
      <w:suff w:val="tab"/>
      <w:lvlText w:val="o"/>
      <w:pPr>
        <w:pBdr/>
        <w:spacing/>
        <w:ind w:left="3600" w:hanging="360"/>
      </w:pPr>
      <w:rPr>
        <w:rFonts w:ascii="Courier New" w:hAnsi="Courier New" w:cs="Courier New" w:hint="default"/>
      </w:rPr>
    </w:lvl>
    <w:lvl w:ilvl="5">
      <w:start w:val="0"/>
      <w:numFmt w:val="bullet"/>
      <w:suff w:val="tab"/>
      <w:lvlText w:val=""/>
      <w:pPr>
        <w:pBdr/>
        <w:spacing/>
        <w:ind w:left="4320" w:hanging="360"/>
      </w:pPr>
      <w:rPr>
        <w:rFonts w:ascii="Wingdings" w:hAnsi="Wingdings" w:hint="default"/>
      </w:rPr>
    </w:lvl>
    <w:lvl w:ilvl="6">
      <w:start w:val="0"/>
      <w:numFmt w:val="bullet"/>
      <w:suff w:val="tab"/>
      <w:lvlText w:val=""/>
      <w:pPr>
        <w:pBdr/>
        <w:spacing/>
        <w:ind w:left="5040" w:hanging="360"/>
      </w:pPr>
      <w:rPr>
        <w:rFonts w:ascii="Symbol" w:hAnsi="Symbol" w:hint="default"/>
      </w:rPr>
    </w:lvl>
    <w:lvl w:ilvl="7">
      <w:start w:val="0"/>
      <w:numFmt w:val="bullet"/>
      <w:suff w:val="tab"/>
      <w:lvlText w:val="o"/>
      <w:pPr>
        <w:pBdr/>
        <w:spacing/>
        <w:ind w:left="5760" w:hanging="360"/>
      </w:pPr>
      <w:rPr>
        <w:rFonts w:ascii="Courier New" w:hAnsi="Courier New" w:cs="Courier New" w:hint="default"/>
      </w:rPr>
    </w:lvl>
    <w:lvl w:ilvl="8">
      <w:start w:val="0"/>
      <w:numFmt w:val="bullet"/>
      <w:suff w:val="tab"/>
      <w:lvlText w:val=""/>
      <w:pPr>
        <w:pBdr/>
        <w:spacing/>
        <w:ind w:left="6480" w:hanging="360"/>
      </w:pPr>
      <w:rPr>
        <w:rFonts w:ascii="Wingdings" w:hAnsi="Wingdings" w:hint="default"/>
      </w:rPr>
    </w:lvl>
  </w:abstractNum>
  <w:abstractNum w:abstractNumId="25">
    <w:nsid w:val="4132FC9F"/>
    <w:lvl w:ilvl="0">
      <w:start w:val="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26">
    <w:nsid w:val="5000282F"/>
    <w:lvl w:ilvl="0">
      <w:start w:val="0"/>
      <w:numFmt w:val="bullet"/>
      <w:suff w:val="tab"/>
      <w:lvlText w:val=""/>
      <w:pPr>
        <w:pBdr/>
        <w:spacing/>
        <w:ind w:left="720" w:hanging="360"/>
      </w:pPr>
      <w:rPr>
        <w:rFonts w:ascii="Symbol" w:eastAsia="Symbol" w:hAnsi="Symbol" w:cs="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27">
    <w:nsid w:val="5DFDF6C3"/>
    <w:lvl w:ilvl="0">
      <w:start w:val="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30">
    <w:nsid w:val="6CB31652"/>
    <w:lvl w:ilvl="0">
      <w:start w:val="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num w:numId="1">
    <w:abstractNumId w:val="0"/>
  </w:num>
  <w:num w:numId="2">
    <w:abstractNumId w:val="1"/>
  </w:num>
  <w:num w:numId="6">
    <w:abstractNumId w:val="5"/>
  </w:num>
  <w:num w:numId="16">
    <w:abstractNumId w:val="15"/>
  </w:num>
  <w:num w:numId="23">
    <w:abstractNumId w:val="22"/>
  </w:num>
  <w:num w:numId="26">
    <w:abstractNumId w:val="25"/>
  </w:num>
  <w:num w:numId="27">
    <w:abstractNumId w:val="26"/>
  </w:num>
  <w:num w:numId="28">
    <w:abstractNumId w:val="27"/>
  </w: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IN" w:bidi="mr-IN"/>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rPr>
    </w:rPrDefault>
    <w:pPrDefault>
      <w:pPr>
        <w:pBdr/>
        <w:spacing w:after="160" w:line="259" w:lineRule="auto"/>
        <w:ind/>
      </w:pPr>
    </w:pPrDefault>
  </w:docDefaults>
  <w:style w:type="paragraph" w:styleId="Normal">
    <w:name w:val="Normal"/>
    <w:next w:val="Normal"/>
    <w:pPr>
      <w:pBdr/>
      <w:spacing/>
      <w:ind/>
    </w:pPr>
    <w:rPr>
      <w:rFonts w:ascii="Times New Roman" w:eastAsia="Times New Roman" w:hAnsi="Times New Roman"/>
      <w:sz w:val="24"/>
      <w:szCs w:val="24"/>
    </w:rPr>
  </w:style>
  <w:style w:type="paragraph" w:styleId="Heading 1">
    <w:name w:val="Heading 1"/>
    <w:basedOn w:val="Normal (Web)"/>
    <w:next w:val="Normal (Web)"/>
    <w:link w:val="Heading 1 Char"/>
    <w:pPr>
      <w:pBdr/>
      <w:keepNext/>
      <w:keepLines/>
      <w:outlineLvl w:val="0"/>
      <w:spacing w:before="360" w:after="80"/>
      <w:ind/>
    </w:pPr>
    <w:rPr>
      <w:rFonts w:asciiTheme="majorHAnsi" w:eastAsiaTheme="majorEastAsia" w:hAnsiTheme="majorHAnsi" w:cstheme="majorBidi"/>
      <w:color w:val="2F5496"/>
      <w:sz w:val="40"/>
      <w:szCs w:val="36"/>
    </w:rPr>
  </w:style>
  <w:style w:type="paragraph" w:styleId="Normal (Web)">
    <w:name w:val="Normal (Web)"/>
    <w:basedOn w:val="List Paragraph"/>
    <w:next w:val="Normal (Web)"/>
    <w:link w:val="Normal (Web) Char"/>
    <w:pPr>
      <w:pBdr/>
      <w:outlineLvl w:val="2"/>
      <w:spacing w:before="240" w:after="60"/>
      <w:ind/>
    </w:pPr>
    <w:rPr>
      <w:b/>
      <w:bCs/>
      <w:sz w:val="27"/>
      <w:szCs w:val="26"/>
    </w:rPr>
  </w:style>
  <w:style w:type="paragraph" w:styleId="List Paragraph">
    <w:name w:val="List Paragraph"/>
    <w:next w:val="List Paragraph"/>
    <w:link w:val="List Paragraph Char"/>
    <w:pPr>
      <w:pBdr/>
      <w:spacing/>
      <w:ind/>
    </w:pPr>
    <w:rPr>
      <w:rFonts w:ascii="Times New Roman" w:eastAsia="Times New Roman" w:hAnsi="Times New Roman"/>
      <w:sz w:val="24"/>
      <w:szCs w:val="24"/>
    </w:rPr>
  </w:style>
  <w:style w:type="character" w:styleId="List Paragraph Char">
    <w:name w:val="List Paragraph Char"/>
    <w:basedOn w:val="Default Paragraph Font"/>
    <w:link w:val="List Paragraph"/>
    <w:rPr>
      <w:rFonts w:asciiTheme="majorHAnsi" w:eastAsiaTheme="majorEastAsia" w:hAnsiTheme="majorHAnsi" w:cstheme="majorBidi"/>
      <w:color w:val="2F5496"/>
      <w:sz w:val="32"/>
      <w:szCs w:val="29"/>
    </w:rPr>
  </w:style>
  <w:style w:type="character" w:styleId="Default Paragraph Font">
    <w:name w:val="Default Paragraph Font"/>
    <w:rPr/>
  </w:style>
  <w:style w:type="character" w:styleId="Normal (Web) Char">
    <w:name w:val="Normal (Web) Char"/>
    <w:basedOn w:val="Default Paragraph Font"/>
    <w:link w:val="Normal (Web)"/>
    <w:rPr>
      <w:rFonts w:eastAsiaTheme="majorEastAsia" w:cstheme="majorBidi"/>
      <w:color w:val="2F5496"/>
      <w:sz w:val="28"/>
      <w:szCs w:val="25"/>
    </w:rPr>
  </w:style>
  <w:style w:type="character" w:styleId="Heading 1 Char">
    <w:name w:val="Heading 1 Char"/>
    <w:basedOn w:val="Default Paragraph Font"/>
    <w:link w:val="Heading 1"/>
    <w:rPr>
      <w:rFonts w:asciiTheme="majorHAnsi" w:eastAsiaTheme="majorEastAsia" w:hAnsiTheme="majorHAnsi" w:cstheme="majorBidi"/>
      <w:color w:val="2F5496"/>
      <w:sz w:val="40"/>
      <w:szCs w:val="36"/>
    </w:rPr>
  </w:style>
  <w:style w:type="paragraph" w:styleId="Heading 2">
    <w:name w:val="Heading 2"/>
    <w:basedOn w:val="Normal"/>
    <w:next w:val="Heading 2"/>
    <w:pPr>
      <w:pBdr/>
      <w:outlineLvl w:val="1"/>
      <w:spacing w:before="240" w:after="60"/>
      <w:ind/>
    </w:pPr>
    <w:rPr>
      <w:b/>
      <w:bCs/>
      <w:sz w:val="36"/>
      <w:szCs w:val="36"/>
    </w:rPr>
  </w:style>
  <w:style w:type="paragraph" w:styleId="Heading 4">
    <w:name w:val="Heading 4"/>
    <w:basedOn w:val="Normal"/>
    <w:next w:val="Normal (Web)"/>
    <w:link w:val="Heading 4 Char"/>
    <w:pPr>
      <w:pBdr/>
      <w:keepNext/>
      <w:keepLines/>
      <w:outlineLvl w:val="3"/>
      <w:spacing w:before="80" w:after="40"/>
      <w:ind/>
    </w:pPr>
    <w:rPr>
      <w:rFonts w:asciiTheme="minorHAnsi" w:eastAsiaTheme="majorEastAsia" w:hAnsiTheme="minorHAnsi" w:cstheme="majorBidi"/>
      <w:i/>
      <w:iCs/>
      <w:color w:val="2F5496"/>
      <w:szCs w:val="20"/>
    </w:rPr>
  </w:style>
  <w:style w:type="character" w:styleId="Heading 4 Char">
    <w:name w:val="Heading 4 Char"/>
    <w:basedOn w:val="Default Paragraph Font"/>
    <w:link w:val="Heading 4"/>
    <w:rPr>
      <w:rFonts w:eastAsiaTheme="majorEastAsia" w:cstheme="majorBidi"/>
      <w:i/>
      <w:iCs/>
      <w:color w:val="2F5496"/>
    </w:rPr>
  </w:style>
  <w:style w:type="paragraph" w:styleId="Heading 5">
    <w:name w:val="Heading 5"/>
    <w:basedOn w:val="Normal"/>
    <w:next w:val="Normal (Web)"/>
    <w:link w:val="Heading 5 Char"/>
    <w:pPr>
      <w:pBdr/>
      <w:keepNext/>
      <w:keepLines/>
      <w:outlineLvl w:val="4"/>
      <w:spacing w:before="80" w:after="40"/>
      <w:ind/>
    </w:pPr>
    <w:rPr>
      <w:rFonts w:asciiTheme="minorHAnsi" w:eastAsiaTheme="majorEastAsia" w:hAnsiTheme="minorHAnsi" w:cstheme="majorBidi"/>
      <w:color w:val="2F5496"/>
      <w:szCs w:val="20"/>
    </w:rPr>
  </w:style>
  <w:style w:type="character" w:styleId="Heading 5 Char">
    <w:name w:val="Heading 5 Char"/>
    <w:basedOn w:val="Default Paragraph Font"/>
    <w:link w:val="Heading 5"/>
    <w:rPr>
      <w:rFonts w:eastAsiaTheme="majorEastAsia" w:cstheme="majorBidi"/>
      <w:color w:val="2F5496"/>
    </w:rPr>
  </w:style>
  <w:style w:type="paragraph" w:styleId="Heading 6">
    <w:name w:val="Heading 6"/>
    <w:basedOn w:val="Normal"/>
    <w:next w:val="Normal (Web)"/>
    <w:link w:val="Heading 6 Char"/>
    <w:pPr>
      <w:pBdr/>
      <w:keepNext/>
      <w:keepLines/>
      <w:outlineLvl w:val="5"/>
      <w:spacing w:before="40"/>
      <w:ind/>
    </w:pPr>
    <w:rPr>
      <w:rFonts w:asciiTheme="minorHAnsi" w:eastAsiaTheme="majorEastAsia" w:hAnsiTheme="minorHAnsi" w:cstheme="majorBidi"/>
      <w:i/>
      <w:iCs/>
      <w:color w:val="595959"/>
      <w:szCs w:val="20"/>
    </w:rPr>
  </w:style>
  <w:style w:type="character" w:styleId="Heading 6 Char">
    <w:name w:val="Heading 6 Char"/>
    <w:basedOn w:val="Default Paragraph Font"/>
    <w:link w:val="Heading 6"/>
    <w:rPr>
      <w:rFonts w:eastAsiaTheme="majorEastAsia" w:cstheme="majorBidi"/>
      <w:i/>
      <w:iCs/>
      <w:color w:val="595959"/>
    </w:rPr>
  </w:style>
  <w:style w:type="paragraph" w:styleId="Heading 7">
    <w:name w:val="Heading 7"/>
    <w:basedOn w:val="Normal"/>
    <w:next w:val="Normal (Web)"/>
    <w:link w:val="Heading 7 Char"/>
    <w:pPr>
      <w:pBdr/>
      <w:keepNext/>
      <w:keepLines/>
      <w:outlineLvl w:val="6"/>
      <w:spacing w:before="40"/>
      <w:ind/>
    </w:pPr>
    <w:rPr>
      <w:rFonts w:asciiTheme="minorHAnsi" w:eastAsiaTheme="majorEastAsia" w:hAnsiTheme="minorHAnsi" w:cstheme="majorBidi"/>
      <w:color w:val="595959"/>
      <w:szCs w:val="20"/>
    </w:rPr>
  </w:style>
  <w:style w:type="character" w:styleId="Heading 7 Char">
    <w:name w:val="Heading 7 Char"/>
    <w:basedOn w:val="Default Paragraph Font"/>
    <w:link w:val="Heading 7"/>
    <w:rPr>
      <w:rFonts w:eastAsiaTheme="majorEastAsia" w:cstheme="majorBidi"/>
      <w:color w:val="595959"/>
    </w:rPr>
  </w:style>
  <w:style w:type="paragraph" w:styleId="Heading 8">
    <w:name w:val="Heading 8"/>
    <w:basedOn w:val="Normal"/>
    <w:next w:val="Normal (Web)"/>
    <w:link w:val="Heading 8 Char"/>
    <w:pPr>
      <w:pBdr/>
      <w:keepNext/>
      <w:keepLines/>
      <w:outlineLvl w:val="7"/>
      <w:spacing/>
      <w:ind/>
    </w:pPr>
    <w:rPr>
      <w:rFonts w:asciiTheme="minorHAnsi" w:eastAsiaTheme="majorEastAsia" w:hAnsiTheme="minorHAnsi" w:cstheme="majorBidi"/>
      <w:i/>
      <w:iCs/>
      <w:color w:val="272727"/>
      <w:szCs w:val="20"/>
    </w:rPr>
  </w:style>
  <w:style w:type="character" w:styleId="Heading 8 Char">
    <w:name w:val="Heading 8 Char"/>
    <w:basedOn w:val="Default Paragraph Font"/>
    <w:link w:val="Heading 8"/>
    <w:rPr>
      <w:rFonts w:eastAsiaTheme="majorEastAsia" w:cstheme="majorBidi"/>
      <w:i/>
      <w:iCs/>
      <w:color w:val="272727"/>
    </w:rPr>
  </w:style>
  <w:style w:type="paragraph" w:styleId="Heading 9">
    <w:name w:val="Heading 9"/>
    <w:basedOn w:val="Normal"/>
    <w:next w:val="Normal (Web)"/>
    <w:link w:val="Heading 9 Char"/>
    <w:pPr>
      <w:pBdr/>
      <w:keepNext/>
      <w:keepLines/>
      <w:outlineLvl w:val="8"/>
      <w:spacing/>
      <w:ind/>
    </w:pPr>
    <w:rPr>
      <w:rFonts w:asciiTheme="minorHAnsi" w:eastAsiaTheme="majorEastAsia" w:hAnsiTheme="minorHAnsi" w:cstheme="majorBidi"/>
      <w:color w:val="272727"/>
      <w:szCs w:val="20"/>
    </w:rPr>
  </w:style>
  <w:style w:type="character" w:styleId="Heading 9 Char">
    <w:name w:val="Heading 9 Char"/>
    <w:basedOn w:val="Default Paragraph Font"/>
    <w:link w:val="Heading 9"/>
    <w:rPr>
      <w:rFonts w:eastAsiaTheme="majorEastAsia" w:cstheme="majorBidi"/>
      <w:color w:val="272727"/>
    </w:rPr>
  </w:style>
  <w:style w:type="table" w:styleId="Normal Table">
    <w:name w:val="Normal Table"/>
    <w:next w:val="Normal Table"/>
  </w:style>
  <w:style w:type="paragraph" w:styleId="Title">
    <w:name w:val="Title"/>
    <w:basedOn w:val="Normal"/>
    <w:next w:val="Normal (Web)"/>
    <w:link w:val="Title Char"/>
    <w:pPr>
      <w:pBdr/>
      <w:spacing w:after="80"/>
      <w:contextualSpacing/>
      <w:ind/>
    </w:pPr>
    <w:rPr>
      <w:rFonts w:asciiTheme="majorHAnsi" w:eastAsiaTheme="majorEastAsia" w:hAnsiTheme="majorHAnsi" w:cstheme="majorBidi"/>
      <w:sz w:val="56"/>
      <w:spacing w:val="-10"/>
      <w:szCs w:val="50"/>
    </w:rPr>
  </w:style>
  <w:style w:type="character" w:styleId="Title Char">
    <w:name w:val="Title Char"/>
    <w:basedOn w:val="Default Paragraph Font"/>
    <w:link w:val="Title"/>
    <w:rPr>
      <w:rFonts w:asciiTheme="majorHAnsi" w:eastAsiaTheme="majorEastAsia" w:hAnsiTheme="majorHAnsi" w:cstheme="majorBidi"/>
      <w:sz w:val="56"/>
      <w:spacing w:val="-10"/>
      <w:szCs w:val="50"/>
    </w:rPr>
  </w:style>
  <w:style w:type="paragraph" w:styleId="Subtitle">
    <w:name w:val="Subtitle"/>
    <w:basedOn w:val="Normal"/>
    <w:next w:val="Normal (Web)"/>
    <w:link w:val="Subtitle Char"/>
    <w:pPr>
      <w:pBdr/>
      <w:numPr>
        <w:ilvl w:val="1"/>
      </w:numPr>
      <w:spacing/>
      <w:ind/>
    </w:pPr>
    <w:rPr>
      <w:rFonts w:asciiTheme="minorHAnsi" w:eastAsiaTheme="majorEastAsia" w:hAnsiTheme="minorHAnsi" w:cstheme="majorBidi"/>
      <w:color w:val="595959"/>
      <w:sz w:val="28"/>
      <w:spacing w:val="15"/>
      <w:szCs w:val="25"/>
    </w:rPr>
  </w:style>
  <w:style w:type="character" w:styleId="Subtitle Char">
    <w:name w:val="Subtitle Char"/>
    <w:basedOn w:val="Default Paragraph Font"/>
    <w:link w:val="Subtitle"/>
    <w:rPr>
      <w:rFonts w:eastAsiaTheme="majorEastAsia" w:cstheme="majorBidi"/>
      <w:color w:val="595959"/>
      <w:sz w:val="28"/>
      <w:spacing w:val="15"/>
      <w:szCs w:val="25"/>
    </w:rPr>
  </w:style>
  <w:style w:type="paragraph" w:styleId="Quote">
    <w:name w:val="Quote"/>
    <w:basedOn w:val="Normal"/>
    <w:next w:val="Normal (Web)"/>
    <w:link w:val="Quote Char"/>
    <w:pPr>
      <w:pBdr/>
      <w:spacing w:before="160"/>
      <w:ind/>
      <w:jc w:val="center"/>
    </w:pPr>
    <w:rPr>
      <w:rFonts w:asciiTheme="minorHAnsi" w:eastAsiaTheme="minorHAnsi" w:hAnsiTheme="minorHAnsi"/>
      <w:i/>
      <w:iCs/>
      <w:color w:val="404040"/>
      <w:szCs w:val="20"/>
    </w:rPr>
  </w:style>
  <w:style w:type="character" w:styleId="Quote Char">
    <w:name w:val="Quote Char"/>
    <w:basedOn w:val="Default Paragraph Font"/>
    <w:link w:val="Quote"/>
    <w:rPr>
      <w:i/>
      <w:iCs/>
      <w:color w:val="404040"/>
    </w:rPr>
  </w:style>
  <w:style w:type="character" w:styleId="Intense Emphasis">
    <w:name w:val="Intense Emphasis"/>
    <w:basedOn w:val="Default Paragraph Font"/>
    <w:rPr>
      <w:i/>
      <w:iCs/>
      <w:color w:val="2F5496"/>
    </w:rPr>
  </w:style>
  <w:style w:type="paragraph" w:styleId="Intense Quote">
    <w:name w:val="Intense Quote"/>
    <w:basedOn w:val="Normal"/>
    <w:next w:val="Normal (Web)"/>
    <w:link w:val="Intense Quote Char"/>
    <w:pPr>
      <w:pBdr>
        <w:top w:val="single" w:color="2F5496" w:sz="4" w:space="10"/>
        <w:bottom w:val="single" w:color="2F5496" w:sz="4" w:space="10"/>
      </w:pBdr>
      <w:spacing w:before="360" w:after="360"/>
      <w:ind w:left="864" w:right="864"/>
      <w:jc w:val="center"/>
    </w:pPr>
    <w:rPr>
      <w:rFonts w:asciiTheme="minorHAnsi" w:eastAsiaTheme="minorHAnsi" w:hAnsiTheme="minorHAnsi"/>
      <w:i/>
      <w:iCs/>
      <w:color w:val="2F5496"/>
      <w:szCs w:val="20"/>
    </w:rPr>
  </w:style>
  <w:style w:type="character" w:styleId="Intense Quote Char">
    <w:name w:val="Intense Quote Char"/>
    <w:basedOn w:val="Default Paragraph Font"/>
    <w:link w:val="Intense Quote"/>
    <w:rPr>
      <w:i/>
      <w:iCs/>
      <w:color w:val="2F5496"/>
    </w:rPr>
  </w:style>
  <w:style w:type="character" w:styleId="Intense Reference">
    <w:name w:val="Intense Reference"/>
    <w:basedOn w:val="Default Paragraph Font"/>
    <w:rPr>
      <w:b/>
      <w:bCs/>
      <w:color w:val="2F5496"/>
      <w:spacing w:val="5"/>
    </w:rPr>
  </w:style>
  <w:style w:type="paragraph" w:styleId="Body Text">
    <w:name w:val="Body Text"/>
    <w:basedOn w:val="Normal"/>
    <w:next w:val="Body Text"/>
    <w:link w:val="Body Text Char"/>
    <w:pPr>
      <w:pBdr/>
      <w:spacing/>
      <w:ind/>
    </w:pPr>
    <w:rPr/>
  </w:style>
  <w:style w:type="character" w:styleId="Body Text Char">
    <w:name w:val="Body Text Char"/>
    <w:basedOn w:val="Default Paragraph Font"/>
    <w:link w:val="Body Text"/>
    <w:rPr>
      <w:rFonts w:ascii="Times New Roman" w:eastAsia="Times New Roman" w:hAnsi="Times New Roman" w:cs="Times New Roman"/>
      <w:sz w:val="24"/>
      <w:szCs w:val="24"/>
    </w:rPr>
  </w:style>
  <w:style w:type="paragraph" w:styleId="Table Paragraph">
    <w:name w:val="Table Paragraph"/>
    <w:basedOn w:val="Normal"/>
    <w:next w:val="Table Paragraph"/>
    <w:pPr>
      <w:pBdr/>
      <w:spacing w:line="270" w:lineRule="exact"/>
      <w:ind w:left="110"/>
    </w:pPr>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 w:type="character" w:styleId="Hyperlink">
    <w:name w:val="Hyperlink"/>
    <w:basedOn w:val="Default Paragraph Font"/>
    <w:rPr>
      <w:color w:val="0000FF"/>
      <w:u w:val="single"/>
    </w:rPr>
  </w:style>
  <w:style w:type="paragraph" w:styleId="Heading 3">
    <w:name w:val="Heading 3"/>
    <w:basedOn w:val="Normal"/>
    <w:next w:val="Normal"/>
    <w:link w:val="Heading 3 Char"/>
    <w:pPr>
      <w:pBdr/>
      <w:outlineLvl w:val="2"/>
      <w:spacing w:before="40" w:after="0" w:line="259" w:lineRule="auto"/>
      <w:ind w:left="0" w:right="0" w:firstLine="0"/>
      <w:jc w:val="left"/>
    </w:pPr>
    <w:rPr>
      <w:rFonts w:ascii="Calibri Light" w:hAnsi="Calibri Light"/>
      <w:color w:val="1F3763"/>
      <w:sz w:val="24"/>
    </w:rPr>
  </w:style>
  <w:style w:type="character" w:styleId="Heading 3 Char">
    <w:name w:val="Heading 3 Char"/>
    <w:basedOn w:val="Default Paragraph Font"/>
    <w:rPr>
      <w:rFonts w:ascii="Calibri Light" w:hAnsi="Calibri Light"/>
      <w:color w:val="1F3763"/>
      <w:sz w:val="24"/>
    </w:rPr>
  </w:style>
</w:styles>
</file>

<file path=word/_rels/document.xml.rels><?xml version="1.0" encoding="utf-8"?><Relationships xmlns="http://schemas.openxmlformats.org/package/2006/relationships"><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endnotes" Target="endnotes.xml" /><Relationship Id="rId6" Type="http://schemas.openxmlformats.org/officeDocument/2006/relationships/footnotes" Target="footnotes.xml" /><Relationship Id="rId7" Type="http://schemas.openxmlformats.org/officeDocument/2006/relationships/theme" Target="theme/theme1.xml" /><Relationship Id="rId8" Type="http://schemas.openxmlformats.org/officeDocument/2006/relationships/numbering" Target="numbering.xml" /><Relationship Id="rId2" Type="http://schemas.openxmlformats.org/officeDocument/2006/relationships/footer" Target="footer2.xml" /><Relationship Id="rId1" Type="http://schemas.openxmlformats.org/officeDocument/2006/relationships/image" Target="media/imagerId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