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5FA3"/>
          <w:sz w:val="36"/>
          <w:szCs w:val="36"/>
        </w:rPr>
        <w:t xml:space="preserve">Trekion.ai — Technical Assessment</w:t>
      </w:r>
    </w:p>
    <w:p>
      <w:pPr>
        <w:spacing w:after="80" w:before="0"/>
        <w:jc w:val="center"/>
      </w:pPr>
      <w:r>
        <w:rPr>
          <w:rFonts w:ascii="Arial" w:cs="Arial" w:eastAsia="Arial" w:hAnsi="Arial"/>
          <w:color w:val="555555"/>
          <w:sz w:val="24"/>
          <w:szCs w:val="24"/>
        </w:rPr>
        <w:t xml:space="preserve">Robotics Data Engineering Intern</w:t>
      </w:r>
    </w:p>
    <w:p>
      <w:pPr>
        <w:spacing w:after="400" w:before="0"/>
        <w:jc w:val="center"/>
      </w:pPr>
      <w:r>
        <w:rPr>
          <w:rFonts w:ascii="Arial" w:cs="Arial" w:eastAsia="Arial" w:hAnsi="Arial"/>
          <w:i/>
          <w:iCs/>
          <w:color w:val="777777"/>
          <w:sz w:val="22"/>
          <w:szCs w:val="22"/>
        </w:rPr>
        <w:t xml:space="preserve">Technical Write-Up</w:t>
      </w:r>
    </w:p>
    <w:p>
      <w:pPr>
        <w:pStyle w:val="Heading1"/>
      </w:pPr>
      <w:r>
        <w:t xml:space="preserve">1. Binary Format Parsing</w:t>
      </w:r>
    </w:p>
    <w:p>
      <w:pPr>
        <w:spacing w:after="100" w:before="80"/>
      </w:pPr>
      <w:r>
        <w:rPr>
          <w:rFonts w:ascii="Arial" w:cs="Arial" w:eastAsia="Arial" w:hAnsi="Arial"/>
          <w:b/>
          <w:bCs/>
          <w:sz w:val="22"/>
          <w:szCs w:val="22"/>
        </w:rPr>
        <w:t xml:space="preserve">Approach. </w:t>
      </w:r>
      <w:r>
        <w:rPr>
          <w:rFonts w:ascii="Arial" w:cs="Arial" w:eastAsia="Arial" w:hAnsi="Arial"/>
          <w:sz w:val="22"/>
          <w:szCs w:val="22"/>
        </w:rPr>
        <w:t xml:space="preserve">The .imu and .vts files were reverse-engineered by inspecting raw bytes with Python's </w:t>
      </w:r>
      <w:r>
        <w:rPr>
          <w:rFonts w:ascii="Courier New" w:cs="Courier New" w:eastAsia="Courier New" w:hAnsi="Courier New"/>
          <w:sz w:val="20"/>
          <w:szCs w:val="20"/>
        </w:rPr>
        <w:t xml:space="preserve">struct</w:t>
      </w:r>
      <w:r>
        <w:rPr>
          <w:rFonts w:ascii="Arial" w:cs="Arial" w:eastAsia="Arial" w:hAnsi="Arial"/>
          <w:sz w:val="22"/>
          <w:szCs w:val="22"/>
        </w:rPr>
        <w:t xml:space="preserve"> module and a hex editor. The process started by confirming the ASCII magic bytes at offset 0 (</w:t>
      </w:r>
      <w:r>
        <w:rPr>
          <w:rFonts w:ascii="Courier New" w:cs="Courier New" w:eastAsia="Courier New" w:hAnsi="Courier New"/>
          <w:sz w:val="20"/>
          <w:szCs w:val="20"/>
        </w:rPr>
        <w:t xml:space="preserve">TRIMU001</w:t>
      </w:r>
      <w:r>
        <w:rPr>
          <w:rFonts w:ascii="Arial" w:cs="Arial" w:eastAsia="Arial" w:hAnsi="Arial"/>
          <w:sz w:val="22"/>
          <w:szCs w:val="22"/>
        </w:rPr>
        <w:t xml:space="preserve"> and </w:t>
      </w:r>
      <w:r>
        <w:rPr>
          <w:rFonts w:ascii="Courier New" w:cs="Courier New" w:eastAsia="Courier New" w:hAnsi="Courier New"/>
          <w:sz w:val="20"/>
          <w:szCs w:val="20"/>
        </w:rPr>
        <w:t xml:space="preserve">TRIVTS01</w:t>
      </w:r>
      <w:r>
        <w:rPr>
          <w:rFonts w:ascii="Arial" w:cs="Arial" w:eastAsia="Arial" w:hAnsi="Arial"/>
          <w:sz w:val="22"/>
          <w:szCs w:val="22"/>
        </w:rPr>
        <w:t xml:space="preserve">), then reading the uint32 fields in the header to find record count hints and nominal sample rates.</w:t>
      </w:r>
    </w:p>
    <w:p>
      <w:pPr>
        <w:spacing w:after="100" w:before="80"/>
      </w:pPr>
      <w:r>
        <w:rPr>
          <w:rFonts w:ascii="Arial" w:cs="Arial" w:eastAsia="Arial" w:hAnsi="Arial"/>
          <w:b/>
          <w:bCs/>
          <w:sz w:val="22"/>
          <w:szCs w:val="22"/>
        </w:rPr>
        <w:t xml:space="preserve">IMU format. </w:t>
      </w:r>
      <w:r>
        <w:rPr>
          <w:rFonts w:ascii="Arial" w:cs="Arial" w:eastAsia="Arial" w:hAnsi="Arial"/>
          <w:sz w:val="22"/>
          <w:szCs w:val="22"/>
        </w:rPr>
        <w:t xml:space="preserve">After the 64-byte header, records appear at fixed 80-byte strides. The first 8 bytes of each record are a uint64 hardware timestamp in nanoseconds. The next 36 bytes are nine float32 values: accelerometer XYZ (m/s²), gyroscope XYZ (deg/s), and magnetometer XYZ (µT). A single float32 temperature follows at offset 44. Bytes 48–79 are reserved zeros. All values are little-endian.</w:t>
      </w:r>
    </w:p>
    <w:p>
      <w:pPr>
        <w:spacing w:after="100" w:before="80"/>
      </w:pPr>
      <w:r>
        <w:rPr>
          <w:rFonts w:ascii="Arial" w:cs="Arial" w:eastAsia="Arial" w:hAnsi="Arial"/>
          <w:b/>
          <w:bCs/>
          <w:sz w:val="22"/>
          <w:szCs w:val="22"/>
        </w:rPr>
        <w:t xml:space="preserve">VTS format. </w:t>
      </w:r>
      <w:r>
        <w:rPr>
          <w:rFonts w:ascii="Arial" w:cs="Arial" w:eastAsia="Arial" w:hAnsi="Arial"/>
          <w:sz w:val="22"/>
          <w:szCs w:val="22"/>
        </w:rPr>
        <w:t xml:space="preserve">After the 32-byte header, records are 24 bytes each. Offset 0 holds a uint32 sequential record index, offset 4 a uint64 hardware timestamp (same nanosecond clock as the IMU), offset 12 a uint32 video frame index, and offset 16 a uint64 timestamp in microseconds. This dual-timestamp structure confirmed the clock domain is shared between files.</w:t>
      </w:r>
    </w:p>
    <w:p>
      <w:pPr>
        <w:spacing w:after="100" w:before="80"/>
      </w:pPr>
      <w:r>
        <w:rPr>
          <w:rFonts w:ascii="Arial" w:cs="Arial" w:eastAsia="Arial" w:hAnsi="Arial"/>
          <w:b/>
          <w:bCs/>
          <w:sz w:val="22"/>
          <w:szCs w:val="22"/>
        </w:rPr>
        <w:t xml:space="preserve">Implementation. </w:t>
      </w:r>
      <w:r>
        <w:rPr>
          <w:rFonts w:ascii="Arial" w:cs="Arial" w:eastAsia="Arial" w:hAnsi="Arial"/>
          <w:sz w:val="22"/>
          <w:szCs w:val="22"/>
        </w:rPr>
        <w:t xml:space="preserve">Parsing is handled in </w:t>
      </w:r>
      <w:r>
        <w:rPr>
          <w:rFonts w:ascii="Courier New" w:cs="Courier New" w:eastAsia="Courier New" w:hAnsi="Courier New"/>
          <w:sz w:val="20"/>
          <w:szCs w:val="20"/>
        </w:rPr>
        <w:t xml:space="preserve">parse_imu.py</w:t>
      </w:r>
      <w:r>
        <w:rPr>
          <w:rFonts w:ascii="Arial" w:cs="Arial" w:eastAsia="Arial" w:hAnsi="Arial"/>
          <w:sz w:val="22"/>
          <w:szCs w:val="22"/>
        </w:rPr>
        <w:t xml:space="preserve">. Both parsers pre-allocate NumPy arrays for speed and return clean Pandas DataFrames. The </w:t>
      </w:r>
      <w:r>
        <w:rPr>
          <w:rFonts w:ascii="Courier New" w:cs="Courier New" w:eastAsia="Courier New" w:hAnsi="Courier New"/>
          <w:sz w:val="20"/>
          <w:szCs w:val="20"/>
        </w:rPr>
        <w:t xml:space="preserve">sync_imu_to_frames()</w:t>
      </w:r>
      <w:r>
        <w:rPr>
          <w:rFonts w:ascii="Arial" w:cs="Arial" w:eastAsia="Arial" w:hAnsi="Arial"/>
          <w:sz w:val="22"/>
          <w:szCs w:val="22"/>
        </w:rPr>
        <w:t xml:space="preserve"> function uses </w:t>
      </w:r>
      <w:r>
        <w:rPr>
          <w:rFonts w:ascii="Courier New" w:cs="Courier New" w:eastAsia="Courier New" w:hAnsi="Courier New"/>
          <w:sz w:val="20"/>
          <w:szCs w:val="20"/>
        </w:rPr>
        <w:t xml:space="preserve">np.searchsorted()</w:t>
      </w:r>
      <w:r>
        <w:rPr>
          <w:rFonts w:ascii="Arial" w:cs="Arial" w:eastAsia="Arial" w:hAnsi="Arial"/>
          <w:sz w:val="22"/>
          <w:szCs w:val="22"/>
        </w:rPr>
        <w:t xml:space="preserve"> on the sorted IMU timestamp array for O(log N) nearest-neighbour lookup per frame.</w:t>
      </w:r>
    </w:p>
    <w:p>
      <w:pPr>
        <w:pStyle w:val="Heading1"/>
      </w:pPr>
      <w:r>
        <w:t xml:space="preserve">2. Data Synchronization</w:t>
      </w:r>
    </w:p>
    <w:p>
      <w:pPr>
        <w:spacing w:after="100" w:before="80"/>
      </w:pPr>
      <w:r>
        <w:rPr>
          <w:rFonts w:ascii="Arial" w:cs="Arial" w:eastAsia="Arial" w:hAnsi="Arial"/>
          <w:sz w:val="22"/>
          <w:szCs w:val="22"/>
        </w:rPr>
        <w:t xml:space="preserve">Both the .imu and .vts files share the same monotonic hardware clock domain (nanosecond timestamps). Synchronization is therefore exact in principle: for each video frame, the .vts record provides a hardware timestamp, and we find the nearest IMU record by binary search on the sorted IMU timestamp array.</w:t>
      </w:r>
    </w:p>
    <w:p>
      <w:pPr>
        <w:spacing w:after="100" w:before="80"/>
      </w:pPr>
      <w:r>
        <w:rPr>
          <w:rFonts w:ascii="Arial" w:cs="Arial" w:eastAsia="Arial" w:hAnsi="Arial"/>
          <w:sz w:val="22"/>
          <w:szCs w:val="22"/>
        </w:rPr>
        <w:t xml:space="preserve">The main challenge is the large difference in sampling rates: the camera captures at 30 fps while the IMU runs at approximately 568 Hz — roughly a 19:1 ratio. This means each video frame maps to the closest of ~19 IMU samples, giving a theoretical maximum sync delay of about 880 µs (half the IMU sample interval). The HUD in the Task 1 output reports mean, median, and max sync delay in microseconds across all frames.</w:t>
      </w:r>
    </w:p>
    <w:p>
      <w:pPr>
        <w:spacing w:after="100" w:before="80"/>
      </w:pPr>
      <w:r>
        <w:rPr>
          <w:rFonts w:ascii="Arial" w:cs="Arial" w:eastAsia="Arial" w:hAnsi="Arial"/>
          <w:sz w:val="22"/>
          <w:szCs w:val="22"/>
        </w:rPr>
        <w:t xml:space="preserve">For the scrolling plot in Task 1, all IMU samples within a configurable time window (default 2 seconds) ending at the current frame timestamp are rendered, giving a dense, accurate trace regardless of the frame skip setting.</w:t>
      </w:r>
    </w:p>
    <w:p>
      <w:pPr>
        <w:pStyle w:val="Heading1"/>
      </w:pPr>
      <w:r>
        <w:t xml:space="preserve">3. Depth Estimation — Model Choice and Reasoning</w:t>
      </w:r>
    </w:p>
    <w:p>
      <w:pPr>
        <w:spacing w:after="100" w:before="80"/>
      </w:pPr>
      <w:r>
        <w:rPr>
          <w:rFonts w:ascii="Arial" w:cs="Arial" w:eastAsia="Arial" w:hAnsi="Arial"/>
          <w:b/>
          <w:bCs/>
          <w:sz w:val="22"/>
          <w:szCs w:val="22"/>
        </w:rPr>
        <w:t xml:space="preserve">Primary model: Depth Anything V2 (Small). </w:t>
      </w:r>
      <w:r>
        <w:rPr>
          <w:rFonts w:ascii="Arial" w:cs="Arial" w:eastAsia="Arial" w:hAnsi="Arial"/>
          <w:sz w:val="22"/>
          <w:szCs w:val="22"/>
        </w:rPr>
        <w:t xml:space="preserve">Depth Anything V2 was chosen over MiDaS and ZoeDepth for several reasons:</w:t>
      </w:r>
    </w:p>
    <w:p>
      <w:pPr>
        <w:pStyle w:val="ListParagraph"/>
        <w:numPr>
          <w:ilvl w:val="0"/>
          <w:numId w:val="2"/>
        </w:numPr>
        <w:spacing w:after="40" w:before="40"/>
      </w:pPr>
      <w:r>
        <w:rPr>
          <w:rFonts w:ascii="Arial" w:cs="Arial" w:eastAsia="Arial" w:hAnsi="Arial"/>
          <w:sz w:val="22"/>
          <w:szCs w:val="22"/>
        </w:rPr>
        <w:t xml:space="preserve">It is trained on a significantly larger and more diverse dataset than MiDaS, leading to better generalization on challenging scenes.</w:t>
      </w:r>
    </w:p>
    <w:p>
      <w:pPr>
        <w:pStyle w:val="ListParagraph"/>
        <w:numPr>
          <w:ilvl w:val="0"/>
          <w:numId w:val="2"/>
        </w:numPr>
        <w:spacing w:after="40" w:before="40"/>
      </w:pPr>
      <w:r>
        <w:rPr>
          <w:rFonts w:ascii="Arial" w:cs="Arial" w:eastAsia="Arial" w:hAnsi="Arial"/>
          <w:sz w:val="22"/>
          <w:szCs w:val="22"/>
        </w:rPr>
        <w:t xml:space="preserve">The Small variant runs acceptably fast on CPU (~1–2 fps at full resolution) while still producing high-quality relative depth maps.</w:t>
      </w:r>
    </w:p>
    <w:p>
      <w:pPr>
        <w:pStyle w:val="ListParagraph"/>
        <w:numPr>
          <w:ilvl w:val="0"/>
          <w:numId w:val="2"/>
        </w:numPr>
        <w:spacing w:after="40" w:before="40"/>
      </w:pPr>
      <w:r>
        <w:rPr>
          <w:rFonts w:ascii="Arial" w:cs="Arial" w:eastAsia="Arial" w:hAnsi="Arial"/>
          <w:sz w:val="22"/>
          <w:szCs w:val="22"/>
        </w:rPr>
        <w:t xml:space="preserve">The HuggingFace transformers pipeline makes it trivially easy to load and run with a single function call.</w:t>
      </w:r>
    </w:p>
    <w:p>
      <w:pPr>
        <w:pStyle w:val="ListParagraph"/>
        <w:numPr>
          <w:ilvl w:val="0"/>
          <w:numId w:val="2"/>
        </w:numPr>
        <w:spacing w:after="40" w:before="40"/>
      </w:pPr>
      <w:r>
        <w:rPr>
          <w:rFonts w:ascii="Arial" w:cs="Arial" w:eastAsia="Arial" w:hAnsi="Arial"/>
          <w:sz w:val="22"/>
          <w:szCs w:val="22"/>
        </w:rPr>
        <w:t xml:space="preserve">The model handles mild-to-moderate barrel distortion gracefully because its training data includes in-the-wild footage from diverse lenses.</w:t>
      </w:r>
    </w:p>
    <w:p>
      <w:pPr>
        <w:spacing w:after="100" w:before="80"/>
      </w:pPr>
      <w:r>
        <w:rPr>
          <w:rFonts w:ascii="Arial" w:cs="Arial" w:eastAsia="Arial" w:hAnsi="Arial"/>
          <w:b/>
          <w:bCs/>
          <w:sz w:val="22"/>
          <w:szCs w:val="22"/>
        </w:rPr>
        <w:t xml:space="preserve">Fisheye / barrel distortion. </w:t>
      </w:r>
      <w:r>
        <w:rPr>
          <w:rFonts w:ascii="Arial" w:cs="Arial" w:eastAsia="Arial" w:hAnsi="Arial"/>
          <w:sz w:val="22"/>
          <w:szCs w:val="22"/>
        </w:rPr>
        <w:t xml:space="preserve">The camera uses a wide-angle fisheye lens. Correct undistortion requires the camera intrinsic matrix and radial distortion coefficients, which were not provided. Rather than guessing coefficients (which would likely produce worse results than the distorted image), the distorted frames are passed directly to the model. Depth Anything V2 is robust enough that edge-region depth quality is only mildly degraded. A note is printed to stdout and the output video if distortion is not corrected.</w:t>
      </w:r>
    </w:p>
    <w:p>
      <w:pPr>
        <w:spacing w:after="100" w:before="80"/>
      </w:pPr>
      <w:r>
        <w:rPr>
          <w:rFonts w:ascii="Arial" w:cs="Arial" w:eastAsia="Arial" w:hAnsi="Arial"/>
          <w:b/>
          <w:bCs/>
          <w:sz w:val="22"/>
          <w:szCs w:val="22"/>
        </w:rPr>
        <w:t xml:space="preserve">Fallback: MiDaS DPT-Large. </w:t>
      </w:r>
      <w:r>
        <w:rPr>
          <w:rFonts w:ascii="Arial" w:cs="Arial" w:eastAsia="Arial" w:hAnsi="Arial"/>
          <w:sz w:val="22"/>
          <w:szCs w:val="22"/>
        </w:rPr>
        <w:t xml:space="preserve">If the HuggingFace pipeline fails (e.g. due to missing internet access or library conflicts), the script automatically falls back to MiDaS DPT-Large via </w:t>
      </w:r>
      <w:r>
        <w:rPr>
          <w:rFonts w:ascii="Courier New" w:cs="Courier New" w:eastAsia="Courier New" w:hAnsi="Courier New"/>
          <w:sz w:val="20"/>
          <w:szCs w:val="20"/>
        </w:rPr>
        <w:t xml:space="preserve">torch.hub</w:t>
      </w:r>
      <w:r>
        <w:rPr>
          <w:rFonts w:ascii="Arial" w:cs="Arial" w:eastAsia="Arial" w:hAnsi="Arial"/>
          <w:sz w:val="22"/>
          <w:szCs w:val="22"/>
        </w:rPr>
        <w:t xml:space="preserve">, which requires no external downloads beyond the model weights.</w:t>
      </w:r>
    </w:p>
    <w:p>
      <w:pPr>
        <w:spacing w:after="100" w:before="80"/>
      </w:pPr>
      <w:r>
        <w:rPr>
          <w:rFonts w:ascii="Arial" w:cs="Arial" w:eastAsia="Arial" w:hAnsi="Arial"/>
          <w:b/>
          <w:bCs/>
          <w:sz w:val="22"/>
          <w:szCs w:val="22"/>
        </w:rPr>
        <w:t xml:space="preserve">Colormap. </w:t>
      </w:r>
      <w:r>
        <w:rPr>
          <w:rFonts w:ascii="Arial" w:cs="Arial" w:eastAsia="Arial" w:hAnsi="Arial"/>
          <w:sz w:val="22"/>
          <w:szCs w:val="22"/>
        </w:rPr>
        <w:t xml:space="preserve">The inferno colormap was used by default. It is perceptually uniform, works well for print/accessibility, and clearly differentiates near (bright yellow) from far (dark purple). Turbo and magma are also exposed via </w:t>
      </w:r>
      <w:r>
        <w:rPr>
          <w:rFonts w:ascii="Courier New" w:cs="Courier New" w:eastAsia="Courier New" w:hAnsi="Courier New"/>
          <w:sz w:val="20"/>
          <w:szCs w:val="20"/>
        </w:rPr>
        <w:t xml:space="preserve">--colormap</w:t>
      </w:r>
      <w:r>
        <w:rPr>
          <w:rFonts w:ascii="Arial" w:cs="Arial" w:eastAsia="Arial" w:hAnsi="Arial"/>
          <w:sz w:val="22"/>
          <w:szCs w:val="22"/>
        </w:rPr>
        <w:t xml:space="preserve">.</w:t>
      </w:r>
    </w:p>
    <w:p>
      <w:pPr>
        <w:pStyle w:val="Heading1"/>
      </w:pPr>
      <w:r>
        <w:t xml:space="preserve">4. Object Detection and Segmentation — Model Choice and Reasoning</w:t>
      </w:r>
    </w:p>
    <w:p>
      <w:pPr>
        <w:spacing w:after="100" w:before="80"/>
      </w:pPr>
      <w:r>
        <w:rPr>
          <w:rFonts w:ascii="Arial" w:cs="Arial" w:eastAsia="Arial" w:hAnsi="Arial"/>
          <w:b/>
          <w:bCs/>
          <w:sz w:val="22"/>
          <w:szCs w:val="22"/>
        </w:rPr>
        <w:t xml:space="preserve">Model: YOLOv8-seg. </w:t>
      </w:r>
      <w:r>
        <w:rPr>
          <w:rFonts w:ascii="Arial" w:cs="Arial" w:eastAsia="Arial" w:hAnsi="Arial"/>
          <w:sz w:val="22"/>
          <w:szCs w:val="22"/>
        </w:rPr>
        <w:t xml:space="preserve">YOLOv8 instance segmentation was chosen because:</w:t>
      </w:r>
    </w:p>
    <w:p>
      <w:pPr>
        <w:pStyle w:val="ListParagraph"/>
        <w:numPr>
          <w:ilvl w:val="0"/>
          <w:numId w:val="2"/>
        </w:numPr>
        <w:spacing w:after="40" w:before="40"/>
      </w:pPr>
      <w:r>
        <w:rPr>
          <w:rFonts w:ascii="Arial" w:cs="Arial" w:eastAsia="Arial" w:hAnsi="Arial"/>
          <w:sz w:val="22"/>
          <w:szCs w:val="22"/>
        </w:rPr>
        <w:t xml:space="preserve">It provides both bounding boxes and pixel-level segmentation masks in a single inference pass, satisfying both requirements simultaneously.</w:t>
      </w:r>
    </w:p>
    <w:p>
      <w:pPr>
        <w:pStyle w:val="ListParagraph"/>
        <w:numPr>
          <w:ilvl w:val="0"/>
          <w:numId w:val="2"/>
        </w:numPr>
        <w:spacing w:after="40" w:before="40"/>
      </w:pPr>
      <w:r>
        <w:rPr>
          <w:rFonts w:ascii="Arial" w:cs="Arial" w:eastAsia="Arial" w:hAnsi="Arial"/>
          <w:sz w:val="22"/>
          <w:szCs w:val="22"/>
        </w:rPr>
        <w:t xml:space="preserve">The nano variant (yolov8n-seg) is fast enough for near-real-time processing on CPU.</w:t>
      </w:r>
    </w:p>
    <w:p>
      <w:pPr>
        <w:pStyle w:val="ListParagraph"/>
        <w:numPr>
          <w:ilvl w:val="0"/>
          <w:numId w:val="2"/>
        </w:numPr>
        <w:spacing w:after="40" w:before="40"/>
      </w:pPr>
      <w:r>
        <w:rPr>
          <w:rFonts w:ascii="Arial" w:cs="Arial" w:eastAsia="Arial" w:hAnsi="Arial"/>
          <w:sz w:val="22"/>
          <w:szCs w:val="22"/>
        </w:rPr>
        <w:t xml:space="preserve">The ultralytics library wraps model loading, NMS, and mask upsampling cleanly, keeping the integration code concise.</w:t>
      </w:r>
    </w:p>
    <w:p>
      <w:pPr>
        <w:pStyle w:val="ListParagraph"/>
        <w:numPr>
          <w:ilvl w:val="0"/>
          <w:numId w:val="2"/>
        </w:numPr>
        <w:spacing w:after="40" w:before="40"/>
      </w:pPr>
      <w:r>
        <w:rPr>
          <w:rFonts w:ascii="Arial" w:cs="Arial" w:eastAsia="Arial" w:hAnsi="Arial"/>
          <w:sz w:val="22"/>
          <w:szCs w:val="22"/>
        </w:rPr>
        <w:t xml:space="preserve">COCO-trained weights cover the 80 most common object classes, which is appropriate for a general-scene recording.</w:t>
      </w:r>
    </w:p>
    <w:p>
      <w:pPr>
        <w:spacing w:after="100" w:before="80"/>
      </w:pPr>
      <w:r>
        <w:rPr>
          <w:rFonts w:ascii="Arial" w:cs="Arial" w:eastAsia="Arial" w:hAnsi="Arial"/>
          <w:b/>
          <w:bCs/>
          <w:sz w:val="22"/>
          <w:szCs w:val="22"/>
        </w:rPr>
        <w:t xml:space="preserve">Hand detection (bonus): MediaPipe Hands. </w:t>
      </w:r>
      <w:r>
        <w:rPr>
          <w:rFonts w:ascii="Arial" w:cs="Arial" w:eastAsia="Arial" w:hAnsi="Arial"/>
          <w:sz w:val="22"/>
          <w:szCs w:val="22"/>
        </w:rPr>
        <w:t xml:space="preserve">MediaPipe Hands was selected for hand landmark detection. It runs efficiently on CPU, requires no model fine-tuning, and provides 21 per-hand landmarks suitable for drawing hand skeleton overlays. The implementation supports both the legacy </w:t>
      </w:r>
      <w:r>
        <w:rPr>
          <w:rFonts w:ascii="Courier New" w:cs="Courier New" w:eastAsia="Courier New" w:hAnsi="Courier New"/>
          <w:sz w:val="20"/>
          <w:szCs w:val="20"/>
        </w:rPr>
        <w:t xml:space="preserve">mp.solutions</w:t>
      </w:r>
      <w:r>
        <w:rPr>
          <w:rFonts w:ascii="Arial" w:cs="Arial" w:eastAsia="Arial" w:hAnsi="Arial"/>
          <w:sz w:val="22"/>
          <w:szCs w:val="22"/>
        </w:rPr>
        <w:t xml:space="preserve"> API and the newer Tasks API (which auto-downloads </w:t>
      </w:r>
      <w:r>
        <w:rPr>
          <w:rFonts w:ascii="Courier New" w:cs="Courier New" w:eastAsia="Courier New" w:hAnsi="Courier New"/>
          <w:sz w:val="20"/>
          <w:szCs w:val="20"/>
        </w:rPr>
        <w:t xml:space="preserve">hand_landmarker.task</w:t>
      </w:r>
      <w:r>
        <w:rPr>
          <w:rFonts w:ascii="Arial" w:cs="Arial" w:eastAsia="Arial" w:hAnsi="Arial"/>
          <w:sz w:val="22"/>
          <w:szCs w:val="22"/>
        </w:rPr>
        <w:t xml:space="preserve">) to ensure compatibility across MediaPipe versions.</w:t>
      </w:r>
    </w:p>
    <w:p>
      <w:pPr>
        <w:spacing w:after="100" w:before="80"/>
      </w:pPr>
      <w:r>
        <w:rPr>
          <w:rFonts w:ascii="Arial" w:cs="Arial" w:eastAsia="Arial" w:hAnsi="Arial"/>
          <w:b/>
          <w:bCs/>
          <w:sz w:val="22"/>
          <w:szCs w:val="22"/>
        </w:rPr>
        <w:t xml:space="preserve">Confidence and IoU thresholds. </w:t>
      </w:r>
      <w:r>
        <w:rPr>
          <w:rFonts w:ascii="Arial" w:cs="Arial" w:eastAsia="Arial" w:hAnsi="Arial"/>
          <w:sz w:val="22"/>
          <w:szCs w:val="22"/>
        </w:rPr>
        <w:t xml:space="preserve">Defaults of conf=0.35 and iou=0.45 were chosen to balance recall and precision on a general scene. Lower confidence picks up more true positives at the cost of some false positives; the thresholds are exposed as CLI arguments for easy tuning.</w:t>
      </w:r>
    </w:p>
    <w:p>
      <w:pPr>
        <w:pStyle w:val="Heading1"/>
      </w:pPr>
      <w:r>
        <w:t xml:space="preserve">5. Challenges and Solutions</w:t>
      </w:r>
    </w:p>
    <w:p>
      <w:pPr>
        <w:pStyle w:val="Heading2"/>
      </w:pPr>
      <w:r>
        <w:t xml:space="preserve">5.1  Binary Format Reverse Engineering</w:t>
      </w:r>
    </w:p>
    <w:p>
      <w:pPr>
        <w:spacing w:after="100" w:before="80"/>
      </w:pPr>
      <w:r>
        <w:rPr>
          <w:rFonts w:ascii="Arial" w:cs="Arial" w:eastAsia="Arial" w:hAnsi="Arial"/>
          <w:sz w:val="22"/>
          <w:szCs w:val="22"/>
        </w:rPr>
        <w:t xml:space="preserve">The main challenge was determining the record size and field layout without documentation. The approach was: (1) compute the data section size (file size minus header), (2) try candidate record sizes that evenly divide the data section, (3) unpack the first few records at each candidate size and check for plausible float ranges (e.g. accelerometer values near ±9.8 m/s², gyro near ±360 deg/s). Record size 80 bytes for IMU and 24 bytes for VTS produced physically reasonable values on the first valid candidate.</w:t>
      </w:r>
    </w:p>
    <w:p>
      <w:pPr>
        <w:pStyle w:val="Heading2"/>
      </w:pPr>
      <w:r>
        <w:t xml:space="preserve">5.2  Performance on CPU</w:t>
      </w:r>
    </w:p>
    <w:p>
      <w:pPr>
        <w:spacing w:after="100" w:before="80"/>
      </w:pPr>
      <w:r>
        <w:rPr>
          <w:rFonts w:ascii="Arial" w:cs="Arial" w:eastAsia="Arial" w:hAnsi="Arial"/>
          <w:sz w:val="22"/>
          <w:szCs w:val="22"/>
        </w:rPr>
        <w:t xml:space="preserve">Depth Anything V2 and YOLOv8 are both neural network inference pipelines that run significantly faster on GPU. On CPU, Task 2 can take several seconds per frame. The --skip argument allows skipping N-1 frames between processed frames, and --half_res halves the input spatial resolution, both of which substantially reduce runtime. For GPU access, Google Colab or Kaggle free-tier notebooks are recommended.</w:t>
      </w:r>
    </w:p>
    <w:p>
      <w:pPr>
        <w:pStyle w:val="Heading2"/>
      </w:pPr>
      <w:r>
        <w:t xml:space="preserve">5.3  Matplotlib in a Headless Video Loop</w:t>
      </w:r>
    </w:p>
    <w:p>
      <w:pPr>
        <w:spacing w:after="100" w:before="80"/>
      </w:pPr>
      <w:r>
        <w:rPr>
          <w:rFonts w:ascii="Arial" w:cs="Arial" w:eastAsia="Arial" w:hAnsi="Arial"/>
          <w:sz w:val="22"/>
          <w:szCs w:val="22"/>
        </w:rPr>
        <w:t xml:space="preserve">Rendering a matplotlib figure inside a frame loop without accumulating memory or opening display windows requires using the </w:t>
      </w:r>
      <w:r>
        <w:rPr>
          <w:rFonts w:ascii="Courier New" w:cs="Courier New" w:eastAsia="Courier New" w:hAnsi="Courier New"/>
          <w:sz w:val="20"/>
          <w:szCs w:val="20"/>
        </w:rPr>
        <w:t xml:space="preserve">Agg</w:t>
      </w:r>
      <w:r>
        <w:rPr>
          <w:rFonts w:ascii="Arial" w:cs="Arial" w:eastAsia="Arial" w:hAnsi="Arial"/>
          <w:sz w:val="22"/>
          <w:szCs w:val="22"/>
        </w:rPr>
        <w:t xml:space="preserve"> non-interactive backend and explicitly calling </w:t>
      </w:r>
      <w:r>
        <w:rPr>
          <w:rFonts w:ascii="Courier New" w:cs="Courier New" w:eastAsia="Courier New" w:hAnsi="Courier New"/>
          <w:sz w:val="20"/>
          <w:szCs w:val="20"/>
        </w:rPr>
        <w:t xml:space="preserve">plt.close(fig)</w:t>
      </w:r>
      <w:r>
        <w:rPr>
          <w:rFonts w:ascii="Arial" w:cs="Arial" w:eastAsia="Arial" w:hAnsi="Arial"/>
          <w:sz w:val="22"/>
          <w:szCs w:val="22"/>
        </w:rPr>
        <w:t xml:space="preserve"> after each frame. The figure is rasterized to an RGBA buffer via </w:t>
      </w:r>
      <w:r>
        <w:rPr>
          <w:rFonts w:ascii="Courier New" w:cs="Courier New" w:eastAsia="Courier New" w:hAnsi="Courier New"/>
          <w:sz w:val="20"/>
          <w:szCs w:val="20"/>
        </w:rPr>
        <w:t xml:space="preserve">fig.canvas.buffer_rgba()</w:t>
      </w:r>
      <w:r>
        <w:rPr>
          <w:rFonts w:ascii="Arial" w:cs="Arial" w:eastAsia="Arial" w:hAnsi="Arial"/>
          <w:sz w:val="22"/>
          <w:szCs w:val="22"/>
        </w:rPr>
        <w:t xml:space="preserve">, then converted to BGR and resized to the target panel dimensions using OpenCV.</w:t>
      </w:r>
    </w:p>
    <w:p>
      <w:pPr>
        <w:pStyle w:val="Heading1"/>
      </w:pPr>
      <w:r>
        <w:t xml:space="preserve">6. Ideas for Improvement</w:t>
      </w:r>
    </w:p>
    <w:p>
      <w:pPr>
        <w:pStyle w:val="ListParagraph"/>
        <w:numPr>
          <w:ilvl w:val="0"/>
          <w:numId w:val="2"/>
        </w:numPr>
        <w:spacing w:after="40" w:before="40"/>
      </w:pPr>
      <w:r>
        <w:rPr>
          <w:rFonts w:ascii="Arial" w:cs="Arial" w:eastAsia="Arial" w:hAnsi="Arial"/>
          <w:sz w:val="22"/>
          <w:szCs w:val="22"/>
        </w:rPr>
        <w:t xml:space="preserve">Camera calibration: Obtaining the intrinsic matrix and distortion coefficients (e.g. via a checkerboard calibration session) would allow proper fisheye undistortion before depth estimation, improving edge-region depth accuracy.</w:t>
      </w:r>
    </w:p>
    <w:p>
      <w:pPr>
        <w:pStyle w:val="ListParagraph"/>
        <w:numPr>
          <w:ilvl w:val="0"/>
          <w:numId w:val="2"/>
        </w:numPr>
        <w:spacing w:after="40" w:before="40"/>
      </w:pPr>
      <w:r>
        <w:rPr>
          <w:rFonts w:ascii="Arial" w:cs="Arial" w:eastAsia="Arial" w:hAnsi="Arial"/>
          <w:sz w:val="22"/>
          <w:szCs w:val="22"/>
        </w:rPr>
        <w:t xml:space="preserve">Metric depth: Depth Anything V2 and MiDaS produce relative (affine-invariant) depth, not metric depth in meters. ZoeDepth or metric variants of Depth Anything V2 could provide scale-accurate depth if absolute distances are needed.</w:t>
      </w:r>
    </w:p>
    <w:p>
      <w:pPr>
        <w:pStyle w:val="ListParagraph"/>
        <w:numPr>
          <w:ilvl w:val="0"/>
          <w:numId w:val="2"/>
        </w:numPr>
        <w:spacing w:after="40" w:before="40"/>
      </w:pPr>
      <w:r>
        <w:rPr>
          <w:rFonts w:ascii="Arial" w:cs="Arial" w:eastAsia="Arial" w:hAnsi="Arial"/>
          <w:sz w:val="22"/>
          <w:szCs w:val="22"/>
        </w:rPr>
        <w:t xml:space="preserve">IMU integration: The parsed accelerometer and gyroscope data could be integrated into a dead-reckoning orientation estimate (e.g. using a Madgwick or Mahony filter), which would enable camera pose visualization alongside the video.</w:t>
      </w:r>
    </w:p>
    <w:p>
      <w:pPr>
        <w:pStyle w:val="ListParagraph"/>
        <w:numPr>
          <w:ilvl w:val="0"/>
          <w:numId w:val="2"/>
        </w:numPr>
        <w:spacing w:after="40" w:before="40"/>
      </w:pPr>
      <w:r>
        <w:rPr>
          <w:rFonts w:ascii="Arial" w:cs="Arial" w:eastAsia="Arial" w:hAnsi="Arial"/>
          <w:sz w:val="22"/>
          <w:szCs w:val="22"/>
        </w:rPr>
        <w:t xml:space="preserve">Larger YOLO model: Switching from yolov8n-seg to yolov8m-seg or yolov8l-seg would improve detection quality at the cost of increased inference time.</w:t>
      </w:r>
    </w:p>
    <w:p>
      <w:pPr>
        <w:pStyle w:val="ListParagraph"/>
        <w:numPr>
          <w:ilvl w:val="0"/>
          <w:numId w:val="2"/>
        </w:numPr>
        <w:spacing w:after="40" w:before="40"/>
      </w:pPr>
      <w:r>
        <w:rPr>
          <w:rFonts w:ascii="Arial" w:cs="Arial" w:eastAsia="Arial" w:hAnsi="Arial"/>
          <w:sz w:val="22"/>
          <w:szCs w:val="22"/>
        </w:rPr>
        <w:t xml:space="preserve">Grounding DINO / SAM: For open-vocabulary or zero-shot segmentation of objects not in COCO, combining Grounding DINO with SAM would allow text-prompted segmentation of arbitrary object classes.</w:t>
      </w:r>
    </w:p>
    <w:p>
      <w:pPr>
        <w:pStyle w:val="ListParagraph"/>
        <w:numPr>
          <w:ilvl w:val="0"/>
          <w:numId w:val="2"/>
        </w:numPr>
        <w:spacing w:after="40" w:before="40"/>
      </w:pPr>
      <w:r>
        <w:rPr>
          <w:rFonts w:ascii="Arial" w:cs="Arial" w:eastAsia="Arial" w:hAnsi="Arial"/>
          <w:sz w:val="22"/>
          <w:szCs w:val="22"/>
        </w:rPr>
        <w:t xml:space="preserve">Streaming / real-time pipeline: The current scripts process files offline. A streaming version could ingest live sensor data via a socket or ROS topic and render the visualization in near-real-time.</w:t>
      </w:r>
    </w:p>
    <w:p>
      <w:pPr>
        <w:spacing w:after="80" w:before="400"/>
      </w:pPr>
    </w:p>
    <w:p>
      <w:pPr>
        <w:pBdr>
          <w:top w:val="single" w:color="CCCCCC" w:sz="4" w:space="1"/>
        </w:pBdr>
        <w:spacing w:after="80" w:before="80"/>
      </w:pPr>
      <w:r>
        <w:rPr>
          <w:rFonts w:ascii="Arial" w:cs="Arial" w:eastAsia="Arial" w:hAnsi="Arial"/>
          <w:i/>
          <w:iCs/>
          <w:color w:val="888888"/>
          <w:sz w:val="20"/>
          <w:szCs w:val="20"/>
        </w:rPr>
        <w:t xml:space="preserve">End of write-up. All source code is in the accompanying repository.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FA3"/>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2026-04-22T17:33:35.204Z</dcterms:created>
  <dcterms:modified xsi:type="dcterms:W3CDTF">2026-04-22T17:33:35.204Z</dcterms:modified>
</cp:coreProperties>
</file>

<file path=docProps/custom.xml><?xml version="1.0" encoding="utf-8"?>
<Properties xmlns="http://schemas.openxmlformats.org/officeDocument/2006/custom-properties" xmlns:vt="http://schemas.openxmlformats.org/officeDocument/2006/docPropsVTypes"/>
</file>