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32"/>
          <w:szCs w:val="32"/>
        </w:rPr>
        <w:t xml:space="preserve">LEGAL, ETHICAL &amp; REGULATORY</w:t>
      </w:r>
    </w:p>
    <w:p>
      <w:pPr>
        <w:spacing w:after="100"/>
        <w:jc w:val="center"/>
      </w:pPr>
      <w:r>
        <w:rPr>
          <w:b/>
          <w:bCs/>
          <w:color w:val="1F4E79"/>
          <w:sz w:val="32"/>
          <w:szCs w:val="32"/>
        </w:rPr>
        <w:t xml:space="preserve">COMPLIANCE FRAMEWORK</w:t>
      </w:r>
    </w:p>
    <w:p>
      <w:pPr>
        <w:spacing w:before="300"/>
        <w:jc w:val="center"/>
      </w:pPr>
      <w:r>
        <w:rPr>
          <w:b/>
          <w:bCs/>
          <w:color w:val="2E7D32"/>
          <w:sz w:val="56"/>
          <w:szCs w:val="56"/>
        </w:rPr>
        <w:t xml:space="preserve">Mrittika</w:t>
      </w:r>
    </w:p>
    <w:p>
      <w:pPr>
        <w:spacing w:after="700" w:before="120"/>
        <w:jc w:val="center"/>
      </w:pPr>
      <w:r>
        <w:rPr>
          <w:i/>
          <w:iCs/>
          <w:color w:val="555555"/>
          <w:sz w:val="24"/>
          <w:szCs w:val="24"/>
        </w:rPr>
        <w:t xml:space="preserve">A Multi-Vendor Sustainable Products E-Commerce Marketplace</w:t>
      </w:r>
    </w:p>
    <w:p>
      <w:pPr>
        <w:spacing w:before="200"/>
        <w:jc w:val="center"/>
      </w:pPr>
      <w:r>
        <w:rPr>
          <w:b/>
          <w:bCs/>
          <w:sz w:val="22"/>
          <w:szCs w:val="22"/>
        </w:rPr>
        <w:t xml:space="preserve">Prepared by</w:t>
      </w:r>
    </w:p>
    <w:p>
      <w:pPr>
        <w:spacing w:before="100"/>
        <w:jc w:val="center"/>
      </w:pPr>
      <w:r>
        <w:rPr>
          <w:sz w:val="22"/>
          <w:szCs w:val="22"/>
        </w:rPr>
        <w:t xml:space="preserve">Soham Sawant — A052</w:t>
      </w:r>
    </w:p>
    <w:p>
      <w:pPr>
        <w:jc w:val="center"/>
      </w:pPr>
      <w:r>
        <w:rPr>
          <w:sz w:val="22"/>
          <w:szCs w:val="22"/>
        </w:rPr>
        <w:t xml:space="preserve">Anukalp Chaturvedi — A007</w:t>
      </w:r>
    </w:p>
    <w:p>
      <w:pPr>
        <w:spacing w:after="500"/>
        <w:jc w:val="center"/>
      </w:pPr>
      <w:r>
        <w:rPr>
          <w:sz w:val="22"/>
          <w:szCs w:val="22"/>
        </w:rPr>
        <w:t xml:space="preserve">Shubham Murkunde — F025</w:t>
      </w:r>
    </w:p>
    <w:p>
      <w:pPr>
        <w:spacing w:before="900"/>
        <w:jc w:val="center"/>
      </w:pPr>
      <w:r>
        <w:rPr>
          <w:color w:val="777777"/>
          <w:sz w:val="20"/>
          <w:szCs w:val="20"/>
        </w:rPr>
        <w:t xml:space="preserve">Subject: E-Commerce</w:t>
      </w:r>
    </w:p>
    <w:p>
      <w:pPr>
        <w:jc w:val="center"/>
      </w:pPr>
      <w:r>
        <w:rPr>
          <w:color w:val="777777"/>
          <w:sz w:val="20"/>
          <w:szCs w:val="20"/>
        </w:rPr>
        <w:t xml:space="preserve">Date: 21 August 2026</w:t>
      </w:r>
    </w:p>
    <w:p>
      <w:r>
        <w:br w:type="page"/>
      </w:r>
    </w:p>
    <w:p>
      <w:pPr>
        <w:spacing w:after="300"/>
      </w:pPr>
      <w:r>
        <w:rPr>
          <w:b w:val="false"/>
          <w:bCs w:val="false"/>
          <w:i/>
          <w:iCs/>
          <w:color w:val="555555"/>
          <w:sz w:val="21"/>
          <w:szCs w:val="21"/>
        </w:rPr>
        <w:t xml:space="preserve">Note on Scope: This document is prepared for academic purposes as part of an E-Commerce coursework submission. The legal instruments included in Sections 2 through 5 — the copyright notice, website disclaimer, terms and conditions, and vendor memorandum of understanding — are illustrative drafts modeled on standard statutory and industry practice for a hypothetical Indian e-commerce marketplace operating domestically. They are intended to demonstrate applied understanding of e-commerce law and should not be treated as a substitute for review and certification by a licensed legal professional prior to any actual commercial deployment.</w:t>
      </w:r>
    </w:p>
    <w:p>
      <w:pPr>
        <w:pStyle w:val="Heading1"/>
        <w:keepNext/>
        <w:spacing w:after="200" w:before="400"/>
      </w:pPr>
      <w:r>
        <w:t xml:space="preserve">1. Legal &amp; Ethical Issues</w:t>
      </w:r>
    </w:p>
    <w:p>
      <w:pPr>
        <w:spacing w:after="200"/>
      </w:pPr>
      <w:r>
        <w:rPr>
          <w:b w:val="false"/>
          <w:bCs w:val="false"/>
          <w:i w:val="false"/>
          <w:iCs w:val="false"/>
          <w:sz w:val="21"/>
          <w:szCs w:val="21"/>
        </w:rPr>
        <w:t xml:space="preserve">Mrittika is conceived as a domestically operated Indian entity, based in Mumbai, Maharashtra, connecting Indian vendors of sustainable goods with Indian buyers. This section identifies the statutory and regulatory framework applicable to that scope of operations, the ethical considerations specific to a sustainability-claims marketplace, and the taxation obligations arising from a multi-vendor commission-based model.</w:t>
      </w:r>
    </w:p>
    <w:p>
      <w:pPr>
        <w:pStyle w:val="Heading2"/>
        <w:keepNext/>
        <w:spacing w:after="120" w:before="280"/>
      </w:pPr>
      <w:r>
        <w:rPr>
          <w:color w:val="1F4E79"/>
        </w:rPr>
        <w:t xml:space="preserve">1.1 State / Country Borders, Laws &amp; Jurisdiction</w:t>
      </w:r>
    </w:p>
    <w:p>
      <w:pPr>
        <w:spacing w:after="200"/>
      </w:pPr>
      <w:r>
        <w:rPr>
          <w:b w:val="false"/>
          <w:bCs w:val="false"/>
          <w:i w:val="false"/>
          <w:iCs w:val="false"/>
          <w:sz w:val="21"/>
          <w:szCs w:val="21"/>
        </w:rPr>
        <w:t xml:space="preserve">Because both the platform's operations and its current vendor and buyer base are located within India, the applicable legal framework is Indian law, applied through Indian courts, without the added complexity of cross-border private international law that a platform accepting international vendors or buyers would face.</w:t>
      </w:r>
    </w:p>
    <w:p>
      <w:pPr>
        <w:pStyle w:val="ListParagraph"/>
        <w:numPr>
          <w:ilvl w:val="0"/>
          <w:numId w:val="2"/>
        </w:numPr>
        <w:spacing w:after="140"/>
      </w:pPr>
      <w:r>
        <w:rPr>
          <w:b/>
          <w:bCs/>
          <w:sz w:val="21"/>
          <w:szCs w:val="21"/>
        </w:rPr>
        <w:t xml:space="preserve">Information Technology Act, 2000 — </w:t>
      </w:r>
      <w:r>
        <w:rPr>
          <w:sz w:val="21"/>
          <w:szCs w:val="21"/>
        </w:rPr>
        <w:t xml:space="preserve">the foundational statute governing electronic contracts, digital signatures, and the legal recognition of electronic records; Section 79 provides a conditional safe-harbor for intermediaries such as a marketplace, provided the platform observes due diligence and does not actively initiate or modify third-party (vendor) content.</w:t>
      </w:r>
    </w:p>
    <w:p>
      <w:pPr>
        <w:pStyle w:val="ListParagraph"/>
        <w:numPr>
          <w:ilvl w:val="0"/>
          <w:numId w:val="2"/>
        </w:numPr>
        <w:spacing w:after="140"/>
      </w:pPr>
      <w:r>
        <w:rPr>
          <w:b/>
          <w:bCs/>
          <w:sz w:val="21"/>
          <w:szCs w:val="21"/>
        </w:rPr>
        <w:t xml:space="preserve">Indian Contract Act, 1872 — </w:t>
      </w:r>
      <w:r>
        <w:rPr>
          <w:sz w:val="21"/>
          <w:szCs w:val="21"/>
        </w:rPr>
        <w:t xml:space="preserve">governs the formation and enforceability of all agreements on the platform, requiring a valid offer, acceptance, lawful consideration, and free consent; Indian courts have recognized click-wrap agreements (an affirmative "I Agree" action) as enforceable contracts provided the user is given clear and reasonable notice of the terms before acceptance.</w:t>
      </w:r>
    </w:p>
    <w:p>
      <w:pPr>
        <w:pStyle w:val="ListParagraph"/>
        <w:numPr>
          <w:ilvl w:val="0"/>
          <w:numId w:val="2"/>
        </w:numPr>
        <w:spacing w:after="140"/>
      </w:pPr>
      <w:r>
        <w:rPr>
          <w:b/>
          <w:bCs/>
          <w:sz w:val="21"/>
          <w:szCs w:val="21"/>
        </w:rPr>
        <w:t xml:space="preserve">Consumer Protection Act, 2019 and the Consumer Protection (E-Commerce) Rules, 2020 — </w:t>
      </w:r>
      <w:r>
        <w:rPr>
          <w:sz w:val="21"/>
          <w:szCs w:val="21"/>
        </w:rPr>
        <w:t xml:space="preserve">impose specific, marketplace-relevant obligations including mandatory seller and product disclosures, a named grievance redressal mechanism, a prohibition on unfair trade practices, and a prohibition on manipulative interface design ("dark patterns") such as pre-ticked consent boxes or false urgency indicators.</w:t>
      </w:r>
    </w:p>
    <w:p>
      <w:pPr>
        <w:pStyle w:val="ListParagraph"/>
        <w:numPr>
          <w:ilvl w:val="0"/>
          <w:numId w:val="2"/>
        </w:numPr>
        <w:spacing w:after="140"/>
      </w:pPr>
      <w:r>
        <w:rPr>
          <w:b/>
          <w:bCs/>
          <w:sz w:val="21"/>
          <w:szCs w:val="21"/>
        </w:rPr>
        <w:t xml:space="preserve">Digital Personal Data Protection Act, 2023 and the Digital Personal Data Protection Rules, 2025 — </w:t>
      </w:r>
      <w:r>
        <w:rPr>
          <w:sz w:val="21"/>
          <w:szCs w:val="21"/>
        </w:rPr>
        <w:t xml:space="preserve">govern the collection, processing, storage, and cross-border transfer of buyers' and vendors' personal data. The Act and its Phase 1 provisions (including establishment of the Data Protection Board of India) took effect from 13 November 2025; the Consent Manager framework becomes effective from 13 November 2026, and full substantive compliance obligations (including consent, breach-notification, and data-principal-rights provisions) commence from 13 May 2027. Because enforcement is phased rather than immediate, the platform should build DPDP-aligned consent and data-handling practices into the product from the outset rather than treating compliance as a later retrofit.</w:t>
      </w:r>
    </w:p>
    <w:p>
      <w:pPr>
        <w:pStyle w:val="ListParagraph"/>
        <w:numPr>
          <w:ilvl w:val="0"/>
          <w:numId w:val="2"/>
        </w:numPr>
        <w:spacing w:after="140"/>
      </w:pPr>
      <w:r>
        <w:rPr>
          <w:b/>
          <w:bCs/>
          <w:sz w:val="21"/>
          <w:szCs w:val="21"/>
        </w:rPr>
        <w:t xml:space="preserve">Central Goods and Services Tax Act, 2017 and corresponding State GST legislation — </w:t>
      </w:r>
      <w:r>
        <w:rPr>
          <w:sz w:val="21"/>
          <w:szCs w:val="21"/>
        </w:rPr>
        <w:t xml:space="preserve">govern indirect taxation on the sale of goods facilitated through the platform, discussed in detail in Section 1.6.</w:t>
      </w:r>
    </w:p>
    <w:p>
      <w:pPr>
        <w:pStyle w:val="ListParagraph"/>
        <w:numPr>
          <w:ilvl w:val="0"/>
          <w:numId w:val="2"/>
        </w:numPr>
        <w:spacing w:after="140"/>
      </w:pPr>
      <w:r>
        <w:rPr>
          <w:b/>
          <w:bCs/>
          <w:sz w:val="21"/>
          <w:szCs w:val="21"/>
        </w:rPr>
        <w:t xml:space="preserve">Income Tax Act, 1961 — </w:t>
      </w:r>
      <w:r>
        <w:rPr>
          <w:sz w:val="21"/>
          <w:szCs w:val="21"/>
        </w:rPr>
        <w:t xml:space="preserve">governs direct taxation of the platform's own business income and imposes a tax-deduction obligation on the platform in respect of vendor payouts, also discussed in Section 1.6.</w:t>
      </w:r>
    </w:p>
    <w:p>
      <w:pPr>
        <w:pStyle w:val="ListParagraph"/>
        <w:numPr>
          <w:ilvl w:val="0"/>
          <w:numId w:val="2"/>
        </w:numPr>
        <w:spacing w:after="140"/>
      </w:pPr>
      <w:r>
        <w:rPr>
          <w:b/>
          <w:bCs/>
          <w:sz w:val="21"/>
          <w:szCs w:val="21"/>
        </w:rPr>
        <w:t xml:space="preserve">Legal Metrology Act, 2009 and the Legal Metrology (Packaged Commodities) Rules, 2011 — </w:t>
      </w:r>
      <w:r>
        <w:rPr>
          <w:sz w:val="21"/>
          <w:szCs w:val="21"/>
        </w:rPr>
        <w:t xml:space="preserve">apply to any pre-packaged goods sold through the platform, requiring mandatory declarations such as MRP, net quantity, and date of manufacture on the package or listing.</w:t>
      </w:r>
    </w:p>
    <w:p>
      <w:pPr>
        <w:pStyle w:val="ListParagraph"/>
        <w:numPr>
          <w:ilvl w:val="0"/>
          <w:numId w:val="2"/>
        </w:numPr>
        <w:spacing w:after="140"/>
      </w:pPr>
      <w:r>
        <w:rPr>
          <w:b/>
          <w:bCs/>
          <w:sz w:val="21"/>
          <w:szCs w:val="21"/>
        </w:rPr>
        <w:t xml:space="preserve">Marketplace liability versus vendor liability — </w:t>
      </w:r>
      <w:r>
        <w:rPr>
          <w:sz w:val="21"/>
          <w:szCs w:val="21"/>
        </w:rPr>
        <w:t xml:space="preserve">because Mrittika operates a vendor-fulfilled marketplace model rather than holding its own inventory, the platform's legal exposure as an "e-commerce marketplace entity" under the 2020 Rules must be kept distinct from each vendor's exposure as the actual seller of record; this distinction should be made explicit in both the Terms and Conditions (Section 4) and the Vendor MOU (Section 5), so that liability for product quality, safety, and accuracy of claims sits primarily with the vendor while the platform's obligations are limited to disclosure, grievance handling, and reasonable verification.</w:t>
      </w:r>
    </w:p>
    <w:p>
      <w:pPr>
        <w:pStyle w:val="ListParagraph"/>
        <w:numPr>
          <w:ilvl w:val="0"/>
          <w:numId w:val="2"/>
        </w:numPr>
        <w:spacing w:after="140"/>
      </w:pPr>
      <w:r>
        <w:rPr>
          <w:b/>
          <w:bCs/>
          <w:sz w:val="21"/>
          <w:szCs w:val="21"/>
        </w:rPr>
        <w:t xml:space="preserve">Scope limitation and governing jurisdiction — </w:t>
      </w:r>
      <w:r>
        <w:rPr>
          <w:sz w:val="21"/>
          <w:szCs w:val="21"/>
        </w:rPr>
        <w:t xml:space="preserve">the current project scope is limited to India-only operations; onboarding international vendors or buyers would additionally engage the Foreign Exchange Management Act, 1999 and cross-border data-transfer provisions under the DPDP Rules, and is noted here only for completeness rather than as part of the present build. All platform agreements should nominate Indian law as the governing law and the courts at Mumbai, Maharashtra as the forum of exclusive jurisdiction, consistent with the platform's place of operation.</w:t>
      </w:r>
    </w:p>
    <w:p>
      <w:pPr>
        <w:pStyle w:val="Heading2"/>
        <w:keepNext/>
        <w:spacing w:after="120" w:before="280"/>
      </w:pPr>
      <w:r>
        <w:rPr>
          <w:color w:val="1F4E79"/>
        </w:rPr>
        <w:t xml:space="preserve">1.2 Terms of Service Agreements</w:t>
      </w:r>
    </w:p>
    <w:p>
      <w:pPr>
        <w:spacing w:after="200"/>
      </w:pPr>
      <w:r>
        <w:rPr>
          <w:b w:val="false"/>
          <w:bCs w:val="false"/>
          <w:i w:val="false"/>
          <w:iCs w:val="false"/>
          <w:sz w:val="21"/>
          <w:szCs w:val="21"/>
        </w:rPr>
        <w:t xml:space="preserve">The Terms of Service (presented in full in Section 4) constitute the primary contractual basis between the platform and each user, and are drafted with two enforceability principles in mind.</w:t>
      </w:r>
    </w:p>
    <w:p>
      <w:pPr>
        <w:pStyle w:val="ListParagraph"/>
        <w:numPr>
          <w:ilvl w:val="0"/>
          <w:numId w:val="2"/>
        </w:numPr>
        <w:spacing w:after="140"/>
      </w:pPr>
      <w:r>
        <w:rPr>
          <w:b/>
          <w:bCs/>
          <w:sz w:val="21"/>
          <w:szCs w:val="21"/>
        </w:rPr>
        <w:t xml:space="preserve">Affirmative acceptance — </w:t>
      </w:r>
      <w:r>
        <w:rPr>
          <w:sz w:val="21"/>
          <w:szCs w:val="21"/>
        </w:rPr>
        <w:t xml:space="preserve">the Terms should be presented for active acceptance (a mandatory checkbox or button, i.e. a click-wrap mechanism) rather than merely linked in a footer, since Indian courts give materially stronger enforceability weight to terms a user has affirmatively agreed to with clear prior notice.</w:t>
      </w:r>
    </w:p>
    <w:p>
      <w:pPr>
        <w:pStyle w:val="ListParagraph"/>
        <w:numPr>
          <w:ilvl w:val="0"/>
          <w:numId w:val="2"/>
        </w:numPr>
        <w:spacing w:after="140"/>
      </w:pPr>
      <w:r>
        <w:rPr>
          <w:b/>
          <w:bCs/>
          <w:sz w:val="21"/>
          <w:szCs w:val="21"/>
        </w:rPr>
        <w:t xml:space="preserve">Layered presentation — </w:t>
      </w:r>
      <w:r>
        <w:rPr>
          <w:sz w:val="21"/>
          <w:szCs w:val="21"/>
        </w:rPr>
        <w:t xml:space="preserve">the Terms should be surfaced at two distinct points in the user journey: once at account registration or first checkout for buyers, and separately at vendor application submission, since buyer-facing and vendor-facing obligations differ substantially and a single undifferentiated agreement would be less clear to either party.</w:t>
      </w:r>
    </w:p>
    <w:p>
      <w:pPr>
        <w:pStyle w:val="ListParagraph"/>
        <w:numPr>
          <w:ilvl w:val="0"/>
          <w:numId w:val="2"/>
        </w:numPr>
        <w:spacing w:after="140"/>
      </w:pPr>
      <w:r>
        <w:rPr>
          <w:b/>
          <w:bCs/>
          <w:sz w:val="21"/>
          <w:szCs w:val="21"/>
        </w:rPr>
        <w:t xml:space="preserve">Periodic re-acceptance — </w:t>
      </w:r>
      <w:r>
        <w:rPr>
          <w:sz w:val="21"/>
          <w:szCs w:val="21"/>
        </w:rPr>
        <w:t xml:space="preserve">material changes to the Terms (for example, a change to the commission structure or the sustainability scoring methodology) should trigger a re-acceptance prompt rather than silent updates, consistent with the "Modification of Terms" clause set out in Section 4.</w:t>
      </w:r>
    </w:p>
    <w:p>
      <w:pPr>
        <w:pStyle w:val="Heading2"/>
        <w:keepNext/>
        <w:spacing w:after="120" w:before="280"/>
      </w:pPr>
      <w:r>
        <w:rPr>
          <w:color w:val="1F4E79"/>
        </w:rPr>
        <w:t xml:space="preserve">1.3 Use and Protection of Intellectual Property</w:t>
      </w:r>
    </w:p>
    <w:p>
      <w:pPr>
        <w:spacing w:after="200"/>
      </w:pPr>
      <w:r>
        <w:rPr>
          <w:b w:val="false"/>
          <w:bCs w:val="false"/>
          <w:i w:val="false"/>
          <w:iCs w:val="false"/>
          <w:sz w:val="21"/>
          <w:szCs w:val="21"/>
        </w:rPr>
        <w:t xml:space="preserve">Two distinct intellectual property concerns apply to the platform: protecting Mrittika's own original work, and responsibly handling intellectual property that vendors and users contribute to the platform.</w:t>
      </w:r>
    </w:p>
    <w:p>
      <w:pPr>
        <w:pStyle w:val="ListParagraph"/>
        <w:numPr>
          <w:ilvl w:val="0"/>
          <w:numId w:val="2"/>
        </w:numPr>
        <w:spacing w:after="140"/>
      </w:pPr>
      <w:r>
        <w:rPr>
          <w:b/>
          <w:bCs/>
          <w:sz w:val="21"/>
          <w:szCs w:val="21"/>
        </w:rPr>
        <w:t xml:space="preserve">Protection of the platform's own IP — </w:t>
      </w:r>
      <w:r>
        <w:rPr>
          <w:sz w:val="21"/>
          <w:szCs w:val="21"/>
        </w:rPr>
        <w:t xml:space="preserve">trademark registration is recommended for the "Mrittika" word mark and logo under the Trade Marks Act, 1999 (Class 35, covering online retail and marketplace services); copyright in original website content, the sustainability scoring methodology write-up, and platform-generated graphics or UI design vests automatically under the Copyright Act, 1957 from the moment of creation, though formal registration with the Copyright Office strengthens the platform's position in any future enforcement action.</w:t>
      </w:r>
    </w:p>
    <w:p>
      <w:pPr>
        <w:pStyle w:val="ListParagraph"/>
        <w:numPr>
          <w:ilvl w:val="0"/>
          <w:numId w:val="2"/>
        </w:numPr>
        <w:spacing w:after="140"/>
      </w:pPr>
      <w:r>
        <w:rPr>
          <w:b/>
          <w:bCs/>
          <w:sz w:val="21"/>
          <w:szCs w:val="21"/>
        </w:rPr>
        <w:t xml:space="preserve">Vendor-submitted content warranty — </w:t>
      </w:r>
      <w:r>
        <w:rPr>
          <w:sz w:val="21"/>
          <w:szCs w:val="21"/>
        </w:rPr>
        <w:t xml:space="preserve">the Vendor MOU (Section 5) includes a warranty from each vendor that they own, or are validly licensed to use, all product images, descriptions, and brand marks they upload, together with an indemnity clause protecting Mrittika from third-party infringement claims arising out of vendor-submitted content.</w:t>
      </w:r>
    </w:p>
    <w:p>
      <w:pPr>
        <w:pStyle w:val="ListParagraph"/>
        <w:numPr>
          <w:ilvl w:val="0"/>
          <w:numId w:val="2"/>
        </w:numPr>
        <w:spacing w:after="140"/>
      </w:pPr>
      <w:r>
        <w:rPr>
          <w:b/>
          <w:bCs/>
          <w:sz w:val="21"/>
          <w:szCs w:val="21"/>
        </w:rPr>
        <w:t xml:space="preserve">License-back to the platform — </w:t>
      </w:r>
      <w:r>
        <w:rPr>
          <w:sz w:val="21"/>
          <w:szCs w:val="21"/>
        </w:rPr>
        <w:t xml:space="preserve">the Terms and Conditions grant Mrittika a limited, non-exclusive, royalty-free license to display, reproduce, and use vendor-submitted content for the purpose of operating and marketing the platform, including in product listings, promotional material, and social media, without transferring ownership of that content away from the vendor.</w:t>
      </w:r>
    </w:p>
    <w:p>
      <w:pPr>
        <w:pStyle w:val="ListParagraph"/>
        <w:numPr>
          <w:ilvl w:val="0"/>
          <w:numId w:val="2"/>
        </w:numPr>
        <w:spacing w:after="140"/>
      </w:pPr>
      <w:r>
        <w:rPr>
          <w:b/>
          <w:bCs/>
          <w:sz w:val="21"/>
          <w:szCs w:val="21"/>
        </w:rPr>
        <w:t xml:space="preserve">User-generated content — </w:t>
      </w:r>
      <w:r>
        <w:rPr>
          <w:sz w:val="21"/>
          <w:szCs w:val="21"/>
        </w:rPr>
        <w:t xml:space="preserve">reviews and ratings submitted by buyers remain the buyer's own property, but the Terms clarify that Mrittika holds a license to display such content and reserves the right to moderate or remove content that is defamatory, infringing, or in breach of platform community guidelines.</w:t>
      </w:r>
    </w:p>
    <w:p>
      <w:pPr>
        <w:pStyle w:val="ListParagraph"/>
        <w:numPr>
          <w:ilvl w:val="0"/>
          <w:numId w:val="2"/>
        </w:numPr>
        <w:spacing w:after="140"/>
      </w:pPr>
      <w:r>
        <w:rPr>
          <w:b/>
          <w:bCs/>
          <w:sz w:val="21"/>
          <w:szCs w:val="21"/>
        </w:rPr>
        <w:t xml:space="preserve">Third-party IP in the scoring engine — </w:t>
      </w:r>
      <w:r>
        <w:rPr>
          <w:sz w:val="21"/>
          <w:szCs w:val="21"/>
        </w:rPr>
        <w:t xml:space="preserve">where the sustainability scoring methodology references or is benchmarked against third-party certification standards (for example an organic or fair-trade certification body's criteria), the platform should ensure it is describing publicly available certification criteria rather than reproducing a certifying body's proprietary assessment materials without permission.</w:t>
      </w:r>
    </w:p>
    <w:p>
      <w:pPr>
        <w:pStyle w:val="Heading2"/>
        <w:keepNext/>
        <w:spacing w:after="120" w:before="280"/>
      </w:pPr>
      <w:r>
        <w:rPr>
          <w:color w:val="1F4E79"/>
        </w:rPr>
        <w:t xml:space="preserve">1.4 Domain Name</w:t>
      </w:r>
    </w:p>
    <w:p>
      <w:pPr>
        <w:spacing w:after="200"/>
      </w:pPr>
      <w:r>
        <w:rPr>
          <w:b w:val="false"/>
          <w:bCs w:val="false"/>
          <w:i w:val="false"/>
          <w:iCs w:val="false"/>
          <w:sz w:val="21"/>
          <w:szCs w:val="21"/>
        </w:rPr>
        <w:t xml:space="preserve">A .in domain, mrittika.in, is the recommended primary domain for the current scope of the project. The .in country-code top-level domain signals a domestically operated Indian platform to both users and search engines, is administered by the National Internet Exchange of India (NIXI) with comparatively simple documentation requirements for an Indian-registered entity, and is typically more affordable to register and renew than an equivalent .com. A .com registration (or a secondary redirect domain) would become more relevant only if the platform later expanded beyond India-only operations, which is outside the present project scope. As a secondary consideration, because "Mrittika" is already in use by several unrelated Indian businesses in other sectors (noted during the naming discussion for this project), the team should confirm domain and social-handle availability for the exact string "mrittika" before finalizing branding materials, and should have a lightly modified fallback (for example mrittikamarket.in) ready as a contingency.</w:t>
      </w:r>
    </w:p>
    <w:p>
      <w:pPr>
        <w:pStyle w:val="Heading2"/>
        <w:keepNext/>
        <w:spacing w:after="120" w:before="280"/>
      </w:pPr>
      <w:r>
        <w:rPr>
          <w:color w:val="1F4E79"/>
        </w:rPr>
        <w:t xml:space="preserve">1.5 Ethical Issues</w:t>
      </w:r>
    </w:p>
    <w:p>
      <w:pPr>
        <w:keepNext/>
        <w:spacing w:after="100" w:before="220"/>
      </w:pPr>
      <w:r>
        <w:rPr>
          <w:b/>
          <w:bCs/>
          <w:sz w:val="22"/>
          <w:szCs w:val="22"/>
        </w:rPr>
        <w:t xml:space="preserve">Prohibited Items</w:t>
      </w:r>
    </w:p>
    <w:p>
      <w:pPr>
        <w:spacing w:after="200"/>
      </w:pPr>
      <w:r>
        <w:rPr>
          <w:b w:val="false"/>
          <w:bCs w:val="false"/>
          <w:i w:val="false"/>
          <w:iCs w:val="false"/>
          <w:sz w:val="21"/>
          <w:szCs w:val="21"/>
        </w:rPr>
        <w:t xml:space="preserve">In addition to the categories prohibited on virtually all Indian e-commerce platforms, an eco-focused marketplace carries one additional, sector-specific screening obligation.</w:t>
      </w:r>
    </w:p>
    <w:p>
      <w:pPr>
        <w:pStyle w:val="ListParagraph"/>
        <w:numPr>
          <w:ilvl w:val="0"/>
          <w:numId w:val="2"/>
        </w:numPr>
        <w:spacing w:after="140"/>
      </w:pPr>
      <w:r>
        <w:rPr>
          <w:b/>
          <w:bCs/>
          <w:sz w:val="21"/>
          <w:szCs w:val="21"/>
        </w:rPr>
        <w:t xml:space="preserve">Standard prohibited categories — </w:t>
      </w:r>
      <w:r>
        <w:rPr>
          <w:sz w:val="21"/>
          <w:szCs w:val="21"/>
        </w:rPr>
        <w:t xml:space="preserve">arms, ammunition, and weapons; narcotic and psychotropic substances; counterfeit or replica goods; items infringing third-party intellectual property; hazardous or unlicensed chemicals; adult or sexually explicit content; and any product independently prohibited by statute, such as endangered-species or wildlife-derived products under the Wildlife Protection Act, 1972.</w:t>
      </w:r>
    </w:p>
    <w:p>
      <w:pPr>
        <w:pStyle w:val="ListParagraph"/>
        <w:numPr>
          <w:ilvl w:val="0"/>
          <w:numId w:val="2"/>
        </w:numPr>
        <w:spacing w:after="140"/>
      </w:pPr>
      <w:r>
        <w:rPr>
          <w:b/>
          <w:bCs/>
          <w:sz w:val="21"/>
          <w:szCs w:val="21"/>
        </w:rPr>
        <w:t xml:space="preserve">Unverified sustainability claims ("greenwashing") — </w:t>
      </w:r>
      <w:r>
        <w:rPr>
          <w:sz w:val="21"/>
          <w:szCs w:val="21"/>
        </w:rPr>
        <w:t xml:space="preserve">because the platform's core value proposition rests on the credibility of its sustainability scoring, the vendor onboarding and certification review process must specifically screen for products marketed as "eco-friendly," "organic," or "sustainable" without supporting documentation. Permitting such listings would not only undermine the platform's differentiation but would also expose it to potential liability under the Consumer Protection Act's prohibition on misleading advertisements and unfair trade practices.</w:t>
      </w:r>
    </w:p>
    <w:p>
      <w:pPr>
        <w:pStyle w:val="ListParagraph"/>
        <w:numPr>
          <w:ilvl w:val="0"/>
          <w:numId w:val="2"/>
        </w:numPr>
        <w:spacing w:after="140"/>
      </w:pPr>
      <w:r>
        <w:rPr>
          <w:b/>
          <w:bCs/>
          <w:sz w:val="21"/>
          <w:szCs w:val="21"/>
        </w:rPr>
        <w:t xml:space="preserve">Published prohibited-items policy — </w:t>
      </w:r>
      <w:r>
        <w:rPr>
          <w:sz w:val="21"/>
          <w:szCs w:val="21"/>
        </w:rPr>
        <w:t xml:space="preserve">a formal, published Prohibited Items Policy should form part of the Vendor MOU, together with a defined listing-review and takedown process for any product that violates it, including an appeals mechanism for a vendor who disputes a takedown decision.</w:t>
      </w:r>
    </w:p>
    <w:p>
      <w:pPr>
        <w:keepNext/>
        <w:spacing w:after="100" w:before="220"/>
      </w:pPr>
      <w:r>
        <w:rPr>
          <w:b/>
          <w:bCs/>
          <w:sz w:val="22"/>
          <w:szCs w:val="22"/>
        </w:rPr>
        <w:t xml:space="preserve">Customers' Data</w:t>
      </w:r>
    </w:p>
    <w:p>
      <w:pPr>
        <w:spacing w:after="200"/>
      </w:pPr>
      <w:r>
        <w:rPr>
          <w:b w:val="false"/>
          <w:bCs w:val="false"/>
          <w:i w:val="false"/>
          <w:iCs w:val="false"/>
          <w:sz w:val="21"/>
          <w:szCs w:val="21"/>
        </w:rPr>
        <w:t xml:space="preserve">The platform's ethical obligations around personal data extend beyond the bare minimum required by statute, particularly because the personalized impact dashboard depends on retaining a buyer's purchase history.</w:t>
      </w:r>
    </w:p>
    <w:p>
      <w:pPr>
        <w:pStyle w:val="ListParagraph"/>
        <w:numPr>
          <w:ilvl w:val="0"/>
          <w:numId w:val="2"/>
        </w:numPr>
        <w:spacing w:after="140"/>
      </w:pPr>
      <w:r>
        <w:rPr>
          <w:b/>
          <w:bCs/>
          <w:sz w:val="21"/>
          <w:szCs w:val="21"/>
        </w:rPr>
        <w:t xml:space="preserve">Categories of data collected — </w:t>
      </w:r>
      <w:r>
        <w:rPr>
          <w:sz w:val="21"/>
          <w:szCs w:val="21"/>
        </w:rPr>
        <w:t xml:space="preserve">account registration data (name, email, phone number), delivery address, order and browsing history (used to power the personalized impact dashboard), and voluntarily submitted reviews or feedback; payment card or banking details should never be stored directly by the platform and should instead be handled entirely by a PCI-DSS-compliant third-party payment gateway.</w:t>
      </w:r>
    </w:p>
    <w:p>
      <w:pPr>
        <w:pStyle w:val="ListParagraph"/>
        <w:numPr>
          <w:ilvl w:val="0"/>
          <w:numId w:val="2"/>
        </w:numPr>
        <w:spacing w:after="140"/>
      </w:pPr>
      <w:r>
        <w:rPr>
          <w:b/>
          <w:bCs/>
          <w:sz w:val="21"/>
          <w:szCs w:val="21"/>
        </w:rPr>
        <w:t xml:space="preserve">Purpose limitation — </w:t>
      </w:r>
      <w:r>
        <w:rPr>
          <w:sz w:val="21"/>
          <w:szCs w:val="21"/>
        </w:rPr>
        <w:t xml:space="preserve">data collected for the impact dashboard should be used only for that stated purpose, and not repurposed for undisclosed profiling, third-party advertising, or resale, without separate, specific consent.</w:t>
      </w:r>
    </w:p>
    <w:p>
      <w:pPr>
        <w:pStyle w:val="ListParagraph"/>
        <w:numPr>
          <w:ilvl w:val="0"/>
          <w:numId w:val="2"/>
        </w:numPr>
        <w:spacing w:after="140"/>
      </w:pPr>
      <w:r>
        <w:rPr>
          <w:b/>
          <w:bCs/>
          <w:sz w:val="21"/>
          <w:szCs w:val="21"/>
        </w:rPr>
        <w:t xml:space="preserve">Data minimization — </w:t>
      </w:r>
      <w:r>
        <w:rPr>
          <w:sz w:val="21"/>
          <w:szCs w:val="21"/>
        </w:rPr>
        <w:t xml:space="preserve">the platform should collect only the data genuinely necessary for order fulfillment and the impact-tracking feature, rather than defaulting to broad data collection for potential future use.</w:t>
      </w:r>
    </w:p>
    <w:p>
      <w:pPr>
        <w:pStyle w:val="ListParagraph"/>
        <w:numPr>
          <w:ilvl w:val="0"/>
          <w:numId w:val="2"/>
        </w:numPr>
        <w:spacing w:after="140"/>
      </w:pPr>
      <w:r>
        <w:rPr>
          <w:b/>
          <w:bCs/>
          <w:sz w:val="21"/>
          <w:szCs w:val="21"/>
        </w:rPr>
        <w:t xml:space="preserve">Transparent consent design — </w:t>
      </w:r>
      <w:r>
        <w:rPr>
          <w:sz w:val="21"/>
          <w:szCs w:val="21"/>
        </w:rPr>
        <w:t xml:space="preserve">consent requests should avoid pre-ticked boxes, bundled dual-purpose consent (for example, combining order-processing consent with marketing consent in a single checkbox), or confusing language, patterns the Consumer Protection (E-Commerce) Rules, 2020 specifically discourage as manipulative "dark patterns."</w:t>
      </w:r>
    </w:p>
    <w:p>
      <w:pPr>
        <w:pStyle w:val="ListParagraph"/>
        <w:numPr>
          <w:ilvl w:val="0"/>
          <w:numId w:val="2"/>
        </w:numPr>
        <w:spacing w:after="140"/>
      </w:pPr>
      <w:r>
        <w:rPr>
          <w:b/>
          <w:bCs/>
          <w:sz w:val="21"/>
          <w:szCs w:val="21"/>
        </w:rPr>
        <w:t xml:space="preserve">Data-sharing disclosure — </w:t>
      </w:r>
      <w:r>
        <w:rPr>
          <w:sz w:val="21"/>
          <w:szCs w:val="21"/>
        </w:rPr>
        <w:t xml:space="preserve">a delivery address is necessarily shared with the fulfilling vendor for order completion, and payment data passes through a third-party gateway; both flows should be disclosed plainly in a dedicated Privacy Policy, cross-referenced from the Terms and Conditions, rather than buried in general legal language.</w:t>
      </w:r>
    </w:p>
    <w:p>
      <w:pPr>
        <w:pStyle w:val="ListParagraph"/>
        <w:numPr>
          <w:ilvl w:val="0"/>
          <w:numId w:val="2"/>
        </w:numPr>
        <w:spacing w:after="140"/>
      </w:pPr>
      <w:r>
        <w:rPr>
          <w:b/>
          <w:bCs/>
          <w:sz w:val="21"/>
          <w:szCs w:val="21"/>
        </w:rPr>
        <w:t xml:space="preserve">Data-principal rights — </w:t>
      </w:r>
      <w:r>
        <w:rPr>
          <w:sz w:val="21"/>
          <w:szCs w:val="21"/>
        </w:rPr>
        <w:t xml:space="preserve">the Privacy Policy should describe how a user can request access to, correction of, or deletion of their personal data, aligning with rights being phased in under the DPDP framework and reflecting good practice independent of the exact enforcement timeline.</w:t>
      </w:r>
    </w:p>
    <w:p>
      <w:pPr>
        <w:pStyle w:val="Heading2"/>
        <w:keepNext/>
        <w:spacing w:after="120" w:before="280"/>
      </w:pPr>
      <w:r>
        <w:rPr>
          <w:color w:val="1F4E79"/>
        </w:rPr>
        <w:t xml:space="preserve">1.6 Taxation Issues</w:t>
      </w:r>
    </w:p>
    <w:p>
      <w:pPr>
        <w:keepNext/>
        <w:spacing w:after="100" w:before="220"/>
      </w:pPr>
      <w:r>
        <w:rPr>
          <w:b/>
          <w:bCs/>
          <w:sz w:val="22"/>
          <w:szCs w:val="22"/>
        </w:rPr>
        <w:t xml:space="preserve">Income Tax</w:t>
      </w:r>
    </w:p>
    <w:p>
      <w:pPr>
        <w:pStyle w:val="ListParagraph"/>
        <w:numPr>
          <w:ilvl w:val="0"/>
          <w:numId w:val="2"/>
        </w:numPr>
        <w:spacing w:after="140"/>
      </w:pPr>
      <w:r>
        <w:rPr>
          <w:b/>
          <w:bCs/>
          <w:sz w:val="21"/>
          <w:szCs w:val="21"/>
        </w:rPr>
        <w:t xml:space="preserve">Platform-level income tax — </w:t>
      </w:r>
      <w:r>
        <w:rPr>
          <w:sz w:val="21"/>
          <w:szCs w:val="21"/>
        </w:rPr>
        <w:t xml:space="preserve">the platform entity is liable to file returns and pay tax on its own business income, primarily the commission or listing fees earned from vendors, under the Income Tax Act, 1961, at the applicable rate for its chosen business structure (for example, a private limited company or LLP).</w:t>
      </w:r>
    </w:p>
    <w:p>
      <w:pPr>
        <w:pStyle w:val="ListParagraph"/>
        <w:numPr>
          <w:ilvl w:val="0"/>
          <w:numId w:val="2"/>
        </w:numPr>
        <w:spacing w:after="140"/>
      </w:pPr>
      <w:r>
        <w:rPr>
          <w:b/>
          <w:bCs/>
          <w:sz w:val="21"/>
          <w:szCs w:val="21"/>
        </w:rPr>
        <w:t xml:space="preserve">Vendor-level income tax and Section 194-O TDS — </w:t>
      </w:r>
      <w:r>
        <w:rPr>
          <w:sz w:val="21"/>
          <w:szCs w:val="21"/>
        </w:rPr>
        <w:t xml:space="preserve">each vendor is independently responsible for filing and paying income tax on their own sales proceeds; however, under Section 194-O of the Income Tax Act, the platform, as an e-commerce operator, is itself required to deduct tax at source (TDS) on the gross amount of sales it facilitates for each vendor and remit this to the government, with the vendor able to claim credit for the TDS deducted against their own tax liability. This is a compliance obligation the platform must build directly into its payment and settlement logic rather than a matter left solely to individual vendors.</w:t>
      </w:r>
    </w:p>
    <w:p>
      <w:pPr>
        <w:keepNext/>
        <w:spacing w:after="100" w:before="220"/>
      </w:pPr>
      <w:r>
        <w:rPr>
          <w:b/>
          <w:bCs/>
          <w:sz w:val="22"/>
          <w:szCs w:val="22"/>
        </w:rPr>
        <w:t xml:space="preserve">GST (Goods and Services Tax)</w:t>
      </w:r>
    </w:p>
    <w:p>
      <w:pPr>
        <w:spacing w:after="200"/>
      </w:pPr>
      <w:r>
        <w:rPr>
          <w:b w:val="false"/>
          <w:bCs w:val="false"/>
          <w:i w:val="false"/>
          <w:iCs w:val="false"/>
          <w:sz w:val="21"/>
          <w:szCs w:val="21"/>
        </w:rPr>
        <w:t xml:space="preserve">Goods and Services Tax, not a separate state sales tax, has been the applicable indirect tax regime in India since 2017, and carries several obligations specific to e-commerce operators rather than ordinary sellers.</w:t>
      </w:r>
    </w:p>
    <w:p>
      <w:pPr>
        <w:pStyle w:val="ListParagraph"/>
        <w:numPr>
          <w:ilvl w:val="0"/>
          <w:numId w:val="2"/>
        </w:numPr>
        <w:spacing w:after="140"/>
      </w:pPr>
      <w:r>
        <w:rPr>
          <w:b/>
          <w:bCs/>
          <w:sz w:val="21"/>
          <w:szCs w:val="21"/>
        </w:rPr>
        <w:t xml:space="preserve">Mandatory GST registration regardless of turnover — </w:t>
      </w:r>
      <w:r>
        <w:rPr>
          <w:sz w:val="21"/>
          <w:szCs w:val="21"/>
        </w:rPr>
        <w:t xml:space="preserve">under Section 24 of the CGST Act, an e-commerce operator must obtain GST registration irrespective of annual turnover; the small-business turnover exemption threshold available to ordinary sellers does not apply to a marketplace operator.</w:t>
      </w:r>
    </w:p>
    <w:p>
      <w:pPr>
        <w:pStyle w:val="ListParagraph"/>
        <w:numPr>
          <w:ilvl w:val="0"/>
          <w:numId w:val="2"/>
        </w:numPr>
        <w:spacing w:after="140"/>
      </w:pPr>
      <w:r>
        <w:rPr>
          <w:b/>
          <w:bCs/>
          <w:sz w:val="21"/>
          <w:szCs w:val="21"/>
        </w:rPr>
        <w:t xml:space="preserve">Tax Collected at Source (TCS) under Section 52 — </w:t>
      </w:r>
      <w:r>
        <w:rPr>
          <w:sz w:val="21"/>
          <w:szCs w:val="21"/>
        </w:rPr>
        <w:t xml:space="preserve">the platform must collect TCS at the rate of 0.5% of the net value of taxable supplies made by each vendor through the platform (0.25% CGST plus 0.25% SGST for intra-state supplies, or 0.5% IGST for inter-state supplies), deposit the collected amount with the government by the 10th of the following month, and file a monthly return in Form GSTR-8. The TCS collected is credited to the vendor's electronic cash ledger and may be used by the vendor to offset their own GST liability.</w:t>
      </w:r>
    </w:p>
    <w:p>
      <w:pPr>
        <w:pStyle w:val="ListParagraph"/>
        <w:numPr>
          <w:ilvl w:val="0"/>
          <w:numId w:val="2"/>
        </w:numPr>
        <w:spacing w:after="140"/>
      </w:pPr>
      <w:r>
        <w:rPr>
          <w:b/>
          <w:bCs/>
          <w:sz w:val="21"/>
          <w:szCs w:val="21"/>
        </w:rPr>
        <w:t xml:space="preserve">Vendor GSTIN verification — </w:t>
      </w:r>
      <w:r>
        <w:rPr>
          <w:sz w:val="21"/>
          <w:szCs w:val="21"/>
        </w:rPr>
        <w:t xml:space="preserve">for TCS to be correctly reported and reconciled, each vendor listing on the platform must hold a valid GST Identification Number (GSTIN), subject to the standard turnover threshold applicable to individual sellers; GSTIN verification should therefore be a mandatory field in vendor onboarding alongside sustainability certification documents, rather than an optional one.</w:t>
      </w:r>
    </w:p>
    <w:p>
      <w:pPr>
        <w:pStyle w:val="ListParagraph"/>
        <w:numPr>
          <w:ilvl w:val="0"/>
          <w:numId w:val="2"/>
        </w:numPr>
        <w:spacing w:after="140"/>
      </w:pPr>
      <w:r>
        <w:rPr>
          <w:b/>
          <w:bCs/>
          <w:sz w:val="21"/>
          <w:szCs w:val="21"/>
        </w:rPr>
        <w:t xml:space="preserve">Category-specific interaction with FSSAI — </w:t>
      </w:r>
      <w:r>
        <w:rPr>
          <w:sz w:val="21"/>
          <w:szCs w:val="21"/>
        </w:rPr>
        <w:t xml:space="preserve">where a vendor sells pre-packaged food items, GST rates and mandatory labelling requirements additionally interact with licensing requirements under the Food Safety and Standards Act, 2006, which the vendor onboarding checklist should flag as a category-specific compliance step distinct from the general sustainability certification review.</w:t>
      </w:r>
    </w:p>
    <w:p>
      <w:pPr>
        <w:pStyle w:val="Heading1"/>
        <w:keepNext/>
        <w:spacing w:after="200" w:before="400"/>
      </w:pPr>
      <w:r>
        <w:t xml:space="preserve">2. Copyright Notice (Website Footer)</w:t>
      </w:r>
    </w:p>
    <w:p>
      <w:pPr>
        <w:spacing w:after="200"/>
      </w:pPr>
      <w:r>
        <w:rPr>
          <w:b w:val="false"/>
          <w:bCs w:val="false"/>
          <w:i w:val="false"/>
          <w:iCs w:val="false"/>
          <w:sz w:val="21"/>
          <w:szCs w:val="21"/>
        </w:rPr>
        <w:t xml:space="preserve">The following text is drafted for placement in the website footer, visible on every page.</w:t>
      </w:r>
    </w:p>
    <w:tbl>
      <w:tblPr>
        <w:tblW w:type="dxa" w:w="9360"/>
        <w:tblBorders>
          <w:top w:val="single" w:color="B0A88F" w:sz="6"/>
          <w:left w:val="single" w:color="B0A88F" w:sz="6"/>
          <w:bottom w:val="single" w:color="B0A88F" w:sz="6"/>
          <w:right w:val="single" w:color="B0A88F" w:sz="6"/>
          <w:insideH w:val="none" w:color="auto" w:sz="0"/>
          <w:insideV w:val="none" w:color="auto" w:sz="0"/>
        </w:tblBorders>
      </w:tblPr>
      <w:tblGrid>
        <w:gridCol w:w="100"/>
      </w:tblGrid>
      <w:tr>
        <w:tc>
          <w:tcPr>
            <w:tcW w:type="dxa" w:w="9360"/>
            <w:shd w:fill="F4F1EA" w:color="auto" w:val="clear"/>
            <w:tcMar>
              <w:top w:type="dxa" w:w="260"/>
              <w:left w:type="dxa" w:w="300"/>
              <w:bottom w:type="dxa" w:w="260"/>
              <w:right w:type="dxa" w:w="300"/>
            </w:tcMar>
          </w:tcPr>
          <w:p>
            <w:pPr>
              <w:spacing w:after="160"/>
            </w:pPr>
            <w:r>
              <w:rPr>
                <w:b/>
                <w:bCs/>
                <w:i w:val="false"/>
                <w:iCs w:val="false"/>
                <w:sz w:val="21"/>
                <w:szCs w:val="21"/>
              </w:rPr>
              <w:t xml:space="preserve">© 2026 Mrittika. All Rights Reserved.</w:t>
            </w:r>
          </w:p>
          <w:p>
            <w:pPr>
              <w:spacing w:after="160"/>
            </w:pPr>
            <w:r>
              <w:rPr>
                <w:b w:val="false"/>
                <w:bCs w:val="false"/>
                <w:i w:val="false"/>
                <w:iCs w:val="false"/>
                <w:sz w:val="21"/>
                <w:szCs w:val="21"/>
              </w:rPr>
              <w:t xml:space="preserve">All content on this website, including but not limited to text, graphics, logos, icons, images, audio and video clips, the sustainability scoring methodology, digital compilations, and the underlying software code, is the property of Mrittika or its content and vendor partners and is protected under the Copyright Act, 1957, and applicable international treaties. Product images, descriptions, and brand marks submitted by registered vendors remain the property of the respective vendor and are displayed on this platform under a limited license granted by the vendor for the purpose of listing and promoting their products.</w:t>
            </w:r>
          </w:p>
          <w:p>
            <w:pPr>
              <w:spacing w:after="160"/>
            </w:pPr>
            <w:r>
              <w:rPr>
                <w:b w:val="false"/>
                <w:bCs w:val="false"/>
                <w:i w:val="false"/>
                <w:iCs w:val="false"/>
                <w:sz w:val="21"/>
                <w:szCs w:val="21"/>
              </w:rPr>
              <w:t xml:space="preserve">No part of this website may be reproduced, distributed, republished, downloaded, displayed, posted, or transmitted in any form or by any means, including electronic, mechanical, photocopying, recording, or otherwise, without the prior written permission of Mrittika, except that a single copy of the material on this site may be downloaded or printed for personal, non-commercial use only.</w:t>
            </w:r>
          </w:p>
          <w:p>
            <w:pPr>
              <w:spacing w:after="160"/>
            </w:pPr>
            <w:r>
              <w:rPr>
                <w:b w:val="false"/>
                <w:bCs w:val="false"/>
                <w:i w:val="false"/>
                <w:iCs w:val="false"/>
                <w:sz w:val="21"/>
                <w:szCs w:val="21"/>
              </w:rPr>
              <w:t xml:space="preserve">The trademark "Mrittika" and its associated logo are trademarks of Mrittika. All other trademarks, product names, and company names or logos referenced on this website are the property of their respective owners.</w:t>
            </w:r>
          </w:p>
          <w:p>
            <w:pPr>
              <w:spacing w:after="0"/>
            </w:pPr>
            <w:r>
              <w:rPr>
                <w:b w:val="false"/>
                <w:bCs w:val="false"/>
                <w:i w:val="false"/>
                <w:iCs w:val="false"/>
                <w:sz w:val="21"/>
                <w:szCs w:val="21"/>
              </w:rPr>
              <w:t xml:space="preserve">Unauthorized use of the material on this website may violate copyright, trademark, and other applicable laws and may result in civil or criminal penalties.</w:t>
            </w:r>
          </w:p>
        </w:tc>
      </w:tr>
    </w:tbl>
    <w:p>
      <w:pPr>
        <w:pStyle w:val="Heading1"/>
        <w:keepNext/>
        <w:spacing w:after="200" w:before="400"/>
      </w:pPr>
      <w:r>
        <w:t xml:space="preserve">3. Website Disclaimer</w:t>
      </w:r>
    </w:p>
    <w:p>
      <w:pPr>
        <w:spacing w:after="200"/>
      </w:pPr>
      <w:r>
        <w:rPr>
          <w:b w:val="false"/>
          <w:bCs w:val="false"/>
          <w:i w:val="false"/>
          <w:iCs w:val="false"/>
          <w:sz w:val="21"/>
          <w:szCs w:val="21"/>
        </w:rPr>
        <w:t xml:space="preserve">The following disclaimer is drafted for placement as a standalone page linked from the website footer and referenced in the Terms and Conditions.</w:t>
      </w:r>
    </w:p>
    <w:tbl>
      <w:tblPr>
        <w:tblW w:type="dxa" w:w="9360"/>
        <w:tblBorders>
          <w:top w:val="single" w:color="B0A88F" w:sz="6"/>
          <w:left w:val="single" w:color="B0A88F" w:sz="6"/>
          <w:bottom w:val="single" w:color="B0A88F" w:sz="6"/>
          <w:right w:val="single" w:color="B0A88F" w:sz="6"/>
          <w:insideH w:val="none" w:color="auto" w:sz="0"/>
          <w:insideV w:val="none" w:color="auto" w:sz="0"/>
        </w:tblBorders>
      </w:tblPr>
      <w:tblGrid>
        <w:gridCol w:w="100"/>
      </w:tblGrid>
      <w:tr>
        <w:tc>
          <w:tcPr>
            <w:tcW w:type="dxa" w:w="9360"/>
            <w:shd w:fill="F4F1EA" w:color="auto" w:val="clear"/>
            <w:tcMar>
              <w:top w:type="dxa" w:w="260"/>
              <w:left w:type="dxa" w:w="300"/>
              <w:bottom w:type="dxa" w:w="260"/>
              <w:right w:type="dxa" w:w="300"/>
            </w:tcMar>
          </w:tcPr>
          <w:p>
            <w:pPr>
              <w:spacing w:after="160"/>
            </w:pPr>
            <w:r>
              <w:rPr>
                <w:b/>
                <w:bCs/>
                <w:i w:val="false"/>
                <w:iCs w:val="false"/>
                <w:sz w:val="21"/>
                <w:szCs w:val="21"/>
              </w:rPr>
              <w:t xml:space="preserve">DISCLAIMER</w:t>
            </w:r>
          </w:p>
          <w:p>
            <w:pPr>
              <w:keepNext/>
              <w:spacing w:after="100" w:before="220"/>
            </w:pPr>
            <w:r>
              <w:rPr>
                <w:b/>
                <w:bCs/>
                <w:sz w:val="22"/>
                <w:szCs w:val="22"/>
              </w:rPr>
              <w:t xml:space="preserve">General Information</w:t>
            </w:r>
          </w:p>
          <w:p>
            <w:pPr>
              <w:spacing w:after="140"/>
            </w:pPr>
            <w:r>
              <w:rPr>
                <w:b w:val="false"/>
                <w:bCs w:val="false"/>
                <w:i w:val="false"/>
                <w:iCs w:val="false"/>
                <w:sz w:val="21"/>
                <w:szCs w:val="21"/>
              </w:rPr>
              <w:t xml:space="preserve">The information provided on the Mrittika website is for general informational purposes only. While Mrittika strives to keep all product listings, descriptions, and sustainability information accurate and current, Mrittika makes no representation or warranty of any kind, express or implied, about the completeness, accuracy, reliability, or availability of any product, service, or related content on the website.</w:t>
            </w:r>
          </w:p>
          <w:p>
            <w:pPr>
              <w:keepNext/>
              <w:spacing w:after="100" w:before="220"/>
            </w:pPr>
            <w:r>
              <w:rPr>
                <w:b/>
                <w:bCs/>
                <w:sz w:val="22"/>
                <w:szCs w:val="22"/>
              </w:rPr>
              <w:t xml:space="preserve">Marketplace / Intermediary Status</w:t>
            </w:r>
          </w:p>
          <w:p>
            <w:pPr>
              <w:spacing w:after="140"/>
            </w:pPr>
            <w:r>
              <w:rPr>
                <w:b w:val="false"/>
                <w:bCs w:val="false"/>
                <w:i w:val="false"/>
                <w:iCs w:val="false"/>
                <w:sz w:val="21"/>
                <w:szCs w:val="21"/>
              </w:rPr>
              <w:t xml:space="preserve">Mrittika operates as an online marketplace facilitating transactions between independent third-party vendors ("Vendors") and buyers ("Users"). Mrittika is not the manufacturer, seller of record, or owner of the products listed on the platform unless expressly stated otherwise. All product listings, descriptions, pricing, images, and claims are provided by the respective Vendor, who is solely responsible for the accuracy of such information and for compliance with applicable law, including the Legal Metrology Act, 2009 and, where applicable, the Food Safety and Standards Act, 2006.</w:t>
            </w:r>
          </w:p>
          <w:p>
            <w:pPr>
              <w:keepNext/>
              <w:spacing w:after="100" w:before="220"/>
            </w:pPr>
            <w:r>
              <w:rPr>
                <w:b/>
                <w:bCs/>
                <w:sz w:val="22"/>
                <w:szCs w:val="22"/>
              </w:rPr>
              <w:t xml:space="preserve">Sustainability Scoring</w:t>
            </w:r>
          </w:p>
          <w:p>
            <w:pPr>
              <w:spacing w:after="140"/>
            </w:pPr>
            <w:r>
              <w:rPr>
                <w:b w:val="false"/>
                <w:bCs w:val="false"/>
                <w:i w:val="false"/>
                <w:iCs w:val="false"/>
                <w:sz w:val="21"/>
                <w:szCs w:val="21"/>
              </w:rPr>
              <w:t xml:space="preserve">The sustainability score and impact metrics displayed against each product are generated using a proprietary methodology developed by Mrittika, based on information and documentation submitted by the Vendor at the time of listing. While Mrittika undertakes reasonable review of submitted documentation, the sustainability score is an indicative assessment and not an independent third-party certification. Mrittika does not guarantee the ongoing accuracy of Vendor-submitted claims and encourages Users to independently verify certifications where material to a purchase decision.</w:t>
            </w:r>
          </w:p>
          <w:p>
            <w:pPr>
              <w:keepNext/>
              <w:spacing w:after="100" w:before="220"/>
            </w:pPr>
            <w:r>
              <w:rPr>
                <w:b/>
                <w:bCs/>
                <w:sz w:val="22"/>
                <w:szCs w:val="22"/>
              </w:rPr>
              <w:t xml:space="preserve">No Professional Advice</w:t>
            </w:r>
          </w:p>
          <w:p>
            <w:pPr>
              <w:spacing w:after="140"/>
            </w:pPr>
            <w:r>
              <w:rPr>
                <w:b w:val="false"/>
                <w:bCs w:val="false"/>
                <w:i w:val="false"/>
                <w:iCs w:val="false"/>
                <w:sz w:val="21"/>
                <w:szCs w:val="21"/>
              </w:rPr>
              <w:t xml:space="preserve">Nothing on this website constitutes legal, financial, environmental, or other professional advice.</w:t>
            </w:r>
          </w:p>
          <w:p>
            <w:pPr>
              <w:keepNext/>
              <w:spacing w:after="100" w:before="220"/>
            </w:pPr>
            <w:r>
              <w:rPr>
                <w:b/>
                <w:bCs/>
                <w:sz w:val="22"/>
                <w:szCs w:val="22"/>
              </w:rPr>
              <w:t xml:space="preserve">Limitation of Liability</w:t>
            </w:r>
          </w:p>
          <w:p>
            <w:pPr>
              <w:spacing w:after="140"/>
            </w:pPr>
            <w:r>
              <w:rPr>
                <w:b w:val="false"/>
                <w:bCs w:val="false"/>
                <w:i w:val="false"/>
                <w:iCs w:val="false"/>
                <w:sz w:val="21"/>
                <w:szCs w:val="21"/>
              </w:rPr>
              <w:t xml:space="preserve">To the maximum extent permitted by applicable law, Mrittika, its founders, employees, and affiliates shall not be liable for any direct, indirect, incidental, consequential, or punitive damages arising out of access to or use of the website, or out of any transaction conducted with a Vendor through the platform, except where such liability cannot be excluded under the Consumer Protection Act, 2019 or other mandatory applicable law.</w:t>
            </w:r>
          </w:p>
          <w:p>
            <w:pPr>
              <w:keepNext/>
              <w:spacing w:after="100" w:before="220"/>
            </w:pPr>
            <w:r>
              <w:rPr>
                <w:b/>
                <w:bCs/>
                <w:sz w:val="22"/>
                <w:szCs w:val="22"/>
              </w:rPr>
              <w:t xml:space="preserve">External Links</w:t>
            </w:r>
          </w:p>
          <w:p>
            <w:pPr>
              <w:spacing w:after="140"/>
            </w:pPr>
            <w:r>
              <w:rPr>
                <w:b w:val="false"/>
                <w:bCs w:val="false"/>
                <w:i w:val="false"/>
                <w:iCs w:val="false"/>
                <w:sz w:val="21"/>
                <w:szCs w:val="21"/>
              </w:rPr>
              <w:t xml:space="preserve">This website may contain links to third-party websites, including Vendor storefronts or informational resources. Mrittika does not endorse and is not responsible for the content, accuracy, or practices of any linked third-party website.</w:t>
            </w:r>
          </w:p>
          <w:p>
            <w:pPr>
              <w:keepNext/>
              <w:spacing w:after="100" w:before="220"/>
            </w:pPr>
            <w:r>
              <w:rPr>
                <w:b/>
                <w:bCs/>
                <w:sz w:val="22"/>
                <w:szCs w:val="22"/>
              </w:rPr>
              <w:t xml:space="preserve">Pricing and Availability</w:t>
            </w:r>
          </w:p>
          <w:p>
            <w:pPr>
              <w:spacing w:after="0"/>
            </w:pPr>
            <w:r>
              <w:rPr>
                <w:b w:val="false"/>
                <w:bCs w:val="false"/>
                <w:i w:val="false"/>
                <w:iCs w:val="false"/>
                <w:sz w:val="21"/>
                <w:szCs w:val="21"/>
              </w:rPr>
              <w:t xml:space="preserve">Prices, discounts, and product availability displayed on the website are subject to change without prior notice and may occasionally contain typographical or technical errors. Mrittika reserves the right to correct such errors and to cancel any order arising from a pricing or listing error, with a full refund to the affected User.</w:t>
            </w:r>
          </w:p>
        </w:tc>
      </w:tr>
    </w:tbl>
    <w:p>
      <w:pPr>
        <w:pStyle w:val="Heading1"/>
        <w:keepNext/>
        <w:spacing w:after="200" w:before="400"/>
      </w:pPr>
      <w:r>
        <w:t xml:space="preserve">4. Terms and Conditions</w:t>
      </w:r>
    </w:p>
    <w:p>
      <w:pPr>
        <w:spacing w:after="200"/>
      </w:pPr>
      <w:r>
        <w:rPr>
          <w:b w:val="false"/>
          <w:bCs w:val="false"/>
          <w:i w:val="false"/>
          <w:iCs w:val="false"/>
          <w:sz w:val="21"/>
          <w:szCs w:val="21"/>
        </w:rPr>
        <w:t xml:space="preserve">The following terms are presented for mandatory affirmative acceptance (a required checkbox) before a User may proceed to payment, and separately before a Vendor may submit a listing application. By accepting, the User or Vendor enters into a binding agreement with Mrittika.</w:t>
      </w:r>
    </w:p>
    <w:p>
      <w:pPr>
        <w:pStyle w:val="ListParagraph"/>
        <w:keepNext/>
        <w:numPr>
          <w:ilvl w:val="0"/>
          <w:numId w:val="3"/>
        </w:numPr>
        <w:spacing w:after="80" w:before="160"/>
      </w:pPr>
      <w:r>
        <w:rPr>
          <w:b/>
          <w:bCs/>
          <w:sz w:val="21"/>
          <w:szCs w:val="21"/>
        </w:rPr>
        <w:t xml:space="preserve">Acceptance of Terms</w:t>
      </w:r>
    </w:p>
    <w:p>
      <w:pPr>
        <w:spacing w:after="120"/>
      </w:pPr>
      <w:r>
        <w:rPr>
          <w:sz w:val="21"/>
          <w:szCs w:val="21"/>
        </w:rPr>
        <w:t xml:space="preserve">By creating an account, listing a product, or placing an order on Mrittika, you confirm that you have read, understood, and agree to be bound by these Terms and Conditions, together with the Privacy Policy and Disclaimer referenced herein.</w:t>
      </w:r>
    </w:p>
    <w:p>
      <w:pPr>
        <w:pStyle w:val="ListParagraph"/>
        <w:keepNext/>
        <w:numPr>
          <w:ilvl w:val="0"/>
          <w:numId w:val="3"/>
        </w:numPr>
        <w:spacing w:after="80" w:before="160"/>
      </w:pPr>
      <w:r>
        <w:rPr>
          <w:b/>
          <w:bCs/>
          <w:sz w:val="21"/>
          <w:szCs w:val="21"/>
        </w:rPr>
        <w:t xml:space="preserve">Eligibility</w:t>
      </w:r>
    </w:p>
    <w:p>
      <w:pPr>
        <w:spacing w:after="120"/>
      </w:pPr>
      <w:r>
        <w:rPr>
          <w:sz w:val="21"/>
          <w:szCs w:val="21"/>
        </w:rPr>
        <w:t xml:space="preserve">You must be at least 18 years of age and competent to contract under the Indian Contract Act, 1872 to register an account, place an order, or list products as a Vendor on this platform. Accounts found to belong to a minor will be suspended pending verification.</w:t>
      </w:r>
    </w:p>
    <w:p>
      <w:pPr>
        <w:pStyle w:val="ListParagraph"/>
        <w:keepNext/>
        <w:numPr>
          <w:ilvl w:val="0"/>
          <w:numId w:val="3"/>
        </w:numPr>
        <w:spacing w:after="80" w:before="160"/>
      </w:pPr>
      <w:r>
        <w:rPr>
          <w:b/>
          <w:bCs/>
          <w:sz w:val="21"/>
          <w:szCs w:val="21"/>
        </w:rPr>
        <w:t xml:space="preserve">Account Registration and Security</w:t>
      </w:r>
    </w:p>
    <w:p>
      <w:pPr>
        <w:spacing w:after="120"/>
      </w:pPr>
      <w:r>
        <w:rPr>
          <w:sz w:val="21"/>
          <w:szCs w:val="21"/>
        </w:rPr>
        <w:t xml:space="preserve">You are responsible for maintaining the confidentiality of your account credentials and for all activity that occurs under your account. You must notify Mrittika immediately of any unauthorized use of your account.</w:t>
      </w:r>
    </w:p>
    <w:p>
      <w:pPr>
        <w:pStyle w:val="ListParagraph"/>
        <w:keepNext/>
        <w:numPr>
          <w:ilvl w:val="0"/>
          <w:numId w:val="3"/>
        </w:numPr>
        <w:spacing w:after="80" w:before="160"/>
      </w:pPr>
      <w:r>
        <w:rPr>
          <w:b/>
          <w:bCs/>
          <w:sz w:val="21"/>
          <w:szCs w:val="21"/>
        </w:rPr>
        <w:t xml:space="preserve">Vendor Listings and Product Information</w:t>
      </w:r>
    </w:p>
    <w:p>
      <w:pPr>
        <w:spacing w:after="120"/>
      </w:pPr>
      <w:r>
        <w:rPr>
          <w:sz w:val="21"/>
          <w:szCs w:val="21"/>
        </w:rPr>
        <w:t xml:space="preserve">Vendors are solely responsible for the accuracy, legality, and completeness of all product listings, including descriptions, pricing, images, and sustainability documentation submitted for scoring. Mrittika reserves the right to review, edit, suspend, or remove any listing that appears inaccurate, misleading, or in violation of the Prohibited Items Policy.</w:t>
      </w:r>
    </w:p>
    <w:p>
      <w:pPr>
        <w:pStyle w:val="ListParagraph"/>
        <w:keepNext/>
        <w:numPr>
          <w:ilvl w:val="0"/>
          <w:numId w:val="3"/>
        </w:numPr>
        <w:spacing w:after="80" w:before="160"/>
      </w:pPr>
      <w:r>
        <w:rPr>
          <w:b/>
          <w:bCs/>
          <w:sz w:val="21"/>
          <w:szCs w:val="21"/>
        </w:rPr>
        <w:t xml:space="preserve">Sustainability Score Disclaimer</w:t>
      </w:r>
    </w:p>
    <w:p>
      <w:pPr>
        <w:spacing w:after="120"/>
      </w:pPr>
      <w:r>
        <w:rPr>
          <w:sz w:val="21"/>
          <w:szCs w:val="21"/>
        </w:rPr>
        <w:t xml:space="preserve">The sustainability score displayed against each product is an indicative assessment based on Vendor-submitted documentation and Mrittika's scoring methodology, and does not constitute an independent third-party certification, as further described in the Disclaimer.</w:t>
      </w:r>
    </w:p>
    <w:p>
      <w:pPr>
        <w:pStyle w:val="ListParagraph"/>
        <w:keepNext/>
        <w:numPr>
          <w:ilvl w:val="0"/>
          <w:numId w:val="3"/>
        </w:numPr>
        <w:spacing w:after="80" w:before="160"/>
      </w:pPr>
      <w:r>
        <w:rPr>
          <w:b/>
          <w:bCs/>
          <w:sz w:val="21"/>
          <w:szCs w:val="21"/>
        </w:rPr>
        <w:t xml:space="preserve">Pricing and Payment</w:t>
      </w:r>
    </w:p>
    <w:p>
      <w:pPr>
        <w:spacing w:after="120"/>
      </w:pPr>
      <w:r>
        <w:rPr>
          <w:sz w:val="21"/>
          <w:szCs w:val="21"/>
        </w:rPr>
        <w:t xml:space="preserve">All prices are listed in Indian Rupees (INR) and are inclusive of applicable GST unless stated otherwise. Payment must be completed through the payment methods made available on the platform at the time of checkout, processed via a third-party payment gateway. Mrittika does not store your payment card or banking details.</w:t>
      </w:r>
    </w:p>
    <w:p>
      <w:pPr>
        <w:pStyle w:val="ListParagraph"/>
        <w:keepNext/>
        <w:numPr>
          <w:ilvl w:val="0"/>
          <w:numId w:val="3"/>
        </w:numPr>
        <w:spacing w:after="80" w:before="160"/>
      </w:pPr>
      <w:r>
        <w:rPr>
          <w:b/>
          <w:bCs/>
          <w:sz w:val="21"/>
          <w:szCs w:val="21"/>
        </w:rPr>
        <w:t xml:space="preserve">Order Confirmation and Cancellation</w:t>
      </w:r>
    </w:p>
    <w:p>
      <w:pPr>
        <w:spacing w:after="120"/>
      </w:pPr>
      <w:r>
        <w:rPr>
          <w:sz w:val="21"/>
          <w:szCs w:val="21"/>
        </w:rPr>
        <w:t xml:space="preserve">An order is confirmed only upon receipt of payment and issuance of an order confirmation. Users may cancel an order within the window specified at checkout, subject to the individual Vendor's cancellation policy displayed on the product page.</w:t>
      </w:r>
    </w:p>
    <w:p>
      <w:pPr>
        <w:pStyle w:val="ListParagraph"/>
        <w:keepNext/>
        <w:numPr>
          <w:ilvl w:val="0"/>
          <w:numId w:val="3"/>
        </w:numPr>
        <w:spacing w:after="80" w:before="160"/>
      </w:pPr>
      <w:r>
        <w:rPr>
          <w:b/>
          <w:bCs/>
          <w:sz w:val="21"/>
          <w:szCs w:val="21"/>
        </w:rPr>
        <w:t xml:space="preserve">Shipping and Delivery</w:t>
      </w:r>
    </w:p>
    <w:p>
      <w:pPr>
        <w:spacing w:after="120"/>
      </w:pPr>
      <w:r>
        <w:rPr>
          <w:sz w:val="21"/>
          <w:szCs w:val="21"/>
        </w:rPr>
        <w:t xml:space="preserve">Products are shipped directly by the fulfilling Vendor. Estimated delivery timelines are indicative and provided by the Vendor; Mrittika is not liable for delays caused by the Vendor, courier partner, or circumstances beyond reasonable control.</w:t>
      </w:r>
    </w:p>
    <w:p>
      <w:pPr>
        <w:pStyle w:val="ListParagraph"/>
        <w:keepNext/>
        <w:numPr>
          <w:ilvl w:val="0"/>
          <w:numId w:val="3"/>
        </w:numPr>
        <w:spacing w:after="80" w:before="160"/>
      </w:pPr>
      <w:r>
        <w:rPr>
          <w:b/>
          <w:bCs/>
          <w:sz w:val="21"/>
          <w:szCs w:val="21"/>
        </w:rPr>
        <w:t xml:space="preserve">Returns, Refunds and Replacement</w:t>
      </w:r>
    </w:p>
    <w:p>
      <w:pPr>
        <w:spacing w:after="120"/>
      </w:pPr>
      <w:r>
        <w:rPr>
          <w:sz w:val="21"/>
          <w:szCs w:val="21"/>
        </w:rPr>
        <w:t xml:space="preserve">Returns and refunds are subject to the individual Vendor's return policy displayed on the product listing, in addition to any statutory right available to the User under the Consumer Protection Act, 2019. Refunds, where applicable, will be processed to the original payment method within the timeline specified in the Vendor's policy.</w:t>
      </w:r>
    </w:p>
    <w:p>
      <w:pPr>
        <w:pStyle w:val="ListParagraph"/>
        <w:keepNext/>
        <w:numPr>
          <w:ilvl w:val="0"/>
          <w:numId w:val="3"/>
        </w:numPr>
        <w:spacing w:after="80" w:before="160"/>
      </w:pPr>
      <w:r>
        <w:rPr>
          <w:b/>
          <w:bCs/>
          <w:sz w:val="21"/>
          <w:szCs w:val="21"/>
        </w:rPr>
        <w:t xml:space="preserve">User Conduct</w:t>
      </w:r>
    </w:p>
    <w:p>
      <w:pPr>
        <w:spacing w:after="120"/>
      </w:pPr>
      <w:r>
        <w:rPr>
          <w:sz w:val="21"/>
          <w:szCs w:val="21"/>
        </w:rPr>
        <w:t xml:space="preserve">You agree not to use the platform for any unlawful purpose, to upload false or misleading content, to infringe the intellectual property of Mrittika or any third party, or to attempt to interfere with the platform's security or normal operation.</w:t>
      </w:r>
    </w:p>
    <w:p>
      <w:pPr>
        <w:pStyle w:val="ListParagraph"/>
        <w:keepNext/>
        <w:numPr>
          <w:ilvl w:val="0"/>
          <w:numId w:val="3"/>
        </w:numPr>
        <w:spacing w:after="80" w:before="160"/>
      </w:pPr>
      <w:r>
        <w:rPr>
          <w:b/>
          <w:bCs/>
          <w:sz w:val="21"/>
          <w:szCs w:val="21"/>
        </w:rPr>
        <w:t xml:space="preserve">Intellectual Property</w:t>
      </w:r>
    </w:p>
    <w:p>
      <w:pPr>
        <w:spacing w:after="120"/>
      </w:pPr>
      <w:r>
        <w:rPr>
          <w:sz w:val="21"/>
          <w:szCs w:val="21"/>
        </w:rPr>
        <w:t xml:space="preserve">All platform content, branding, and the sustainability scoring methodology are the property of Mrittika, as set out in the Copyright Notice. Vendors retain ownership of their submitted content but grant Mrittika a limited, non-exclusive license to display and use it for operating and promoting the platform.</w:t>
      </w:r>
    </w:p>
    <w:p>
      <w:pPr>
        <w:pStyle w:val="ListParagraph"/>
        <w:keepNext/>
        <w:numPr>
          <w:ilvl w:val="0"/>
          <w:numId w:val="3"/>
        </w:numPr>
        <w:spacing w:after="80" w:before="160"/>
      </w:pPr>
      <w:r>
        <w:rPr>
          <w:b/>
          <w:bCs/>
          <w:sz w:val="21"/>
          <w:szCs w:val="21"/>
        </w:rPr>
        <w:t xml:space="preserve">User-Generated Content</w:t>
      </w:r>
    </w:p>
    <w:p>
      <w:pPr>
        <w:spacing w:after="120"/>
      </w:pPr>
      <w:r>
        <w:rPr>
          <w:sz w:val="21"/>
          <w:szCs w:val="21"/>
        </w:rPr>
        <w:t xml:space="preserve">By submitting a review, rating, or other content, you grant Mrittika a license to display that content on the platform. Mrittika reserves the right to moderate or remove content that is defamatory, infringing, or in breach of these Terms.</w:t>
      </w:r>
    </w:p>
    <w:p>
      <w:pPr>
        <w:pStyle w:val="ListParagraph"/>
        <w:keepNext/>
        <w:numPr>
          <w:ilvl w:val="0"/>
          <w:numId w:val="3"/>
        </w:numPr>
        <w:spacing w:after="80" w:before="160"/>
      </w:pPr>
      <w:r>
        <w:rPr>
          <w:b/>
          <w:bCs/>
          <w:sz w:val="21"/>
          <w:szCs w:val="21"/>
        </w:rPr>
        <w:t xml:space="preserve">Privacy and Data Use</w:t>
      </w:r>
    </w:p>
    <w:p>
      <w:pPr>
        <w:spacing w:after="120"/>
      </w:pPr>
      <w:r>
        <w:rPr>
          <w:sz w:val="21"/>
          <w:szCs w:val="21"/>
        </w:rPr>
        <w:t xml:space="preserve">Your personal data is collected and processed in accordance with the Privacy Policy, which describes what data is collected, why, how long it is retained, and your rights in respect of that data.</w:t>
      </w:r>
    </w:p>
    <w:p>
      <w:pPr>
        <w:pStyle w:val="ListParagraph"/>
        <w:keepNext/>
        <w:numPr>
          <w:ilvl w:val="0"/>
          <w:numId w:val="3"/>
        </w:numPr>
        <w:spacing w:after="80" w:before="160"/>
      </w:pPr>
      <w:r>
        <w:rPr>
          <w:b/>
          <w:bCs/>
          <w:sz w:val="21"/>
          <w:szCs w:val="21"/>
        </w:rPr>
        <w:t xml:space="preserve">Limitation of Liability</w:t>
      </w:r>
    </w:p>
    <w:p>
      <w:pPr>
        <w:spacing w:after="120"/>
      </w:pPr>
      <w:r>
        <w:rPr>
          <w:sz w:val="21"/>
          <w:szCs w:val="21"/>
        </w:rPr>
        <w:t xml:space="preserve">To the maximum extent permitted by law, Mrittika's liability arising out of your use of the platform is limited as described in the Disclaimer, except where such limitation is not permitted under the Consumer Protection Act, 2019 or other mandatory law.</w:t>
      </w:r>
    </w:p>
    <w:p>
      <w:pPr>
        <w:pStyle w:val="ListParagraph"/>
        <w:keepNext/>
        <w:numPr>
          <w:ilvl w:val="0"/>
          <w:numId w:val="3"/>
        </w:numPr>
        <w:spacing w:after="80" w:before="160"/>
      </w:pPr>
      <w:r>
        <w:rPr>
          <w:b/>
          <w:bCs/>
          <w:sz w:val="21"/>
          <w:szCs w:val="21"/>
        </w:rPr>
        <w:t xml:space="preserve">Indemnification</w:t>
      </w:r>
    </w:p>
    <w:p>
      <w:pPr>
        <w:spacing w:after="120"/>
      </w:pPr>
      <w:r>
        <w:rPr>
          <w:sz w:val="21"/>
          <w:szCs w:val="21"/>
        </w:rPr>
        <w:t xml:space="preserve">You agree to indemnify and hold Mrittika harmless from any claim, loss, or damage, including reasonable legal fees, arising from your breach of these Terms, your listed products (if a Vendor), or your violation of any applicable law.</w:t>
      </w:r>
    </w:p>
    <w:p>
      <w:pPr>
        <w:pStyle w:val="ListParagraph"/>
        <w:keepNext/>
        <w:numPr>
          <w:ilvl w:val="0"/>
          <w:numId w:val="3"/>
        </w:numPr>
        <w:spacing w:after="80" w:before="160"/>
      </w:pPr>
      <w:r>
        <w:rPr>
          <w:b/>
          <w:bCs/>
          <w:sz w:val="21"/>
          <w:szCs w:val="21"/>
        </w:rPr>
        <w:t xml:space="preserve">Grievance Redressal</w:t>
      </w:r>
    </w:p>
    <w:p>
      <w:pPr>
        <w:spacing w:after="120"/>
      </w:pPr>
      <w:r>
        <w:rPr>
          <w:sz w:val="21"/>
          <w:szCs w:val="21"/>
        </w:rPr>
        <w:t xml:space="preserve">In accordance with the Consumer Protection (E-Commerce) Rules, 2020, Mrittika has appointed a Grievance Officer, whose name and contact details are published on the Grievance Redressal page. Complaints will be acknowledged within 48 hours and resolved within one month of receipt.</w:t>
      </w:r>
    </w:p>
    <w:p>
      <w:pPr>
        <w:pStyle w:val="ListParagraph"/>
        <w:keepNext/>
        <w:numPr>
          <w:ilvl w:val="0"/>
          <w:numId w:val="3"/>
        </w:numPr>
        <w:spacing w:after="80" w:before="160"/>
      </w:pPr>
      <w:r>
        <w:rPr>
          <w:b/>
          <w:bCs/>
          <w:sz w:val="21"/>
          <w:szCs w:val="21"/>
        </w:rPr>
        <w:t xml:space="preserve">Governing Law and Jurisdiction</w:t>
      </w:r>
    </w:p>
    <w:p>
      <w:pPr>
        <w:spacing w:after="120"/>
      </w:pPr>
      <w:r>
        <w:rPr>
          <w:sz w:val="21"/>
          <w:szCs w:val="21"/>
        </w:rPr>
        <w:t xml:space="preserve">These Terms are governed by the laws of India. Any dispute arising out of or in connection with these Terms shall be subject to the exclusive jurisdiction of the courts at Mumbai, Maharashtra.</w:t>
      </w:r>
    </w:p>
    <w:p>
      <w:pPr>
        <w:pStyle w:val="ListParagraph"/>
        <w:keepNext/>
        <w:numPr>
          <w:ilvl w:val="0"/>
          <w:numId w:val="3"/>
        </w:numPr>
        <w:spacing w:after="80" w:before="160"/>
      </w:pPr>
      <w:r>
        <w:rPr>
          <w:b/>
          <w:bCs/>
          <w:sz w:val="21"/>
          <w:szCs w:val="21"/>
        </w:rPr>
        <w:t xml:space="preserve">Modification of Terms</w:t>
      </w:r>
    </w:p>
    <w:p>
      <w:pPr>
        <w:spacing w:after="120"/>
      </w:pPr>
      <w:r>
        <w:rPr>
          <w:sz w:val="21"/>
          <w:szCs w:val="21"/>
        </w:rPr>
        <w:t xml:space="preserve">Mrittika may amend these Terms from time to time. Material changes will be notified to Users and require re-acceptance before continued use of the platform.</w:t>
      </w:r>
    </w:p>
    <w:p>
      <w:pPr>
        <w:pStyle w:val="ListParagraph"/>
        <w:keepNext/>
        <w:numPr>
          <w:ilvl w:val="0"/>
          <w:numId w:val="3"/>
        </w:numPr>
        <w:spacing w:after="80" w:before="160"/>
      </w:pPr>
      <w:r>
        <w:rPr>
          <w:b/>
          <w:bCs/>
          <w:sz w:val="21"/>
          <w:szCs w:val="21"/>
        </w:rPr>
        <w:t xml:space="preserve">Termination</w:t>
      </w:r>
    </w:p>
    <w:p>
      <w:pPr>
        <w:spacing w:after="120"/>
      </w:pPr>
      <w:r>
        <w:rPr>
          <w:sz w:val="21"/>
          <w:szCs w:val="21"/>
        </w:rPr>
        <w:t xml:space="preserve">Mrittika reserves the right to suspend or terminate any User or Vendor account that violates these Terms, engages in fraudulent activity, or lists prohibited items, with or without prior notice depending on the severity of the violation.</w:t>
      </w:r>
    </w:p>
    <w:p>
      <w:pPr>
        <w:pStyle w:val="Heading1"/>
        <w:keepNext/>
        <w:spacing w:after="200" w:before="400"/>
      </w:pPr>
      <w:r>
        <w:t xml:space="preserve">5. Memorandum of Understanding — Vendor / Partner / Stakeholder Agreement</w:t>
      </w:r>
    </w:p>
    <w:p>
      <w:pPr>
        <w:spacing w:after="200"/>
      </w:pPr>
      <w:r>
        <w:rPr>
          <w:b w:val="false"/>
          <w:bCs w:val="false"/>
          <w:i w:val="false"/>
          <w:iCs w:val="false"/>
          <w:sz w:val="21"/>
          <w:szCs w:val="21"/>
        </w:rPr>
        <w:t xml:space="preserve">Because Mrittika's marketplace model combines a B2B relationship (onboarding Vendors as supply-chain partners) with a B2C relationship (Users purchasing as end consumers), a separate agreement governs the platform-Vendor relationship specifically. The following Memorandum of Understanding (MOU) template is intended for execution between Mrittika and each onboarded Vendor or supply-chain partner.</w:t>
      </w:r>
    </w:p>
    <w:p>
      <w:pPr>
        <w:pStyle w:val="Heading2"/>
        <w:keepNext/>
        <w:spacing w:after="120" w:before="280"/>
      </w:pPr>
      <w:r>
        <w:rPr>
          <w:color w:val="1F4E79"/>
        </w:rPr>
        <w:t xml:space="preserve">MEMORANDUM OF UNDERSTANDING</w:t>
      </w:r>
    </w:p>
    <w:p>
      <w:pPr>
        <w:spacing w:after="140"/>
      </w:pPr>
      <w:r>
        <w:rPr>
          <w:b w:val="false"/>
          <w:bCs w:val="false"/>
          <w:i w:val="false"/>
          <w:iCs w:val="false"/>
          <w:sz w:val="21"/>
          <w:szCs w:val="21"/>
        </w:rPr>
        <w:t xml:space="preserve">This Memorandum of Understanding ("MOU") is entered into on [Date], at Mumbai, Maharashtra, between:</w:t>
      </w:r>
    </w:p>
    <w:p>
      <w:pPr>
        <w:spacing w:after="140"/>
      </w:pPr>
      <w:r>
        <w:rPr>
          <w:b w:val="false"/>
          <w:bCs w:val="false"/>
          <w:i w:val="false"/>
          <w:iCs w:val="false"/>
          <w:sz w:val="21"/>
          <w:szCs w:val="21"/>
        </w:rPr>
        <w:t xml:space="preserve">Mrittika, a platform operating as [Business Structure, e.g., a Private Limited Company / LLP] with its registered office at [Registered Address], Mumbai, Maharashtra, India (hereinafter "the Platform"),</w:t>
      </w:r>
    </w:p>
    <w:p>
      <w:pPr>
        <w:spacing w:after="140"/>
      </w:pPr>
      <w:r>
        <w:rPr>
          <w:b/>
          <w:bCs/>
          <w:i w:val="false"/>
          <w:iCs w:val="false"/>
          <w:sz w:val="21"/>
          <w:szCs w:val="21"/>
        </w:rPr>
        <w:t xml:space="preserve">AND</w:t>
      </w:r>
    </w:p>
    <w:p>
      <w:pPr>
        <w:spacing w:after="140"/>
      </w:pPr>
      <w:r>
        <w:rPr>
          <w:b w:val="false"/>
          <w:bCs w:val="false"/>
          <w:i w:val="false"/>
          <w:iCs w:val="false"/>
          <w:sz w:val="21"/>
          <w:szCs w:val="21"/>
        </w:rPr>
        <w:t xml:space="preserve">[Vendor / Partner Name], with its principal place of business at [Vendor Address] (hereinafter "the Vendor"),</w:t>
      </w:r>
    </w:p>
    <w:p>
      <w:pPr>
        <w:spacing w:after="220"/>
      </w:pPr>
      <w:r>
        <w:rPr>
          <w:b w:val="false"/>
          <w:bCs w:val="false"/>
          <w:i w:val="false"/>
          <w:iCs w:val="false"/>
          <w:sz w:val="21"/>
          <w:szCs w:val="21"/>
        </w:rPr>
        <w:t xml:space="preserve">collectively referred to as "the Parties."</w:t>
      </w:r>
    </w:p>
    <w:p>
      <w:pPr>
        <w:keepNext/>
        <w:spacing w:after="100" w:before="220"/>
      </w:pPr>
      <w:r>
        <w:rPr>
          <w:b/>
          <w:bCs/>
          <w:sz w:val="22"/>
          <w:szCs w:val="22"/>
        </w:rPr>
        <w:t xml:space="preserve">1. Purpose</w:t>
      </w:r>
    </w:p>
    <w:p>
      <w:pPr>
        <w:spacing w:after="180"/>
      </w:pPr>
      <w:r>
        <w:rPr>
          <w:b w:val="false"/>
          <w:bCs w:val="false"/>
          <w:i w:val="false"/>
          <w:iCs w:val="false"/>
          <w:sz w:val="21"/>
          <w:szCs w:val="21"/>
        </w:rPr>
        <w:t xml:space="preserve">This MOU sets out the terms on which the Vendor will list and sell products through the Platform, and the corresponding obligations of the Platform in facilitating such sale, including matters of product listing, sustainability verification, payment settlement, and dispute handling.</w:t>
      </w:r>
    </w:p>
    <w:p>
      <w:pPr>
        <w:keepNext/>
        <w:spacing w:after="100" w:before="220"/>
      </w:pPr>
      <w:r>
        <w:rPr>
          <w:b/>
          <w:bCs/>
          <w:sz w:val="22"/>
          <w:szCs w:val="22"/>
        </w:rPr>
        <w:t xml:space="preserve">2. Vendor Obligations</w:t>
      </w:r>
    </w:p>
    <w:p>
      <w:pPr>
        <w:pStyle w:val="ListParagraph"/>
        <w:numPr>
          <w:ilvl w:val="0"/>
          <w:numId w:val="2"/>
        </w:numPr>
        <w:spacing w:after="140"/>
      </w:pPr>
      <w:r>
        <w:rPr>
          <w:b/>
          <w:bCs/>
          <w:sz w:val="21"/>
          <w:szCs w:val="21"/>
        </w:rPr>
        <w:t xml:space="preserve">Product accuracy — </w:t>
      </w:r>
      <w:r>
        <w:rPr>
          <w:sz w:val="21"/>
          <w:szCs w:val="21"/>
        </w:rPr>
        <w:t xml:space="preserve">the Vendor warrants that all product descriptions, pricing, images, and sustainability claims submitted to the Platform are accurate, current, and not misleading.</w:t>
      </w:r>
    </w:p>
    <w:p>
      <w:pPr>
        <w:pStyle w:val="ListParagraph"/>
        <w:numPr>
          <w:ilvl w:val="0"/>
          <w:numId w:val="2"/>
        </w:numPr>
        <w:spacing w:after="140"/>
      </w:pPr>
      <w:r>
        <w:rPr>
          <w:b/>
          <w:bCs/>
          <w:sz w:val="21"/>
          <w:szCs w:val="21"/>
        </w:rPr>
        <w:t xml:space="preserve">Sustainability documentation — </w:t>
      </w:r>
      <w:r>
        <w:rPr>
          <w:sz w:val="21"/>
          <w:szCs w:val="21"/>
        </w:rPr>
        <w:t xml:space="preserve">the Vendor shall submit valid supporting documentation (certifications, material sourcing information, or equivalent evidence) for any sustainability claim made in a listing, for review under the Platform's scoring methodology.</w:t>
      </w:r>
    </w:p>
    <w:p>
      <w:pPr>
        <w:pStyle w:val="ListParagraph"/>
        <w:numPr>
          <w:ilvl w:val="0"/>
          <w:numId w:val="2"/>
        </w:numPr>
        <w:spacing w:after="140"/>
      </w:pPr>
      <w:r>
        <w:rPr>
          <w:b/>
          <w:bCs/>
          <w:sz w:val="21"/>
          <w:szCs w:val="21"/>
        </w:rPr>
        <w:t xml:space="preserve">Regulatory compliance — </w:t>
      </w:r>
      <w:r>
        <w:rPr>
          <w:sz w:val="21"/>
          <w:szCs w:val="21"/>
        </w:rPr>
        <w:t xml:space="preserve">the Vendor shall independently comply with all applicable law relating to the products it lists, including the Legal Metrology Act, 2009, GST registration and invoicing requirements, and, where applicable, FSSAI licensing.</w:t>
      </w:r>
    </w:p>
    <w:p>
      <w:pPr>
        <w:pStyle w:val="ListParagraph"/>
        <w:numPr>
          <w:ilvl w:val="0"/>
          <w:numId w:val="2"/>
        </w:numPr>
        <w:spacing w:after="140"/>
      </w:pPr>
      <w:r>
        <w:rPr>
          <w:b/>
          <w:bCs/>
          <w:sz w:val="21"/>
          <w:szCs w:val="21"/>
        </w:rPr>
        <w:t xml:space="preserve">Fulfilment — </w:t>
      </w:r>
      <w:r>
        <w:rPr>
          <w:sz w:val="21"/>
          <w:szCs w:val="21"/>
        </w:rPr>
        <w:t xml:space="preserve">the Vendor shall ship confirmed orders within the timeline specified in its listed shipping policy and shall promptly update order status on the Platform's vendor dashboard.</w:t>
      </w:r>
    </w:p>
    <w:p>
      <w:pPr>
        <w:pStyle w:val="ListParagraph"/>
        <w:numPr>
          <w:ilvl w:val="0"/>
          <w:numId w:val="2"/>
        </w:numPr>
        <w:spacing w:after="140"/>
      </w:pPr>
      <w:r>
        <w:rPr>
          <w:b/>
          <w:bCs/>
          <w:sz w:val="21"/>
          <w:szCs w:val="21"/>
        </w:rPr>
        <w:t xml:space="preserve">Intellectual property warranty — </w:t>
      </w:r>
      <w:r>
        <w:rPr>
          <w:sz w:val="21"/>
          <w:szCs w:val="21"/>
        </w:rPr>
        <w:t xml:space="preserve">the Vendor warrants that it owns, or is validly licensed to use, all content it uploads to the Platform, and agrees to indemnify the Platform against any third-party claim arising from a breach of this warranty.</w:t>
      </w:r>
    </w:p>
    <w:p>
      <w:pPr>
        <w:spacing w:after="200"/>
      </w:pPr>
    </w:p>
    <w:p>
      <w:pPr>
        <w:keepNext/>
        <w:spacing w:after="100" w:before="220"/>
      </w:pPr>
      <w:r>
        <w:rPr>
          <w:b/>
          <w:bCs/>
          <w:sz w:val="22"/>
          <w:szCs w:val="22"/>
        </w:rPr>
        <w:t xml:space="preserve">3. Platform Obligations</w:t>
      </w:r>
    </w:p>
    <w:p>
      <w:pPr>
        <w:pStyle w:val="ListParagraph"/>
        <w:numPr>
          <w:ilvl w:val="0"/>
          <w:numId w:val="2"/>
        </w:numPr>
        <w:spacing w:after="140"/>
      </w:pPr>
      <w:r>
        <w:rPr>
          <w:b/>
          <w:bCs/>
          <w:sz w:val="21"/>
          <w:szCs w:val="21"/>
        </w:rPr>
        <w:t xml:space="preserve">Listing visibility — </w:t>
      </w:r>
      <w:r>
        <w:rPr>
          <w:sz w:val="21"/>
          <w:szCs w:val="21"/>
        </w:rPr>
        <w:t xml:space="preserve">the Platform shall provide the Vendor with a listing presence on the marketplace, including participation in relevant category and "Shop by Impact" filtering.</w:t>
      </w:r>
    </w:p>
    <w:p>
      <w:pPr>
        <w:pStyle w:val="ListParagraph"/>
        <w:numPr>
          <w:ilvl w:val="0"/>
          <w:numId w:val="2"/>
        </w:numPr>
        <w:spacing w:after="140"/>
      </w:pPr>
      <w:r>
        <w:rPr>
          <w:b/>
          <w:bCs/>
          <w:sz w:val="21"/>
          <w:szCs w:val="21"/>
        </w:rPr>
        <w:t xml:space="preserve">Payment settlement — </w:t>
      </w:r>
      <w:r>
        <w:rPr>
          <w:sz w:val="21"/>
          <w:szCs w:val="21"/>
        </w:rPr>
        <w:t xml:space="preserve">the Platform shall remit payment for fulfilled orders to the Vendor within the settlement cycle specified in Clause 4, net of the agreed commission and applicable TCS deduction under Section 52 of the CGST Act.</w:t>
      </w:r>
    </w:p>
    <w:p>
      <w:pPr>
        <w:pStyle w:val="ListParagraph"/>
        <w:numPr>
          <w:ilvl w:val="0"/>
          <w:numId w:val="2"/>
        </w:numPr>
        <w:spacing w:after="140"/>
      </w:pPr>
      <w:r>
        <w:rPr>
          <w:b/>
          <w:bCs/>
          <w:sz w:val="21"/>
          <w:szCs w:val="21"/>
        </w:rPr>
        <w:t xml:space="preserve">Dispute support — </w:t>
      </w:r>
      <w:r>
        <w:rPr>
          <w:sz w:val="21"/>
          <w:szCs w:val="21"/>
        </w:rPr>
        <w:t xml:space="preserve">the Platform shall provide a defined process for mediating disputes between the Vendor and a User arising from an order placed through the Platform.</w:t>
      </w:r>
    </w:p>
    <w:p>
      <w:pPr>
        <w:pStyle w:val="ListParagraph"/>
        <w:numPr>
          <w:ilvl w:val="0"/>
          <w:numId w:val="2"/>
        </w:numPr>
        <w:spacing w:after="140"/>
      </w:pPr>
      <w:r>
        <w:rPr>
          <w:b/>
          <w:bCs/>
          <w:sz w:val="21"/>
          <w:szCs w:val="21"/>
        </w:rPr>
        <w:t xml:space="preserve">Data handling — </w:t>
      </w:r>
      <w:r>
        <w:rPr>
          <w:sz w:val="21"/>
          <w:szCs w:val="21"/>
        </w:rPr>
        <w:t xml:space="preserve">the Platform shall share with the Vendor only such User data (for example, delivery address and order details) as is reasonably necessary to fulfil an order, in accordance with the Platform's Privacy Policy.</w:t>
      </w:r>
    </w:p>
    <w:p>
      <w:pPr>
        <w:spacing w:after="200"/>
      </w:pPr>
    </w:p>
    <w:p>
      <w:pPr>
        <w:keepNext/>
        <w:spacing w:after="100" w:before="220"/>
      </w:pPr>
      <w:r>
        <w:rPr>
          <w:b/>
          <w:bCs/>
          <w:sz w:val="22"/>
          <w:szCs w:val="22"/>
        </w:rPr>
        <w:t xml:space="preserve">4. Commission and Payment Terms</w:t>
      </w:r>
    </w:p>
    <w:p>
      <w:pPr>
        <w:spacing w:after="220"/>
      </w:pPr>
      <w:r>
        <w:rPr>
          <w:b w:val="false"/>
          <w:bCs w:val="false"/>
          <w:i w:val="false"/>
          <w:iCs w:val="false"/>
          <w:sz w:val="21"/>
          <w:szCs w:val="21"/>
        </w:rPr>
        <w:t xml:space="preserve">The Vendor agrees to pay the Platform a commission of [X]% on the net value of each completed sale. Payment settlement to the Vendor shall occur on a [weekly / bi-weekly / monthly] cycle, net of the agreed commission and any tax deduction the Platform is required to make by law, including TCS under Section 52 of the CGST Act and TDS under Section 194-O of the Income Tax Act, 1961.</w:t>
      </w:r>
    </w:p>
    <w:p>
      <w:pPr>
        <w:keepNext/>
        <w:spacing w:after="100" w:before="220"/>
      </w:pPr>
      <w:r>
        <w:rPr>
          <w:b/>
          <w:bCs/>
          <w:sz w:val="22"/>
          <w:szCs w:val="22"/>
        </w:rPr>
        <w:t xml:space="preserve">5. Duration and Termination</w:t>
      </w:r>
    </w:p>
    <w:p>
      <w:pPr>
        <w:spacing w:after="220"/>
      </w:pPr>
      <w:r>
        <w:rPr>
          <w:b w:val="false"/>
          <w:bCs w:val="false"/>
          <w:i w:val="false"/>
          <w:iCs w:val="false"/>
          <w:sz w:val="21"/>
          <w:szCs w:val="21"/>
        </w:rPr>
        <w:t xml:space="preserve">This MOU shall remain in effect from the date of signing for an initial period of [12 months], renewable by mutual written consent. Either Party may terminate this MOU with [30 days'] written notice. The Platform may terminate immediately upon the Vendor's material breach of Clause 2, including repeated listing of prohibited items or submission of false sustainability documentation.</w:t>
      </w:r>
    </w:p>
    <w:p>
      <w:pPr>
        <w:keepNext/>
        <w:spacing w:after="100" w:before="220"/>
      </w:pPr>
      <w:r>
        <w:rPr>
          <w:b/>
          <w:bCs/>
          <w:sz w:val="22"/>
          <w:szCs w:val="22"/>
        </w:rPr>
        <w:t xml:space="preserve">6. Confidentiality</w:t>
      </w:r>
    </w:p>
    <w:p>
      <w:pPr>
        <w:spacing w:after="220"/>
      </w:pPr>
      <w:r>
        <w:rPr>
          <w:b w:val="false"/>
          <w:bCs w:val="false"/>
          <w:i w:val="false"/>
          <w:iCs w:val="false"/>
          <w:sz w:val="21"/>
          <w:szCs w:val="21"/>
        </w:rPr>
        <w:t xml:space="preserve">Each Party agrees to keep confidential any proprietary or commercially sensitive information disclosed by the other Party in the course of this relationship, including the Platform's scoring methodology and the Vendor's non-public business data, and not to disclose such information to a third party without prior written consent.</w:t>
      </w:r>
    </w:p>
    <w:p>
      <w:pPr>
        <w:keepNext/>
        <w:spacing w:after="100" w:before="220"/>
      </w:pPr>
      <w:r>
        <w:rPr>
          <w:b/>
          <w:bCs/>
          <w:sz w:val="22"/>
          <w:szCs w:val="22"/>
        </w:rPr>
        <w:t xml:space="preserve">7. Indemnification</w:t>
      </w:r>
    </w:p>
    <w:p>
      <w:pPr>
        <w:spacing w:after="220"/>
      </w:pPr>
      <w:r>
        <w:rPr>
          <w:b w:val="false"/>
          <w:bCs w:val="false"/>
          <w:i w:val="false"/>
          <w:iCs w:val="false"/>
          <w:sz w:val="21"/>
          <w:szCs w:val="21"/>
        </w:rPr>
        <w:t xml:space="preserve">Each Party agrees to indemnify and hold harmless the other Party from any claim, loss, or liability arising from its own breach of this MOU or violation of applicable law.</w:t>
      </w:r>
    </w:p>
    <w:p>
      <w:pPr>
        <w:keepNext/>
        <w:spacing w:after="100" w:before="220"/>
      </w:pPr>
      <w:r>
        <w:rPr>
          <w:b/>
          <w:bCs/>
          <w:sz w:val="22"/>
          <w:szCs w:val="22"/>
        </w:rPr>
        <w:t xml:space="preserve">8. Dispute Resolution and Governing Law</w:t>
      </w:r>
    </w:p>
    <w:p>
      <w:pPr>
        <w:spacing w:after="260"/>
      </w:pPr>
      <w:r>
        <w:rPr>
          <w:b w:val="false"/>
          <w:bCs w:val="false"/>
          <w:i w:val="false"/>
          <w:iCs w:val="false"/>
          <w:sz w:val="21"/>
          <w:szCs w:val="21"/>
        </w:rPr>
        <w:t xml:space="preserve">Any dispute arising out of or in connection with this MOU shall first be referred to good-faith negotiation between the Parties. If unresolved within [30 days], the dispute shall be referred to arbitration in accordance with the Arbitration and Conciliation Act, 1996, with the seat of arbitration at Mumbai, Maharashtra. This MOU is governed by the laws of India, subject to the exclusive jurisdiction of the courts at Mumbai, Maharashtra.</w:t>
      </w:r>
    </w:p>
    <w:p>
      <w:pPr>
        <w:keepNext/>
        <w:spacing w:after="100" w:before="220"/>
      </w:pPr>
      <w:r>
        <w:rPr>
          <w:b/>
          <w:bCs/>
          <w:sz w:val="22"/>
          <w:szCs w:val="22"/>
        </w:rPr>
        <w:t xml:space="preserve">9. Signatures</w:t>
      </w:r>
    </w:p>
    <w:p>
      <w:pPr>
        <w:spacing w:after="260"/>
      </w:pPr>
      <w:r>
        <w:rPr>
          <w:b w:val="false"/>
          <w:bCs w:val="false"/>
          <w:i w:val="false"/>
          <w:iCs w:val="false"/>
          <w:sz w:val="21"/>
          <w:szCs w:val="21"/>
        </w:rPr>
        <w:t xml:space="preserve">IN WITNESS WHEREOF, the Parties have executed this Memorandum of Understanding as of the date first written above.</w:t>
      </w:r>
    </w:p>
    <w:p>
      <w:pPr>
        <w:spacing w:after="60"/>
      </w:pPr>
      <w:r>
        <w:rPr>
          <w:b/>
          <w:bCs/>
          <w:i w:val="false"/>
          <w:iCs w:val="false"/>
          <w:sz w:val="21"/>
          <w:szCs w:val="21"/>
        </w:rPr>
        <w:t xml:space="preserve">For Mrittika (the Platform)</w:t>
      </w:r>
    </w:p>
    <w:p>
      <w:pPr>
        <w:spacing w:after="260"/>
      </w:pPr>
      <w:r>
        <w:rPr>
          <w:b w:val="false"/>
          <w:bCs w:val="false"/>
          <w:i w:val="false"/>
          <w:iCs w:val="false"/>
          <w:sz w:val="21"/>
          <w:szCs w:val="21"/>
        </w:rPr>
        <w:t xml:space="preserve">Name: _______________________     Designation: _______________________     Signature: _______________________     Date: _______________________</w:t>
      </w:r>
    </w:p>
    <w:p>
      <w:pPr>
        <w:spacing w:after="60"/>
      </w:pPr>
      <w:r>
        <w:rPr>
          <w:b/>
          <w:bCs/>
          <w:i w:val="false"/>
          <w:iCs w:val="false"/>
          <w:sz w:val="21"/>
          <w:szCs w:val="21"/>
        </w:rPr>
        <w:t xml:space="preserve">For [Vendor / Partner Name] (the Vendor)</w:t>
      </w:r>
    </w:p>
    <w:p>
      <w:pPr>
        <w:spacing w:after="0"/>
      </w:pPr>
      <w:r>
        <w:rPr>
          <w:b w:val="false"/>
          <w:bCs w:val="false"/>
          <w:i w:val="false"/>
          <w:iCs w:val="false"/>
          <w:sz w:val="21"/>
          <w:szCs w:val="21"/>
        </w:rPr>
        <w:t xml:space="preserve">Name: _______________________     Designation: _______________________     Signature: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2026-08-21T05:05:03.224Z</dcterms:created>
  <dcterms:modified xsi:type="dcterms:W3CDTF">2026-08-21T05:05:03.224Z</dcterms:modified>
</cp:coreProperties>
</file>

<file path=docProps/custom.xml><?xml version="1.0" encoding="utf-8"?>
<Properties xmlns="http://schemas.openxmlformats.org/officeDocument/2006/custom-properties" xmlns:vt="http://schemas.openxmlformats.org/officeDocument/2006/docPropsVTypes"/>
</file>