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20"/>
        <w:jc w:val="center"/>
      </w:pPr>
      <w:r>
        <w:rPr>
          <w:rFonts w:ascii="Arial" w:cs="Arial" w:eastAsia="Arial" w:hAnsi="Arial"/>
          <w:b/>
          <w:bCs/>
          <w:color w:val="1F4E79"/>
          <w:sz w:val="54"/>
          <w:szCs w:val="54"/>
        </w:rPr>
        <w:t xml:space="preserve">Object-Centric Process Mining</w:t>
      </w:r>
    </w:p>
    <w:p>
      <w:pPr>
        <w:spacing w:after="120"/>
        <w:jc w:val="center"/>
      </w:pPr>
      <w:r>
        <w:rPr>
          <w:rFonts w:ascii="Arial" w:cs="Arial" w:eastAsia="Arial" w:hAnsi="Arial"/>
          <w:color w:val="2E74B5"/>
          <w:sz w:val="36"/>
          <w:szCs w:val="36"/>
        </w:rPr>
        <w:t xml:space="preserve">Applied to EV Charging Infrastructure</w:t>
      </w:r>
    </w:p>
    <w:p>
      <w:pPr>
        <w:spacing w:after="60"/>
        <w:jc w:val="center"/>
      </w:pPr>
      <w:r>
        <w:rPr>
          <w:rFonts w:ascii="Arial" w:cs="Arial" w:eastAsia="Arial" w:hAnsi="Arial"/>
          <w:b/>
          <w:bCs/>
          <w:color w:val="1F4E79"/>
          <w:sz w:val="26"/>
          <w:szCs w:val="26"/>
        </w:rPr>
        <w:t xml:space="preserve">JPL Adaptive Charging Network (ACN-Data)</w:t>
      </w:r>
    </w:p>
    <w:p>
      <w:pPr>
        <w:spacing w:after="400"/>
        <w:jc w:val="center"/>
      </w:pPr>
      <w:r>
        <w:rPr>
          <w:rFonts w:ascii="Arial" w:cs="Arial" w:eastAsia="Arial" w:hAnsi="Arial"/>
          <w:color w:val="666666"/>
          <w:sz w:val="21"/>
          <w:szCs w:val="21"/>
        </w:rPr>
        <w:t xml:space="preserve">7,299 Sessions  ·  52 EVSEs  ·  Sep 2018 – Feb 2019  ·  36,330 Events  ·  16,052 Objects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74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Component</w:t>
            </w:r>
          </w:p>
        </w:tc>
        <w:tc>
          <w:tcPr>
            <w:tcW w:type="dxa" w:w="7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Total charging sessions</w:t>
            </w:r>
          </w:p>
        </w:tc>
        <w:tc>
          <w:tcPr>
            <w:tcW w:type="dxa" w:w="7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7,299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Events in OCEL 2.0</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36,330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Objects in OCEL 2.0</w:t>
            </w:r>
          </w:p>
        </w:tc>
        <w:tc>
          <w:tcPr>
            <w:tcW w:type="dxa" w:w="7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16,052  (session, station, space, cluster, user, userinput)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Event-to-object relations</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137,888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Observation period</w:t>
            </w:r>
          </w:p>
        </w:tc>
        <w:tc>
          <w:tcPr>
            <w:tcW w:type="dxa" w:w="7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 Sep 2018 – 27 Feb 2019  (175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Site</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NASA Jet Propulsion Laboratory (JPL), Pasadena, CA</w:t>
            </w:r>
          </w:p>
        </w:tc>
      </w:tr>
    </w:tbl>
    <w:p>
      <w:pPr>
        <w:spacing w:after="80"/>
      </w:pPr>
      <w:r>
        <w:t xml:space="preserve"/>
      </w:r>
    </w:p>
    <w:p>
      <w:r>
        <w:br w:type="page"/>
      </w:r>
    </w:p>
    <w:p>
      <w:pPr>
        <w:pStyle w:val="Heading1"/>
      </w:pPr>
      <w:r>
        <w:t xml:space="preserve">Abstract</w:t>
      </w:r>
    </w:p>
    <w:p>
      <w:pPr>
        <w:spacing w:after="140"/>
        <w:jc w:val="both"/>
      </w:pPr>
      <w:r>
        <w:t xml:space="preserve">Electric vehicle (EV) charging infrastructure is expanding rapidly, yet the operational processes governing managed workplace charging remain poorly understood at the level of individual process failures and their causal interactions. This paper applies Object-Centric Process Mining (OCPM) to the JPL Adaptive Charging Network (ACN-Data) dataset — 7,299 charging sessions recorded across 52 EVSE units at the NASA Jet Propulsion Laboratory between September 2018 and February 2019 — to systematically discover, diagnose, and enhance four interconnected process problems that are invisible to single-object analytical approaches. The raw session log is transformed into an OCEL 2.0 event log comprising 36,330 events, 16,052 objects of six types (session, station, space, cluster, user, userinput), and 137,888 event-to-object relationships. A three-stage methodology of OC-DFG discovery, conformance checking against normative lifecycle grammars, and counterfactual policy simulation is applied to each problem. Results reveal that 47.7% of sessions result in station idle-blocking of two or more hours post-charging, consuming 19,956 idle station-hours in total; 79.0% of claimed sessions exhibit energy shortfalls averaging 12.73 kWh; 41.5% of claimed sessions involve departure mismatch exceeding one hour, with a mean excess of 3.4 hours; and 1.5% of sessions contain physically impossible lifecycle ordering violations concentrated at specific EVSE units. Cross-problem analysis shows that 25.0% of all sessions simultaneously exhibit idle-blocking and departure mismatch, confirming a shared causal root. A simulated graduated idle fee policy recovers 59.4% of wasted station-hours, while a departure re-confirmation protocol is estimated to reclaim a further 21%. These findings demonstrate that OCPM provides diagnostic capabilities for EV charging process analysis that are structurally inaccessible to machine learning, statistical, and traditional single-case process mining approaches.</w:t>
      </w:r>
    </w:p>
    <w:p>
      <w:pPr>
        <w:spacing w:after="80"/>
      </w:pPr>
      <w:r>
        <w:t xml:space="preserve"/>
      </w:r>
    </w:p>
    <w:p>
      <w:pPr>
        <w:spacing w:after="140"/>
        <w:jc w:val="both"/>
      </w:pPr>
      <w:r>
        <w:rPr>
          <w:b/>
          <w:bCs/>
        </w:rPr>
        <w:t xml:space="preserve">Keywords: </w:t>
      </w:r>
      <w:r>
        <w:t xml:space="preserve">Object-Centric Process Mining, OCEL 2.0, EV Charging, Adaptive Charging Network, OC-DFG, Conformance Checking, Process Enhancement, Station Idle-Blocking, Energy Shortfall, Departure Mismatch, pm4py</w:t>
      </w:r>
    </w:p>
    <w:p>
      <w:pPr>
        <w:spacing w:after="80"/>
      </w:pPr>
      <w:r>
        <w:t xml:space="preserve"/>
      </w:r>
    </w:p>
    <w:p>
      <w:r>
        <w:br w:type="page"/>
      </w:r>
    </w:p>
    <w:p>
      <w:pPr>
        <w:pStyle w:val="Heading1"/>
      </w:pPr>
      <w:r>
        <w:t xml:space="preserve">1.  Technical Methodology</w:t>
      </w:r>
    </w:p>
    <w:p>
      <w:pPr>
        <w:pStyle w:val="Heading2"/>
      </w:pPr>
      <w:r>
        <w:t xml:space="preserve">1.1  Framework Overview</w:t>
      </w:r>
    </w:p>
    <w:p>
      <w:pPr>
        <w:spacing w:after="140"/>
        <w:jc w:val="both"/>
      </w:pPr>
      <w:r>
        <w:t xml:space="preserve">The analytical framework applies a four-stage pipeline: (1) OCEL 2.0 extraction from the raw JPL ACN-Data log, (2) object-centric process discovery via Object-Centric Directly-Follows Graphs (OC-DFGs), (3) conformance checking against normative lifecycle grammars with per-session deviation labelling, and (4) process enhancement through counterfactual policy simulation. Stages 2–4 are applied independently and in parallel to each of the four identified process problems.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800"/>
        <w:gridCol w:w="410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Stage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Name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Input</w:t>
            </w:r>
          </w:p>
        </w:tc>
        <w:tc>
          <w:tcPr>
            <w:tcW w:type="dxa" w:w="4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Output</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OCEL 2.0 Extraction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Raw JPL JSON (7,299 session records)</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jpl_acn_ocel2.json  (36,330 events, 16,052 objects)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OC-DFG Discovery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OCEL 2.0</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OC-DFG + 6 per-object-type perspective OC-DFGs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Conformance Checking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OCEL 2.0 + session timelines</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Per-session deviation labels for 4 problems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Process Enhancement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Conformance labels + timelines</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Policy simulations, recommendations, roadmap</w:t>
            </w:r>
          </w:p>
        </w:tc>
      </w:tr>
    </w:tbl>
    <w:p>
      <w:pPr>
        <w:spacing w:after="80"/>
      </w:pPr>
      <w:r>
        <w:t xml:space="preserve"/>
      </w:r>
    </w:p>
    <w:p>
      <w:pPr>
        <w:pStyle w:val="Heading2"/>
      </w:pPr>
      <w:r>
        <w:t xml:space="preserve">1.2  Raw Data Structure and Preprocessing</w:t>
      </w:r>
    </w:p>
    <w:p>
      <w:pPr>
        <w:spacing w:after="140"/>
        <w:jc w:val="both"/>
      </w:pPr>
      <w:r>
        <w:t xml:space="preserve">The JPL ACN-Data log is a JSON document with 7,299 session records under the key _items. A verified field-level null count across all records establishes the completeness profile below. The file is frequently truncated mid-stream because the ACN download endpoint closes the HTTP connection before writing the closing ]} bracket; a character-by-character bracket-depth parser recovers all 7,299 sessions regardless of truncation state.</w:t>
      </w:r>
    </w:p>
    <w:p>
      <w:pPr>
        <w:spacing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700"/>
        <w:gridCol w:w="600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Raw field</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Nulls</w:t>
            </w:r>
          </w:p>
        </w:tc>
        <w:tc>
          <w:tcPr>
            <w:tcW w:type="dxa" w:w="6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sessionID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Globally unique session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connectionTime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 (GMT)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 plug-in timestamp — always present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disconnectTime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 (GMT)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EV unplug timestamp — always present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doneChargingTime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 (GMT)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1,267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Pilot-signal-off timestamp — absent in 17.4% of sessions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kWhDelivered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float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Total energy delivered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stationID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EVSE identifier — 52 unique values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spaceID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Parking bay identifier — 52 unique values, 1:1 with station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clusterID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Scheduler scope — single value '0001'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siteID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Site identifier — single value '0001' (JPL)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1,400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Zero-padded user ID — null in unclaimed sessions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userInputs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list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1,400</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Array of UserInput sub-records — null in unclaimed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timezone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Always 'America/Los_Angeles'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_id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MongoDB ObjectId (not used in OCEL)</w:t>
            </w:r>
          </w:p>
        </w:tc>
      </w:tr>
    </w:tbl>
    <w:p>
      <w:pPr>
        <w:spacing w:after="80"/>
      </w:pPr>
      <w:r>
        <w:t xml:space="preserve"/>
      </w:r>
    </w:p>
    <w:p>
      <w:pPr>
        <w:spacing w:after="140"/>
        <w:jc w:val="both"/>
      </w:pPr>
      <w:r>
        <w:t xml:space="preserve">The userInputs array, when present, contains 1 to 32 sub-records each with eight inner fields, all 100% populated across the 8,401 total userInput records: modifiedAt, kWhRequested, milesRequested, WhPerMile, minutesAvailable, requestedDeparture, paymentRequired, userID (integer, not zero-padded).</w:t>
      </w:r>
    </w:p>
    <w:p>
      <w:pPr>
        <w:spacing w:after="80"/>
      </w:pPr>
      <w:r>
        <w:t xml:space="preserve"/>
      </w:r>
    </w:p>
    <w:p>
      <w:pPr>
        <w:pStyle w:val="Heading2"/>
      </w:pPr>
      <w:r>
        <w:t xml:space="preserve">1.3  OCEL 2.0 ER Diagram: Raw Fields to Object and Event Types</w:t>
      </w:r>
    </w:p>
    <w:p>
      <w:pPr>
        <w:spacing w:after="140"/>
        <w:jc w:val="both"/>
      </w:pPr>
      <w:r>
        <w:t xml:space="preserve">Figure 1.1 shows the complete entity-relationship mapping from the raw JPL JSON schema to the OCEL 2.0 data model. Every raw field is traced to its corresponding OCEL object attribute, event attribute, or event timestamp source. Five transformation rules are applied during extraction: (i) userID normalisation from zero-padded string '000000333' or bare integer 333 to 'user-333'; (ii) timestamp conversion from RFC-2822 GMT format to ISO-8601 UTC; (iii) connect EV and start charging are separate events at the same timestamp capturing different object state transitions; (iv) complete charging is absent when doneChargingTime is null; (v) each userInputs[n] element becomes a separate userinput object and a separate event.</w:t>
      </w:r>
    </w:p>
    <w:p>
      <w:pPr>
        <w:spacing w:after="80"/>
      </w:pPr>
      <w:r>
        <w:t xml:space="preserve"/>
      </w:r>
    </w:p>
    <w:p>
      <w:pPr>
        <w:spacing w:after="80"/>
        <w:jc w:val="center"/>
      </w:pPr>
      <w:r>
        <w:drawing>
          <wp:inline distT="0" distB="0" distL="0" distR="0">
            <wp:extent cx="5810250" cy="4333875"/>
            <wp:effectExtent t="0" r="0" b="0" l="0"/>
            <wp:docPr id="1" name="Figure 1.1 — ER Diagram: JPL ACN-Data Raw Schema mapped to OCEL 2.0 Object Types and Event Types" descr="Figure 1.1 — ER Diagram: JPL ACN-Data Raw Schema mapped to OCEL 2.0 Object Types and Event Types" title="Figure 1.1 — ER Diagram: JPL ACN-Data Raw Schema mapped to OCEL 2.0 Object Types and Even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4333875"/>
                    </a:xfrm>
                    <a:prstGeom prst="rect">
                      <a:avLst/>
                    </a:prstGeom>
                  </pic:spPr>
                </pic:pic>
              </a:graphicData>
            </a:graphic>
          </wp:inline>
        </w:drawing>
      </w:r>
    </w:p>
    <w:p>
      <w:pPr>
        <w:spacing w:after="200"/>
        <w:jc w:val="center"/>
      </w:pPr>
      <w:r>
        <w:rPr>
          <w:i/>
          <w:iCs/>
          <w:color w:val="666666"/>
          <w:sz w:val="19"/>
          <w:szCs w:val="19"/>
        </w:rPr>
        <w:t xml:space="preserve">Figure 1.1 — ER Diagram: JPL ACN-Data Raw Schema mapped to OCEL 2.0 Object Types and Event Types</w:t>
      </w:r>
    </w:p>
    <w:p>
      <w:pPr>
        <w:spacing w:after="80"/>
      </w:pPr>
      <w:r>
        <w:t xml:space="preserve"/>
      </w:r>
    </w:p>
    <w:p>
      <w:pPr>
        <w:pStyle w:val="Heading2"/>
      </w:pPr>
      <w:r>
        <w:t xml:space="preserve">1.4  Object Type Identification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2300"/>
        <w:gridCol w:w="4800"/>
      </w:tblGrid>
      <w:tr>
        <w:trPr>
          <w:tblHeader/>
        </w:trP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Object type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Instances</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ID source</w:t>
            </w:r>
          </w:p>
        </w:tc>
        <w:tc>
          <w:tcPr>
            <w:tcW w:type="dxa" w:w="4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Key design decision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session</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7,299</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sessionID as-is</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One session object per record. Carries kWhDelivered, siteID, timezone, claimed flag.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stationID as-is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Shared across sessions. 52 unique EVSEs. Static attributes: siteID, clusterID, spaceID.</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space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52</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spaceID as-is</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1:1 mapping with station confirmed. Captures physical bay occupancy independently of charging state.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cluster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clusterID '0001'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cluster for all 52 stations. Participates in all 36,330 events. Essential for multi-session interference analysis.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user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247</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'user-' + int(userID)</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Zero-padded string '000000333' and integer 333 both normalise to 'user-333'. Absent in 1,400 unclaimed sessions.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userinput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8,401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sessionID+'_input_'+n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 userInputs[n] is a separate object. Index 0=initial, 1+=revision. Makes the revision lifecycle visible in the OC-DFG.</w:t>
            </w:r>
          </w:p>
        </w:tc>
      </w:tr>
    </w:tbl>
    <w:p>
      <w:pPr>
        <w:spacing w:after="80"/>
      </w:pPr>
      <w:r>
        <w:t xml:space="preserve"/>
      </w:r>
    </w:p>
    <w:p>
      <w:pPr>
        <w:pStyle w:val="Heading2"/>
      </w:pPr>
      <w:r>
        <w:t xml:space="preserve">1.5  Activity Identification and Timestamp Mapping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900"/>
        <w:gridCol w:w="2400"/>
        <w:gridCol w:w="27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Activity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Timestamp source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Count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Linked objects</w:t>
            </w:r>
          </w:p>
        </w:tc>
        <w:tc>
          <w:tcPr>
            <w:tcW w:type="dxa" w:w="2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Condition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connect EV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connectionTime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7,299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session, station, space, cluster, site</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Always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 charging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connectionTime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7,299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 station, cluster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Always — same timestamp as connect EV; different object state transitions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submit charging request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userInputs[0].modifiedAt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5,899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session, user, userinput[0], station, cluster</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Claimed sessions only. Median 23 s after connectionTime.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revise charging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userInputs[n≥1].modifiedAt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 user, userinput[n], cluster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event per revision. 1,217 sessions have ≥1 revision. Max 31 revisions.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complete charging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doneChargingTime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6,032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session, station, cluster</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Non-null only. Absence is itself a conformance deviation (P4).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disconnect 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disconnectTime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7,299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 station, space, cluster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Always. Preserved faithfully even in 111 sessions where disconnectTime &lt; doneChargingTime.</w:t>
            </w:r>
          </w:p>
        </w:tc>
      </w:tr>
    </w:tbl>
    <w:p>
      <w:pPr>
        <w:spacing w:after="80"/>
      </w:pPr>
      <w:r>
        <w:t xml:space="preserve"/>
      </w:r>
    </w:p>
    <w:p>
      <w:pPr>
        <w:pStyle w:val="Heading2"/>
      </w:pPr>
      <w:r>
        <w:t xml:space="preserve">1.6  OC-DFG Discovery</w:t>
      </w:r>
    </w:p>
    <w:p>
      <w:pPr>
        <w:spacing w:after="140"/>
        <w:jc w:val="both"/>
      </w:pPr>
      <w:r>
        <w:t xml:space="preserve">Process discovery uses pm4py.discover_ocdfg(ocel). The OC-DFG records, for each ordered pair of activities (a₁, a₂) and each object type τ, the event count EC(a₁, a₂, τ) — the number of times a₁ was directly followed by a₂ in the lifecycle of some object of type τ. In the pm4py implementation:</w:t>
      </w:r>
    </w:p>
    <w:p>
      <w:pPr>
        <w:spacing w:after="80"/>
      </w:pPr>
      <w:r>
        <w:t xml:space="preserve"/>
      </w:r>
    </w:p>
    <w:p>
      <w:pPr>
        <w:pBdr>
          <w:top w:val="single" w:color="CCCCCC" w:sz="1"/>
          <w:bottom w:val="single" w:color="CCCCCC" w:sz="1"/>
          <w:left w:val="single" w:color="2E74B5" w:sz="6"/>
          <w:right w:val="single" w:color="CCCCCC" w:sz="1"/>
        </w:pBdr>
        <w:shd w:fill="F4F6F7" w:val="clear"/>
        <w:spacing w:before="120" w:after="120"/>
        <w:ind w:left="720" w:right="720"/>
        <w:jc w:val="center"/>
      </w:pPr>
      <w:r>
        <w:rPr>
          <w:rFonts w:ascii="Cambria Math" w:cs="Cambria Math" w:eastAsia="Cambria Math" w:hAnsi="Cambria Math"/>
          <w:color w:val="1A2744"/>
          <w:sz w:val="22"/>
          <w:szCs w:val="22"/>
        </w:rPr>
        <w:t xml:space="preserve">ocdfg['event_couples']  =  { (a₁, a₂, τ) : EC(a₁, a₂, τ) }</w:t>
      </w:r>
    </w:p>
    <w:p>
      <w:pPr>
        <w:spacing w:after="80"/>
      </w:pPr>
      <w:r>
        <w:t xml:space="preserve"/>
      </w:r>
    </w:p>
    <w:p>
      <w:pPr>
        <w:spacing w:after="140"/>
        <w:jc w:val="both"/>
      </w:pPr>
      <w:r>
        <w:t xml:space="preserve">A full OC-DFG is discovered from the complete OCEL. Six perspective OC-DFGs are then generated, one per object type. Key arcs: station perspective reveals complete charging → connect EV (EC=24), the idle-blocking cross-session arc invisible in any flat log; userinput perspective reveals the revision self-loop (EC=2,502); session perspective reveals the bypass arc start charging → disconnect EV (EC≈5,742) capturing missing done-signals and ordering violations.</w:t>
      </w:r>
    </w:p>
    <w:p>
      <w:pPr>
        <w:spacing w:after="80"/>
      </w:pPr>
      <w:r>
        <w:t xml:space="preserve"/>
      </w:r>
    </w:p>
    <w:p>
      <w:pPr>
        <w:pStyle w:val="Heading2"/>
      </w:pPr>
      <w:r>
        <w:t xml:space="preserve">1.7  Conformance Checking</w:t>
      </w:r>
    </w:p>
    <w:p>
      <w:pPr>
        <w:pStyle w:val="Heading3"/>
      </w:pPr>
      <w:r>
        <w:t xml:space="preserve">Session Timeline Construction</w:t>
      </w:r>
    </w:p>
    <w:p>
      <w:pPr>
        <w:spacing w:after="140"/>
        <w:jc w:val="both"/>
      </w:pPr>
      <w:r>
        <w:t xml:space="preserve">For each session s, scalar attributes are extracted: t_conn, t_disc, t_done, station_id, user_id, kWh_del, t_dep_req, n_rev, idle_h. Post-charge idle time:</w:t>
      </w:r>
    </w:p>
    <w:p>
      <w:pPr>
        <w:pBdr>
          <w:top w:val="single" w:color="CCCCCC" w:sz="1"/>
          <w:bottom w:val="single" w:color="CCCCCC" w:sz="1"/>
          <w:left w:val="single" w:color="2E74B5" w:sz="6"/>
          <w:right w:val="single" w:color="CCCCCC" w:sz="1"/>
        </w:pBdr>
        <w:shd w:fill="F4F6F7" w:val="clear"/>
        <w:spacing w:before="120" w:after="120"/>
        <w:ind w:left="720" w:right="720"/>
        <w:jc w:val="center"/>
      </w:pPr>
      <w:r>
        <w:rPr>
          <w:rFonts w:ascii="Cambria Math" w:cs="Cambria Math" w:eastAsia="Cambria Math" w:hAnsi="Cambria Math"/>
          <w:color w:val="1A2744"/>
          <w:sz w:val="22"/>
          <w:szCs w:val="22"/>
        </w:rPr>
        <w:t xml:space="preserve">idle_h(s)  =  max(0, (t_disc − t_done) / 3600)   if t_done ≠ null and t_disc &gt; t_done,  else 0</w:t>
      </w:r>
    </w:p>
    <w:p>
      <w:pPr>
        <w:spacing w:after="80"/>
      </w:pPr>
      <w:r>
        <w:t xml:space="preserve"/>
      </w:r>
    </w:p>
    <w:p>
      <w:pPr>
        <w:pStyle w:val="Heading3"/>
      </w:pPr>
      <w:r>
        <w:t xml:space="preserve">P1 — Idle-Blocking Conformance</w:t>
      </w:r>
    </w:p>
    <w:p>
      <w:pPr>
        <w:pBdr>
          <w:top w:val="single" w:color="CCCCCC" w:sz="1"/>
          <w:bottom w:val="single" w:color="CCCCCC" w:sz="1"/>
          <w:left w:val="single" w:color="2E74B5" w:sz="6"/>
          <w:right w:val="single" w:color="CCCCCC" w:sz="1"/>
        </w:pBdr>
        <w:shd w:fill="F4F6F7" w:val="clear"/>
        <w:spacing w:before="120" w:after="120"/>
        <w:ind w:left="720" w:right="720"/>
        <w:jc w:val="center"/>
      </w:pPr>
      <w:r>
        <w:rPr>
          <w:rFonts w:ascii="Cambria Math" w:cs="Cambria Math" w:eastAsia="Cambria Math" w:hAnsi="Cambria Math"/>
          <w:color w:val="1A2744"/>
          <w:sz w:val="22"/>
          <w:szCs w:val="22"/>
        </w:rPr>
        <w:t xml:space="preserve">label_P1(s)  =  IDLE_BLOCKING_SEV    if idle_h(s) ≥ 6
               IDLE_BLOCKING_MOD    if 2 ≤ idle_h(s) &lt; 6
               CONFORMING           if idle_h(s) &lt; 2  or  t_done = null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40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Label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Count</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Pct</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CONFORMING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3,821</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52.3%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IDLE_BLOCKING_MOD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2,169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29.7%</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IDLE_BLOCKING_SEV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1,309</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17.9%</w:t>
            </w:r>
          </w:p>
        </w:tc>
      </w:tr>
    </w:tbl>
    <w:p>
      <w:pPr>
        <w:spacing w:after="80"/>
      </w:pPr>
      <w:r>
        <w:t xml:space="preserve"/>
      </w:r>
    </w:p>
    <w:p>
      <w:pPr>
        <w:pStyle w:val="Heading3"/>
      </w:pPr>
      <w:r>
        <w:t xml:space="preserve">P2 — Energy Shortfall Conformance</w:t>
      </w:r>
    </w:p>
    <w:p>
      <w:pPr>
        <w:pBdr>
          <w:top w:val="single" w:color="CCCCCC" w:sz="1"/>
          <w:bottom w:val="single" w:color="CCCCCC" w:sz="1"/>
          <w:left w:val="single" w:color="2E74B5" w:sz="6"/>
          <w:right w:val="single" w:color="CCCCCC" w:sz="1"/>
        </w:pBdr>
        <w:shd w:fill="F4F6F7" w:val="clear"/>
        <w:spacing w:before="120" w:after="120"/>
        <w:ind w:left="720" w:right="720"/>
        <w:jc w:val="center"/>
      </w:pPr>
      <w:r>
        <w:rPr>
          <w:rFonts w:ascii="Cambria Math" w:cs="Cambria Math" w:eastAsia="Cambria Math" w:hAnsi="Cambria Math"/>
          <w:color w:val="1A2744"/>
          <w:sz w:val="22"/>
          <w:szCs w:val="22"/>
        </w:rPr>
        <w:t xml:space="preserve">Δ_kWh(s)  =  kWhRequested(s)  −  kWhDelivered(s)</w:t>
      </w:r>
    </w:p>
    <w:p>
      <w:pPr>
        <w:pBdr>
          <w:top w:val="single" w:color="CCCCCC" w:sz="1"/>
          <w:bottom w:val="single" w:color="CCCCCC" w:sz="1"/>
          <w:left w:val="single" w:color="2E74B5" w:sz="6"/>
          <w:right w:val="single" w:color="CCCCCC" w:sz="1"/>
        </w:pBdr>
        <w:shd w:fill="F4F6F7" w:val="clear"/>
        <w:spacing w:before="120" w:after="120"/>
        <w:ind w:left="720" w:right="720"/>
        <w:jc w:val="center"/>
      </w:pPr>
      <w:r>
        <w:rPr>
          <w:rFonts w:ascii="Cambria Math" w:cs="Cambria Math" w:eastAsia="Cambria Math" w:hAnsi="Cambria Math"/>
          <w:color w:val="1A2744"/>
          <w:sz w:val="22"/>
          <w:szCs w:val="22"/>
        </w:rPr>
        <w:t xml:space="preserve">label_P2(s)  =  UNCLAIMED_NO_DATA    if unclaimed
               ENERGY_SHORTFALL     if Δ_kWh &gt; 2 kWh
               ENERGY_MET           otherwise</w:t>
      </w:r>
    </w:p>
    <w:p>
      <w:pPr>
        <w:spacing w:after="80"/>
      </w:pPr>
      <w:r>
        <w:t xml:space="preserve"/>
      </w:r>
    </w:p>
    <w:p>
      <w:pPr>
        <w:spacing w:after="140"/>
        <w:jc w:val="both"/>
      </w:pPr>
      <w:r>
        <w:t xml:space="preserve">4,659 of 5,899 claimed sessions (79.0%) labelled ENERGY_SHORTFALL. Total undelivered: 59,322 kWh. Average shortfall: 12.73 kWh.</w:t>
      </w:r>
    </w:p>
    <w:p>
      <w:pPr>
        <w:spacing w:after="80"/>
      </w:pPr>
      <w:r>
        <w:t xml:space="preserve"/>
      </w:r>
    </w:p>
    <w:p>
      <w:pPr>
        <w:pStyle w:val="Heading3"/>
      </w:pPr>
      <w:r>
        <w:t xml:space="preserve">P3 — UserInput Lifecycle Conformance</w:t>
      </w:r>
    </w:p>
    <w:p>
      <w:pPr>
        <w:pBdr>
          <w:top w:val="single" w:color="CCCCCC" w:sz="1"/>
          <w:bottom w:val="single" w:color="CCCCCC" w:sz="1"/>
          <w:left w:val="single" w:color="2E74B5" w:sz="6"/>
          <w:right w:val="single" w:color="CCCCCC" w:sz="1"/>
        </w:pBdr>
        <w:shd w:fill="F4F6F7" w:val="clear"/>
        <w:spacing w:before="120" w:after="120"/>
        <w:ind w:left="720" w:right="720"/>
        <w:jc w:val="center"/>
      </w:pPr>
      <w:r>
        <w:rPr>
          <w:rFonts w:ascii="Cambria Math" w:cs="Cambria Math" w:eastAsia="Cambria Math" w:hAnsi="Cambria Math"/>
          <w:color w:val="1A2744"/>
          <w:sz w:val="22"/>
          <w:szCs w:val="22"/>
        </w:rPr>
        <w:t xml:space="preserve">Δ_dep(s)  =  t_disc(s)  −  t_dep_req(s)</w:t>
      </w:r>
    </w:p>
    <w:p>
      <w:pPr>
        <w:pBdr>
          <w:top w:val="single" w:color="CCCCCC" w:sz="1"/>
          <w:bottom w:val="single" w:color="CCCCCC" w:sz="1"/>
          <w:left w:val="single" w:color="2E74B5" w:sz="6"/>
          <w:right w:val="single" w:color="CCCCCC" w:sz="1"/>
        </w:pBdr>
        <w:shd w:fill="F4F6F7" w:val="clear"/>
        <w:spacing w:before="120" w:after="120"/>
        <w:ind w:left="720" w:right="720"/>
        <w:jc w:val="center"/>
      </w:pPr>
      <w:r>
        <w:rPr>
          <w:rFonts w:ascii="Cambria Math" w:cs="Cambria Math" w:eastAsia="Cambria Math" w:hAnsi="Cambria Math"/>
          <w:color w:val="1A2744"/>
          <w:sz w:val="22"/>
          <w:szCs w:val="22"/>
        </w:rPr>
        <w:t xml:space="preserve">label_P3(s)  =  UNCLAIMED              if unclaimed
               DEPARTURE_MISMATCH     if Δ_dep &gt; 3,600 s
               CONFORMING_USERINPUT   otherwise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40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Label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Count</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Pct</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CONFORMING_USERINPUT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3,452</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47.3%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DEPARTURE_MISMATCH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2,447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33.5%</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UNCLAIMED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1,400</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19.2%</w:t>
            </w:r>
          </w:p>
        </w:tc>
      </w:tr>
    </w:tbl>
    <w:p>
      <w:pPr>
        <w:spacing w:after="80"/>
      </w:pPr>
      <w:r>
        <w:t xml:space="preserve"/>
      </w:r>
    </w:p>
    <w:p>
      <w:pPr>
        <w:pStyle w:val="Heading3"/>
      </w:pPr>
      <w:r>
        <w:t xml:space="preserve">P4 — Lifecycle Ordering Conformance</w:t>
      </w:r>
    </w:p>
    <w:p>
      <w:pPr>
        <w:pBdr>
          <w:top w:val="single" w:color="CCCCCC" w:sz="1"/>
          <w:bottom w:val="single" w:color="CCCCCC" w:sz="1"/>
          <w:left w:val="single" w:color="2E74B5" w:sz="6"/>
          <w:right w:val="single" w:color="CCCCCC" w:sz="1"/>
        </w:pBdr>
        <w:shd w:fill="F4F6F7" w:val="clear"/>
        <w:spacing w:before="120" w:after="120"/>
        <w:ind w:left="720" w:right="720"/>
        <w:jc w:val="center"/>
      </w:pPr>
      <w:r>
        <w:rPr>
          <w:rFonts w:ascii="Cambria Math" w:cs="Cambria Math" w:eastAsia="Cambria Math" w:hAnsi="Cambria Math"/>
          <w:color w:val="1A2744"/>
          <w:sz w:val="22"/>
          <w:szCs w:val="22"/>
        </w:rPr>
        <w:t xml:space="preserve">label_P4(s)  =  ORDERING_VIOLATION    if t_done ≠ null and t_done &gt; t_disc
               CONFORMING            otherwise</w:t>
      </w:r>
    </w:p>
    <w:p>
      <w:pPr>
        <w:spacing w:after="80"/>
      </w:pPr>
      <w:r>
        <w:t xml:space="preserve"/>
      </w:r>
    </w:p>
    <w:p>
      <w:pPr>
        <w:spacing w:after="140"/>
        <w:jc w:val="both"/>
      </w:pPr>
      <w:r>
        <w:t xml:space="preserve">111 sessions (1.5%) labelled ORDERING_VIOLATION. Station 1-1-179-790: 9 violations, 7.0% anomaly rate (5× the dataset average). Cross-problem co-occurrence: 1,822 sessions (25.0%) simultaneously labelled P1+P3, confirming a shared causal root.</w:t>
      </w:r>
    </w:p>
    <w:p>
      <w:pPr>
        <w:spacing w:after="80"/>
      </w:pPr>
      <w:r>
        <w:t xml:space="preserve"/>
      </w:r>
    </w:p>
    <w:p>
      <w:pPr>
        <w:pStyle w:val="Heading2"/>
      </w:pPr>
      <w:r>
        <w:t xml:space="preserve">1.8  Process Enhancement</w:t>
      </w:r>
    </w:p>
    <w:p>
      <w:pPr>
        <w:spacing w:after="140"/>
        <w:jc w:val="both"/>
      </w:pPr>
      <w:r>
        <w:t xml:space="preserve">Enhancement evaluates four idle-blocking policies through counterfactual simulation on observed session timelines:</w:t>
      </w:r>
    </w:p>
    <w:p>
      <w:pPr>
        <w:spacing w:after="80"/>
      </w:pPr>
      <w:r>
        <w:t xml:space="preserve"/>
      </w:r>
    </w:p>
    <w:p>
      <w:pPr>
        <w:pBdr>
          <w:top w:val="single" w:color="CCCCCC" w:sz="1"/>
          <w:bottom w:val="single" w:color="CCCCCC" w:sz="1"/>
          <w:left w:val="single" w:color="2E74B5" w:sz="6"/>
          <w:right w:val="single" w:color="CCCCCC" w:sz="1"/>
        </w:pBdr>
        <w:shd w:fill="F4F6F7" w:val="clear"/>
        <w:spacing w:before="120" w:after="120"/>
        <w:ind w:left="720" w:right="720"/>
        <w:jc w:val="center"/>
      </w:pPr>
      <w:r>
        <w:rPr>
          <w:rFonts w:ascii="Cambria Math" w:cs="Cambria Math" w:eastAsia="Cambria Math" w:hAnsi="Cambria Math"/>
          <w:color w:val="1A2744"/>
          <w:sz w:val="22"/>
          <w:szCs w:val="22"/>
        </w:rPr>
        <w:t xml:space="preserve">reclaimed(s, θ)  =  max(0, idle_h(s) − θ)</w:t>
      </w:r>
    </w:p>
    <w:p>
      <w:pPr>
        <w:pBdr>
          <w:top w:val="single" w:color="CCCCCC" w:sz="1"/>
          <w:bottom w:val="single" w:color="CCCCCC" w:sz="1"/>
          <w:left w:val="single" w:color="2E74B5" w:sz="6"/>
          <w:right w:val="single" w:color="CCCCCC" w:sz="1"/>
        </w:pBdr>
        <w:shd w:fill="F4F6F7" w:val="clear"/>
        <w:spacing w:before="120" w:after="120"/>
        <w:ind w:left="720" w:right="720"/>
        <w:jc w:val="center"/>
      </w:pPr>
      <w:r>
        <w:rPr>
          <w:rFonts w:ascii="Cambria Math" w:cs="Cambria Math" w:eastAsia="Cambria Math" w:hAnsi="Cambria Math"/>
          <w:color w:val="1A2744"/>
          <w:sz w:val="22"/>
          <w:szCs w:val="22"/>
        </w:rPr>
        <w:t xml:space="preserve">pct(θ)  =  Σ reclaimed(s,θ) / H_baseline × 100     where H_baseline = 19,955.5 station-hours</w:t>
      </w:r>
    </w:p>
    <w:p>
      <w:pPr>
        <w:spacing w:after="8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100"/>
        <w:gridCol w:w="1600"/>
        <w:gridCol w:w="1400"/>
      </w:tblGrid>
      <w:tr>
        <w:trPr>
          <w:tblHeader/>
        </w:trP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pPr>
              <w:jc w:val="center"/>
            </w:pPr>
            <w:r>
              <w:rPr>
                <w:b/>
                <w:bCs/>
                <w:color w:val="FFFFFF"/>
                <w:sz w:val="20"/>
                <w:szCs w:val="20"/>
              </w:rPr>
              <w:t xml:space="preserve">Policy</w:t>
            </w:r>
          </w:p>
        </w:tc>
        <w:tc>
          <w:tcPr>
            <w:tcW w:type="dxa" w:w="9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pPr>
              <w:jc w:val="center"/>
            </w:pPr>
            <w:r>
              <w:rPr>
                <w:b/>
                <w:bCs/>
                <w:color w:val="FFFFFF"/>
                <w:sz w:val="20"/>
                <w:szCs w:val="20"/>
              </w:rPr>
              <w:t xml:space="preserve">θ</w:t>
            </w:r>
          </w:p>
        </w:tc>
        <w:tc>
          <w:tcPr>
            <w:tcW w:type="dxa" w:w="1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pPr>
              <w:jc w:val="center"/>
            </w:pPr>
            <w:r>
              <w:rPr>
                <w:b/>
                <w:bCs/>
                <w:color w:val="FFFFFF"/>
                <w:sz w:val="20"/>
                <w:szCs w:val="20"/>
              </w:rPr>
              <w:t xml:space="preserve">Sessions</w:t>
            </w:r>
          </w:p>
        </w:tc>
        <w:tc>
          <w:tcPr>
            <w:tcW w:type="dxa" w:w="1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pPr>
              <w:jc w:val="center"/>
            </w:pPr>
            <w:r>
              <w:rPr>
                <w:b/>
                <w:bCs/>
                <w:color w:val="FFFFFF"/>
                <w:sz w:val="20"/>
                <w:szCs w:val="20"/>
              </w:rPr>
              <w:t xml:space="preserve">Hours reclaimed</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pPr>
              <w:jc w:val="center"/>
            </w:pPr>
            <w:r>
              <w:rPr>
                <w:b/>
                <w:bCs/>
                <w:color w:val="FFFFFF"/>
                <w:sz w:val="20"/>
                <w:szCs w:val="20"/>
              </w:rPr>
              <w:t xml:space="preserve">% baseline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Alert at 1h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1h</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4,004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15,593h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78.1%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Graduated fee (recommended)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3,477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11,859h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59.4%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Dynamic fee (peak 16:00–20:00)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peak hrs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2,579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9,521h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47.7%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Graduated fee (lenient)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2,978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8,622h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43.2%</w:t>
            </w:r>
          </w:p>
        </w:tc>
      </w:tr>
    </w:tbl>
    <w:p>
      <w:pPr>
        <w:spacing w:after="80"/>
      </w:pPr>
      <w:r>
        <w:t xml:space="preserve"/>
      </w:r>
    </w:p>
    <w:p>
      <w:pPr>
        <w:spacing w:after="140"/>
        <w:jc w:val="both"/>
      </w:pPr>
      <w:r>
        <w:t xml:space="preserve">Additional enhancements: departure re-confirmation protocol (≈4,200h reclaimed / 21% reduction); revision lock-out after 60% of session window (eliminates 179 post-completion revisions); three-tier P4 data correction protocol (swap / exclude / infer); real-time EVSE health monitoring with 15% rolling anomaly rate alert threshold.</w:t>
      </w:r>
    </w:p>
    <w:p>
      <w:pPr>
        <w:spacing w:after="80"/>
      </w:pPr>
      <w:r>
        <w:t xml:space="preserve"/>
      </w:r>
    </w:p>
    <w:p>
      <w:r>
        <w:br w:type="page"/>
      </w:r>
    </w:p>
    <w:p>
      <w:pPr>
        <w:pStyle w:val="Heading1"/>
      </w:pPr>
      <w:r>
        <w:t xml:space="preserve">2.  Research Question Answers</w:t>
      </w:r>
    </w:p>
    <w:p>
      <w:pPr>
        <w:pBdr>
          <w:left w:val="single" w:color="1F4E79" w:sz="20" w:space="6"/>
        </w:pBdr>
        <w:shd w:fill="EBF3FB" w:val="clear"/>
        <w:spacing w:before="200" w:after="80"/>
        <w:ind w:left="0" w:right="0"/>
      </w:pPr>
      <w:r>
        <w:rPr>
          <w:rFonts w:ascii="Arial" w:cs="Arial" w:eastAsia="Arial" w:hAnsi="Arial"/>
          <w:b/>
          <w:bCs/>
          <w:color w:val="1F4E79"/>
          <w:sz w:val="24"/>
          <w:szCs w:val="24"/>
        </w:rPr>
        <w:t xml:space="preserve">RQ1  —  What is the complete object-centric process model of the JPL ACN charging lifecycle, and how do the lifecycles of Sessions, Stations, Users, UserInputs, and the Cluster interact across the multiple observed process variants?</w:t>
      </w:r>
    </w:p>
    <w:p>
      <w:pPr>
        <w:spacing w:after="80"/>
      </w:pPr>
      <w:r>
        <w:t xml:space="preserve"/>
      </w:r>
    </w:p>
    <w:p>
      <w:pPr>
        <w:pStyle w:val="Heading2"/>
      </w:pPr>
      <w:r>
        <w:t xml:space="preserve">2.1  The Complete Object-Centric Process Model</w:t>
      </w:r>
    </w:p>
    <w:p>
      <w:pPr>
        <w:spacing w:after="140"/>
        <w:jc w:val="both"/>
      </w:pPr>
      <w:r>
        <w:t xml:space="preserve">The complete object-centric process model, discovered from the OCEL 2.0 log via pm4py’s OC-DFG algorithm, reveals a lifecycle that is structurally richer than any single-object perspective can represent. At the session level, the normative lifecycle follows six activities in sequence: connect EV → start charging → submit charging request → (revise charging request)* → complete charging → disconnect EV, where the revision loop and complete charging are conditionally present. The six perspective OC-DFGs expose how each object type experiences this shared activity sequence differently.</w:t>
      </w:r>
    </w:p>
    <w:p>
      <w:pPr>
        <w:spacing w:after="80"/>
      </w:pPr>
      <w:r>
        <w:t xml:space="preserve"/>
      </w:r>
    </w:p>
    <w:p>
      <w:pPr>
        <w:spacing w:after="140"/>
        <w:jc w:val="both"/>
      </w:pPr>
      <w:r>
        <w:t xml:space="preserve">The station perspective reveals a three-state lifecycle — available → occupied (via connect EV) → idle-blocked (via complete charging, when the EV remains) → released (via disconnect EV) — with the critical cross-session arc complete charging → connect EV carrying EC = 24. This arc means that 24 times the station immediately received a new EV connection while still occupied by a completed but undeparted previous session. The userinput perspective exposes the revision self-loop submit charging request → revise charging request with EC = 2,502, traceable only because each revision is a first-class OCEL object; this loop is entirely invisible in any flat event log. The cluster perspective, with all 36,330 events touching the single cluster object, reveals the scheduling saturation context within which every other object’s lifecycle operates.</w:t>
      </w:r>
    </w:p>
    <w:p>
      <w:pPr>
        <w:spacing w:after="80"/>
      </w:pPr>
      <w:r>
        <w:t xml:space="preserve"/>
      </w:r>
    </w:p>
    <w:p>
      <w:pPr>
        <w:pStyle w:val="Heading2"/>
      </w:pPr>
      <w:r>
        <w:t xml:space="preserve">2.2  Observed Process Variants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500"/>
        <w:gridCol w:w="360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Variant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Activities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Sessions</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Key characteristic</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V1 — Full normative (claimed)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connect → start → submit → complete → disconnect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Majority of conforming claimed sessions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Standard lifecycle with no revision and timely departure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V2 — Unclaimed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 → start → complete → disconnect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1,400  (19.2%)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UserInput submitted; system defaults used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V3 — Revision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connect → start → submit → revise* → complete → disconnect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1,217  (16.7%)</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Mid-session renegotiation; 1–31 revisions per session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V4 — Missing done-signal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 → start → disconnect  (bypass arc EC≈5,742)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1,267 + ordering violations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doneChargingTime recorded; firmware gap or P4 anomaly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V5 — Cross-session idle-blocking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complete → connect EV  (same station, EC=24)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24 station-level sequences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Only visible in station-perspective OC-DFG; spans two different sessions</w:t>
            </w:r>
          </w:p>
        </w:tc>
      </w:tr>
    </w:tbl>
    <w:p>
      <w:pPr>
        <w:spacing w:after="80"/>
      </w:pPr>
      <w:r>
        <w:t xml:space="preserve"/>
      </w:r>
    </w:p>
    <w:p>
      <w:pPr>
        <w:pStyle w:val="Heading2"/>
      </w:pPr>
      <w:r>
        <w:t xml:space="preserve">2.3  Object Lifecycle Interactions</w:t>
      </w:r>
    </w:p>
    <w:p>
      <w:pPr>
        <w:spacing w:after="140"/>
        <w:jc w:val="both"/>
      </w:pPr>
      <w:r>
        <w:t xml:space="preserve">The interactions between object lifecycles produce the compound process failures that dominate the conformance results. The User object’s revision behaviour (P3) directly extends the Session object’s dwell time past the declared departure, which produces the Station object’s idle-blocked state (P1), which prevents the Cluster object from accepting new scheduling requests during full-capacity conditions. These are not four independent problems but one causally linked chain in which departure-behaviour inaccuracy at the User–UserInput level propagates through the Session to the Station and ultimately to the Cluster, with the energy shortfall (P2) emerging as a symptom of the same capacity-constraint conditions. The 1,822 sessions simultaneously labelled P1+P3 (25.0% of all sessions) are the measurable expression of this interaction.</w:t>
      </w:r>
    </w:p>
    <w:p>
      <w:pPr>
        <w:spacing w:after="80"/>
      </w:pPr>
      <w:r>
        <w:t xml:space="preserve"/>
      </w:r>
    </w:p>
    <w:p>
      <w:r>
        <w:br w:type="page"/>
      </w:r>
    </w:p>
    <w:p>
      <w:pPr>
        <w:pBdr>
          <w:left w:val="single" w:color="1F4E79" w:sz="20" w:space="6"/>
        </w:pBdr>
        <w:shd w:fill="EBF3FB" w:val="clear"/>
        <w:spacing w:before="200" w:after="80"/>
        <w:ind w:left="0" w:right="0"/>
      </w:pPr>
      <w:r>
        <w:rPr>
          <w:rFonts w:ascii="Arial" w:cs="Arial" w:eastAsia="Arial" w:hAnsi="Arial"/>
          <w:b/>
          <w:bCs/>
          <w:color w:val="1F4E79"/>
          <w:sz w:val="24"/>
          <w:szCs w:val="24"/>
        </w:rPr>
        <w:t xml:space="preserve">RQ2  —  To what extent does the observed JPL ACN process conform to the normative charging lifecycle, and which object types and process variants are most responsible for conformance deviations?</w:t>
      </w:r>
    </w:p>
    <w:p>
      <w:pPr>
        <w:spacing w:after="80"/>
      </w:pPr>
      <w:r>
        <w:t xml:space="preserve"/>
      </w:r>
    </w:p>
    <w:p>
      <w:pPr>
        <w:pStyle w:val="Heading2"/>
      </w:pPr>
      <w:r>
        <w:t xml:space="preserve">2.4  Overall Conformance Profile</w:t>
      </w:r>
    </w:p>
    <w:p>
      <w:pPr>
        <w:spacing w:after="140"/>
        <w:jc w:val="both"/>
      </w:pPr>
      <w:r>
        <w:t xml:space="preserve">Conformance across the four normative grammars reveals that fully conforming sessions — those with no deviation across any of the four problems — account for only 3,092 sessions (42.4% of the total). The remaining 57.6% carry at least one conformance label indicating a process deviation, and 1,829 sessions (25.1%) carry two simultaneous deviations.</w:t>
      </w:r>
    </w:p>
    <w:p>
      <w:pPr>
        <w:spacing w:after="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000"/>
        <w:gridCol w:w="260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Problem</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Conforming</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Deviation (any)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Most responsible object type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Most responsible variant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P1 Idle-Blocking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3,821 (52.3%)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3,478 (47.7%)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Station (blocking rate 56–72% in top-10)</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V3 revision + departure mismatch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 Energy Shortfall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1,240 (21.0% of claimed)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4,659 (79.0% of claimed)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Cluster (capacity constraint) + UserInput (overstatement)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V1/V3 with short window or overstatement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P3 Departure Mismatch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3,452 (47.3%)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2,447 (33.5%)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User + UserInput (stale requestedDeparture)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V3 revision combined with extended dwell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P4 Ordering Violation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7,188 (98.5%)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111 (1.5%)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Station (firmware logging delay)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V4 bypass at specific EVSEs</w:t>
            </w:r>
          </w:p>
        </w:tc>
      </w:tr>
    </w:tbl>
    <w:p>
      <w:pPr>
        <w:spacing w:after="80"/>
      </w:pPr>
      <w:r>
        <w:t xml:space="preserve"/>
      </w:r>
    </w:p>
    <w:p>
      <w:pPr>
        <w:pStyle w:val="Heading2"/>
      </w:pPr>
      <w:r>
        <w:t xml:space="preserve">2.5  Object-Type Responsibility for Deviations</w:t>
      </w:r>
    </w:p>
    <w:p>
      <w:pPr>
        <w:spacing w:after="140"/>
        <w:jc w:val="both"/>
      </w:pPr>
      <w:r>
        <w:t xml:space="preserve">The userinput object type is the most causally central for conformance deviations. Inaccurate requestedDeparture values in the UserInput object propagate failures to three other object types simultaneously: Session (extended dwell), Station (idle-blocked), and Cluster (reduced available capacity). Station objects carry the most measurable damage — the top-10 blocking stations all exceed 56% blocking rates, with station 1-1-191-785 at 71.8% (79 of 110 sessions). Specific User objects are the most actionable targets: user-481 (21 sessions, mean excess 8.38h) and user-476 (42 sessions, mean excess 6.35h) are identifiable as high-volume departure-mismatch contributors.</w:t>
      </w:r>
    </w:p>
    <w:p>
      <w:pPr>
        <w:spacing w:after="80"/>
      </w:pPr>
      <w:r>
        <w:t xml:space="preserve"/>
      </w:r>
    </w:p>
    <w:p>
      <w:pPr>
        <w:spacing w:after="140"/>
        <w:jc w:val="both"/>
      </w:pPr>
      <w:r>
        <w:t xml:space="preserve">The process variant most responsible for compound conformance failure is the combination of V3 (revision with extended dwell) and the idle-blocking pattern. Among the 1,829 dual-problem sessions, 1,822 (99.6%) are P1+P3 co-occurrences, confirming that these two deviations share a single root mechanism.</w:t>
      </w:r>
    </w:p>
    <w:p>
      <w:pPr>
        <w:spacing w:after="80"/>
      </w:pPr>
      <w:r>
        <w:t xml:space="preserve"/>
      </w:r>
    </w:p>
    <w:p>
      <w:r>
        <w:br w:type="page"/>
      </w:r>
    </w:p>
    <w:p>
      <w:pPr>
        <w:pBdr>
          <w:left w:val="single" w:color="1F4E79" w:sz="20" w:space="6"/>
        </w:pBdr>
        <w:shd w:fill="EBF3FB" w:val="clear"/>
        <w:spacing w:before="200" w:after="80"/>
        <w:ind w:left="0" w:right="0"/>
      </w:pPr>
      <w:r>
        <w:rPr>
          <w:rFonts w:ascii="Arial" w:cs="Arial" w:eastAsia="Arial" w:hAnsi="Arial"/>
          <w:b/>
          <w:bCs/>
          <w:color w:val="1F4E79"/>
          <w:sz w:val="24"/>
          <w:szCs w:val="24"/>
        </w:rPr>
        <w:t xml:space="preserve">RQ3  —  What cross-object interaction patterns between the UserInput lifecycle, the Session lifecycle, and the Cluster capacity state are responsible for the 79.0% energy shortfall rate, and can these patterns be attributed to distinct root causes?</w:t>
      </w:r>
    </w:p>
    <w:p>
      <w:pPr>
        <w:spacing w:after="80"/>
      </w:pPr>
      <w:r>
        <w:t xml:space="preserve"/>
      </w:r>
    </w:p>
    <w:p>
      <w:pPr>
        <w:pStyle w:val="Heading2"/>
      </w:pPr>
      <w:r>
        <w:t xml:space="preserve">2.6  Diagnostic Evidence for Multiple Root Causes</w:t>
      </w:r>
    </w:p>
    <w:p>
      <w:pPr>
        <w:spacing w:after="140"/>
        <w:jc w:val="both"/>
      </w:pPr>
      <w:r>
        <w:t xml:space="preserve">The 79.0% shortfall rate (4,659 of 5,899 claimed sessions) cannot be attributed to a single mechanism. The diagnostic key is the non-monotonic relationship between idle time and shortfall rate: sessions with minimal idle time (under 30 minutes) exhibit an 81.5% shortfall rate — the highest of any category — while sessions with short idle time (30 minutes to 2 hours) exhibit the lowest rate at 64.7%, and sessions with long idle (6 hours or more) return to 83.0%. If congestion were the only driver, shortfall rate would decrease monotonically with longer dwell time. If early departure were the only driver, sessions with no idle time would have the highest rate and it would decrease thereafter. Neither pattern holds, confirming three distinct root causes operating simultaneously.</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47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Sessions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Shortfall rate</w:t>
            </w:r>
          </w:p>
        </w:tc>
        <w:tc>
          <w:tcPr>
            <w:tcW w:type="dxa" w:w="4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Dominant root cause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idle (0h)</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602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76.6%</w:t>
            </w:r>
          </w:p>
        </w:tc>
        <w:tc>
          <w:tcPr>
            <w:tcW w:type="dxa" w:w="4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Pattern A — Infrastructure congestion dominant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Minimal (&lt; 30 min)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81.5%</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Pattern A + B mixed — window too short or cluster saturated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Short (30 min–2h)</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736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64.7%</w:t>
            </w:r>
          </w:p>
        </w:tc>
        <w:tc>
          <w:tcPr>
            <w:tcW w:type="dxa" w:w="4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Lowest rate — moderate window, congestion less binding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 (2h–6h)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79.3%</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Pattern B + C — scheduler constraints and some overstatement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Long (6h+)</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1,184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83.0%</w:t>
            </w:r>
          </w:p>
        </w:tc>
        <w:tc>
          <w:tcPr>
            <w:tcW w:type="dxa" w:w="4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Pattern C dominant — energy overstatement, battery full before target</w:t>
            </w:r>
          </w:p>
        </w:tc>
      </w:tr>
    </w:tbl>
    <w:p>
      <w:pPr>
        <w:spacing w:after="80"/>
      </w:pPr>
      <w:r>
        <w:t xml:space="preserve"/>
      </w:r>
    </w:p>
    <w:p>
      <w:pPr>
        <w:pStyle w:val="Heading2"/>
      </w:pPr>
      <w:r>
        <w:t xml:space="preserve">2.7  Three Root-Cause Patterns</w:t>
      </w:r>
    </w:p>
    <w:p>
      <w:pPr>
        <w:spacing w:after="140"/>
        <w:jc w:val="both"/>
      </w:pPr>
      <w:r>
        <w:rPr>
          <w:b/>
          <w:bCs/>
        </w:rPr>
        <w:t xml:space="preserve">Pattern A — Infrastructure congestion: </w:t>
      </w:r>
      <w:r>
        <w:t xml:space="preserve">Produces shortfalls in sessions with minimal post-charge idle time. The Cluster object’s power allocation to this session was constrained by competing concurrent sessions. The critical cross-object interaction is Session × Cluster concurrent load state: the Cluster’s available capacity was insufficient to deliver the declared kWhRequested within the actual session duration, even when the user did not depart early. The 37 days on which all 52 stations were simultaneously occupied represent the most acute expression of this pattern. Resolving P1 idle-blocking directly increases the Cluster’s available capacity and reduces Pattern A shortfalls.</w:t>
      </w:r>
    </w:p>
    <w:p>
      <w:pPr>
        <w:spacing w:after="80"/>
      </w:pPr>
      <w:r>
        <w:t xml:space="preserve"/>
      </w:r>
    </w:p>
    <w:p>
      <w:pPr>
        <w:spacing w:after="140"/>
        <w:jc w:val="both"/>
      </w:pPr>
      <w:r>
        <w:rPr>
          <w:b/>
          <w:bCs/>
        </w:rPr>
        <w:t xml:space="preserve">Pattern B — Early departure: </w:t>
      </w:r>
      <w:r>
        <w:t xml:space="preserve">Produces shortfalls through an interaction between Session.disconnectTime and UserInput.requestedDeparture. The user declares a generous session window, which causes the adaptive scheduler to spread the allocated current over the full declared window. The user then departs substantially earlier than declared, terminating the session before the schedule’s energy delivery plan is complete. The cross-object causal chain is: UserInput.requestedDeparture → Cluster scheduling plan for Session → actual Session.disconnectTime shorter than plan → energy cut off. The 2,447 departure-mismatch sessions from P3 are the direct source population for Pattern B shortfalls.</w:t>
      </w:r>
    </w:p>
    <w:p>
      <w:pPr>
        <w:spacing w:after="80"/>
      </w:pPr>
      <w:r>
        <w:t xml:space="preserve"/>
      </w:r>
    </w:p>
    <w:p>
      <w:pPr>
        <w:spacing w:after="140"/>
        <w:jc w:val="both"/>
      </w:pPr>
      <w:r>
        <w:rPr>
          <w:b/>
          <w:bCs/>
        </w:rPr>
        <w:t xml:space="preserve">Pattern C — Energy overstatement: </w:t>
      </w:r>
      <w:r>
        <w:t xml:space="preserve">Produces shortfalls in sessions with long idle time despite extended dwell. The UserInput.kWhRequested exceeds the vehicle’s actual battery capacity. The session ends with idle time — charging physically completed before the declared amount was reached — yet still shows a shortfall because the declared value was never achievable. The object interaction is UserInput.kWhRequested versus the vehicle’s actual battery ceiling. The 83.0% shortfall rate among long-idle sessions confirms that this overstated-demand pattern is more prevalent among habitual long-stayers who submit over-ambitious energy estimates.</w:t>
      </w:r>
    </w:p>
    <w:p>
      <w:pPr>
        <w:spacing w:after="80"/>
      </w:pPr>
      <w:r>
        <w:t xml:space="preserve"/>
      </w:r>
    </w:p>
    <w:p>
      <w:r>
        <w:br w:type="page"/>
      </w:r>
    </w:p>
    <w:p>
      <w:pPr>
        <w:pBdr>
          <w:left w:val="single" w:color="1F4E79" w:sz="20" w:space="6"/>
        </w:pBdr>
        <w:shd w:fill="EBF3FB" w:val="clear"/>
        <w:spacing w:before="200" w:after="80"/>
        <w:ind w:left="0" w:right="0"/>
      </w:pPr>
      <w:r>
        <w:rPr>
          <w:rFonts w:ascii="Arial" w:cs="Arial" w:eastAsia="Arial" w:hAnsi="Arial"/>
          <w:b/>
          <w:bCs/>
          <w:color w:val="1F4E79"/>
          <w:sz w:val="24"/>
          <w:szCs w:val="24"/>
        </w:rPr>
        <w:t xml:space="preserve">RQ4  —  How does mid-session UserInput revision affect the integrity of the adaptive scheduling plan, and at what proportion of sessions do late revisions arrive after the scheduling window has closed?</w:t>
      </w:r>
    </w:p>
    <w:p>
      <w:pPr>
        <w:spacing w:after="80"/>
      </w:pPr>
      <w:r>
        <w:t xml:space="preserve"/>
      </w:r>
    </w:p>
    <w:p>
      <w:pPr>
        <w:pStyle w:val="Heading2"/>
      </w:pPr>
      <w:r>
        <w:t xml:space="preserve">2.8  Revision Distribution and Scheduling Integrity</w:t>
      </w:r>
    </w:p>
    <w:p>
      <w:pPr>
        <w:spacing w:after="140"/>
        <w:jc w:val="both"/>
      </w:pPr>
      <w:r>
        <w:t xml:space="preserve">Mid-session UserInput revision is a fundamental feature of the ACN scheduling architecture: users may update their declared energy requirements and departure time at any point during a session through the mobile app. The OCEL captures every revision as a separate event linked to its own userinput object, producing 2,502 revision events across 1,217 sessions. The revision count distribution is heavily right-skewed.</w:t>
      </w:r>
    </w:p>
    <w:p>
      <w:pPr>
        <w:spacing w:after="80"/>
      </w:pPr>
      <w: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300"/>
        <w:gridCol w:w="570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Revision count</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Sessions</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Cumulative %</w:t>
            </w:r>
          </w:p>
        </w:tc>
        <w:tc>
          <w:tcPr>
            <w:tcW w:type="dxa" w:w="5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Scheduling integrity impact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 (initial only)</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6,082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83.3%</w:t>
            </w:r>
          </w:p>
        </w:tc>
        <w:tc>
          <w:tcPr>
            <w:tcW w:type="dxa" w:w="5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revision risk; plan integrity depends entirely on initial accuracy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revision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730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93.3%</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mid-session update; typically extends departure or adjusts energy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 revisions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227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96.4%</w:t>
            </w:r>
          </w:p>
        </w:tc>
        <w:tc>
          <w:tcPr>
            <w:tcW w:type="dxa" w:w="5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Moderate renegotiation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revisions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97.9%</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renegotiation; scheduler re-plans multiple times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4–5 revisions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99.1%</w:t>
            </w:r>
          </w:p>
        </w:tc>
        <w:tc>
          <w:tcPr>
            <w:tcW w:type="dxa" w:w="5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Heavy revision; scheduling plan stability compromised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6–31 revisions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Extreme revision; maximum 31 revisions in one session</w:t>
            </w:r>
          </w:p>
        </w:tc>
      </w:tr>
    </w:tbl>
    <w:p>
      <w:pPr>
        <w:spacing w:after="80"/>
      </w:pPr>
      <w:r>
        <w:t xml:space="preserve"/>
      </w:r>
    </w:p>
    <w:p>
      <w:pPr>
        <w:pStyle w:val="Heading2"/>
      </w:pPr>
      <w:r>
        <w:t xml:space="preserve">2.9  Post-Completion Revisions: Operationally Useless Inputs</w:t>
      </w:r>
    </w:p>
    <w:p>
      <w:pPr>
        <w:spacing w:after="140"/>
        <w:jc w:val="both"/>
      </w:pPr>
      <w:r>
        <w:t xml:space="preserve">The integrity impact of revisions depends critically on when the revision arrives relative to the session’s operational state. Three timing windows define three integrity classes. Revisions arriving within the first 60% of the declared session window are operationally useful: the scheduler receives updated information while it still has sufficient time to re-plan energy allocation. Revisions arriving after 60% of the window but before doneChargingTime are marginally useful with diminishing returns. Revisions arriving after doneChargingTime are operationally useless: charging has already physically completed and no scheduler action is possible.</w:t>
      </w:r>
    </w:p>
    <w:p>
      <w:pPr>
        <w:spacing w:after="80"/>
      </w:pPr>
      <w:r>
        <w:t xml:space="preserve"/>
      </w:r>
    </w:p>
    <w:p>
      <w:pPr>
        <w:spacing w:after="140"/>
        <w:jc w:val="both"/>
      </w:pPr>
      <w:r>
        <w:t xml:space="preserve">Among the 2,502 revision events, 179 (7.2% of all revisions) arrive after doneChargingTime. This post-completion revision rate represents a systematic waste of scheduler responsiveness: the ACN system continues to accept, process, and log these updates even though the physical charging process they are intended to influence has already terminated. The scheduling integrity violation is compounded for departure-time revisions in this category: a user who extends their declared departure after charging is complete contributes to idle-blocking by signalling to the system that they plan to stay, without enabling any additional energy delivery.</w:t>
      </w:r>
    </w:p>
    <w:p>
      <w:pPr>
        <w:spacing w:after="80"/>
      </w:pPr>
      <w:r>
        <w:t xml:space="preserve"/>
      </w:r>
    </w:p>
    <w:p>
      <w:pPr>
        <w:spacing w:after="140"/>
        <w:jc w:val="both"/>
      </w:pPr>
      <w:r>
        <w:t xml:space="preserve">The departure mismatch analysis provides additional evidence of plan integrity failure. Among the 2,447 sessions with departure mismatch exceeding one hour, the mean excess of 3.4 hours and maximum of 48.6 hours indicate that revision activity is insufficient to keep UserInput.requestedDeparture aligned with actual behaviour even when revisions do occur. In many mismatch sessions, the user simply did not revise their departure declaration at all as their plans changed. The adaptive scheduling plan therefore operates on stale information throughout the session’s later hours, allocating cluster capacity according to a timeline the user has implicitly abandoned. The proposed revision lock-out policy — accepting revisions only within the first 60% of the declared session window — would eliminate the 179 post-completion revisions entirely while preserving full revision access during the operationally meaningful early-session period.</w:t>
      </w:r>
    </w:p>
    <w:p>
      <w:pPr>
        <w:spacing w:after="80"/>
      </w:pPr>
      <w:r>
        <w:t xml:space="preserve"/>
      </w:r>
    </w:p>
    <w:p>
      <w:r>
        <w:br w:type="page"/>
      </w:r>
    </w:p>
    <w:p>
      <w:pPr>
        <w:pBdr>
          <w:left w:val="single" w:color="1F4E79" w:sz="20" w:space="6"/>
        </w:pBdr>
        <w:shd w:fill="EBF3FB" w:val="clear"/>
        <w:spacing w:before="200" w:after="80"/>
        <w:ind w:left="0" w:right="0"/>
      </w:pPr>
      <w:r>
        <w:rPr>
          <w:rFonts w:ascii="Arial" w:cs="Arial" w:eastAsia="Arial" w:hAnsi="Arial"/>
          <w:b/>
          <w:bCs/>
          <w:color w:val="1F4E79"/>
          <w:sz w:val="24"/>
          <w:szCs w:val="24"/>
        </w:rPr>
        <w:t xml:space="preserve">RQ5  —  Which station-user-session interaction patterns produce the most severe idle-blocking episodes, and does idle blocking under full-capacity cluster conditions produce a systematic and measurable fairness violation between arriving and incumbent sessions?</w:t>
      </w:r>
    </w:p>
    <w:p>
      <w:pPr>
        <w:spacing w:after="80"/>
      </w:pPr>
      <w:r>
        <w:t xml:space="preserve"/>
      </w:r>
    </w:p>
    <w:p>
      <w:pPr>
        <w:pStyle w:val="Heading2"/>
      </w:pPr>
      <w:r>
        <w:t xml:space="preserve">2.10  Patterns Producing the Most Severe Idle-Blocking</w:t>
      </w:r>
    </w:p>
    <w:p>
      <w:pPr>
        <w:spacing w:after="140"/>
        <w:jc w:val="both"/>
      </w:pPr>
      <w:r>
        <w:t xml:space="preserve">The most severe idle-blocking episodes are produced by the intersection of three object-level patterns that are only simultaneously observable in the OCEL’s cross-object model.</w:t>
      </w:r>
    </w:p>
    <w:p>
      <w:pPr>
        <w:spacing w:after="80"/>
      </w:pPr>
      <w:r>
        <w:t xml:space="preserve"/>
      </w:r>
    </w:p>
    <w:p>
      <w:pPr>
        <w:spacing w:after="140"/>
        <w:jc w:val="both"/>
      </w:pPr>
      <w:r>
        <w:rPr>
          <w:b/>
          <w:bCs/>
        </w:rPr>
        <w:t xml:space="preserve">Pattern 1 — Habitual long-idle users: </w:t>
      </w:r>
      <w:r>
        <w:t xml:space="preserve">A small group of identified users systematically parks for the full workday regardless of when their vehicle finishes charging. User-483 (77 sessions, mean 8.13h idle), user-592 (65 sessions, mean 7.85h), and user-425 (42 sessions, mean 7.66h) collectively account for a disproportionate share of the total 19,956 idle station-hours. These users’ rolling 10-session mean idle times exceed 4.0 hours, classifying them as habitual parkers.</w:t>
      </w:r>
    </w:p>
    <w:p>
      <w:pPr>
        <w:spacing w:after="80"/>
      </w:pPr>
      <w:r>
        <w:t xml:space="preserve"/>
      </w:r>
    </w:p>
    <w:p>
      <w:pPr>
        <w:spacing w:after="140"/>
        <w:jc w:val="both"/>
      </w:pPr>
      <w:r>
        <w:rPr>
          <w:b/>
          <w:bCs/>
        </w:rPr>
        <w:t xml:space="preserve">Pattern 2 — High-blocking-rate station cluster: </w:t>
      </w:r>
      <w:r>
        <w:t xml:space="preserve">Stations in the 1-1-191-xxx and 1-1-179-xxx series exhibit blocking rates between 56.0% and 71.8%. Station 1-1-191-785 (71.8%, 79 of 110 sessions) and 1-1-191-789 (71.2%, 84 of 118) are the most severely affected. The compound impact of habitual users concentrated at high-blocking stations produces the extreme per-station total idle-hours: 1-1-191-789 accumulates 714.8h total, 1-1-191-785 accumulates 615.0h.</w:t>
      </w:r>
    </w:p>
    <w:p>
      <w:pPr>
        <w:spacing w:after="80"/>
      </w:pPr>
      <w:r>
        <w:t xml:space="preserve"/>
      </w:r>
    </w:p>
    <w:p>
      <w:pPr>
        <w:spacing w:after="140"/>
        <w:jc w:val="both"/>
      </w:pPr>
      <w:r>
        <w:rPr>
          <w:b/>
          <w:bCs/>
        </w:rPr>
        <w:t xml:space="preserve">Pattern 3 — Peak-onset timing: </w:t>
      </w:r>
      <w:r>
        <w:t xml:space="preserve">Blocking onset concentrates heavily in the 17:00–20:00 window, with 770 onset events at 19:00 alone. This timing arises because EVs arriving in the 14:00–15:00 peak wave complete charging at approximately 17:00–19:00 — exactly when cluster demand is highest — and then remain parked for the evening.</w:t>
      </w:r>
    </w:p>
    <w:p>
      <w:pPr>
        <w:spacing w:after="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200"/>
        <w:gridCol w:w="1600"/>
        <w:gridCol w:w="1400"/>
        <w:gridCol w:w="32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Rank</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Station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Total idle-h</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Mean idle/session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Blocking rate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Archetype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1-1-191-789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714.8h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7.77h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71.2%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Habitual parkers + peak timing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1-1-191-785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615.0h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7.15h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Highest blocking rate in fleet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1-1-178-823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552.0h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2.62h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High volume, moderate mean idle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1-1-178-828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514.0h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2.95h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volume, moderate mean idle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1-1-193-820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509.9h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3.02h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Mixed archetype</w:t>
            </w:r>
          </w:p>
        </w:tc>
      </w:tr>
    </w:tbl>
    <w:p>
      <w:pPr>
        <w:spacing w:after="80"/>
      </w:pPr>
      <w:r>
        <w:t xml:space="preserve"/>
      </w:r>
    </w:p>
    <w:p>
      <w:pPr>
        <w:pStyle w:val="Heading2"/>
      </w:pPr>
      <w:r>
        <w:t xml:space="preserve">2.11  Fairness Violation Under Full-Capacity Conditions</w:t>
      </w:r>
    </w:p>
    <w:p>
      <w:pPr>
        <w:spacing w:after="140"/>
        <w:jc w:val="both"/>
      </w:pPr>
      <w:r>
        <w:t xml:space="preserve">The fairness violation question requires demonstrating that idle blocking under full-capacity conditions systematically disadvantages arriving sessions relative to incumbent ones. The dataset provides measurable evidence through three converging observations.</w:t>
      </w:r>
    </w:p>
    <w:p>
      <w:pPr>
        <w:spacing w:after="80"/>
      </w:pPr>
      <w:r>
        <w:t xml:space="preserve"/>
      </w:r>
    </w:p>
    <w:p>
      <w:pPr>
        <w:spacing w:after="140"/>
        <w:jc w:val="both"/>
      </w:pPr>
      <w:r>
        <w:rPr>
          <w:b/>
          <w:bCs/>
        </w:rPr>
        <w:t xml:space="preserve">Observation 1 — Full-capacity saturation days: </w:t>
      </w:r>
      <w:r>
        <w:t xml:space="preserve">37 days in the 175-day observation period saw all 52 stations simultaneously occupied at full capacity. During these saturation days, any EV arriving after the last station was claimed found no available station at all. The harm to the arriving session is total and the cause is directly traceable to idle-blocking by incumbent sessions that had already completed charging. The impact is systematically under-counted in the dataset because a denied arriving session never appears in the log — it is an invisible absence.</w:t>
      </w:r>
    </w:p>
    <w:p>
      <w:pPr>
        <w:spacing w:after="80"/>
      </w:pPr>
      <w:r>
        <w:t xml:space="preserve"/>
      </w:r>
    </w:p>
    <w:p>
      <w:pPr>
        <w:spacing w:after="140"/>
        <w:jc w:val="both"/>
      </w:pPr>
      <w:r>
        <w:rPr>
          <w:b/>
          <w:bCs/>
        </w:rPr>
        <w:t xml:space="preserve">Observation 2 — Temporal overlap of blocking and peak demand: </w:t>
      </w:r>
      <w:r>
        <w:t xml:space="preserve">The idle-blocking onset peak at 19:00 (770 events) precisely coincides with the period when early-evening arrivals would seek stations. The 3,478 sessions remaining idle for 2 or more hours were physically preventing station access for their full idle duration. The asymmetry is measurable: incumbent sessions capture the resource after their utility (charging) has ended, while arriving sessions are denied access to the same resource despite having unmet energy needs.</w:t>
      </w:r>
    </w:p>
    <w:p>
      <w:pPr>
        <w:spacing w:after="80"/>
      </w:pPr>
      <w:r>
        <w:t xml:space="preserve"/>
      </w:r>
    </w:p>
    <w:p>
      <w:pPr>
        <w:spacing w:after="140"/>
        <w:jc w:val="both"/>
      </w:pPr>
      <w:r>
        <w:rPr>
          <w:b/>
          <w:bCs/>
        </w:rPr>
        <w:t xml:space="preserve">Observation 3 — Scheduler-mediated fairness failure through stale UserInput: </w:t>
      </w:r>
      <w:r>
        <w:t xml:space="preserve">The 1,822 sessions simultaneously exhibiting P1 and P3 involve a user whose stated plan was to depart but who did not, meaning the Cluster’s scheduling algorithm allocated capacity to that session under the expectation of imminent release. A new arriving session may have been denied a slot because the scheduler’s availability model was based on the incumbent’s declared (but not actual) departure. This constitutes a measurable scheduler-fairness failure: the arriving session is denied access based on inaccurate information propagated by the incumbent’s stale UserInput.requestedDeparture. The full causal chain — UserInput.requestedDeparture → Cluster scheduling plan → Session denial → fairness violation — is a cross-object interaction that is uniquely representable in the OCEL data model and uniquely discoverable through the OCPM conformance framework applied here.</w:t>
      </w:r>
    </w:p>
    <w:p>
      <w:pPr>
        <w:spacing w:after="80"/>
      </w:pPr>
      <w:r>
        <w:t xml:space="preserve"/>
      </w:r>
    </w:p>
    <w:p>
      <w:pPr>
        <w:spacing w:after="140"/>
        <w:jc w:val="both"/>
      </w:pPr>
      <w:r>
        <w:t xml:space="preserve">The graduated idle fee policy with a 2-hour threshold — the operationally preferred intervention — directly targets all three fairness-violation patterns simultaneously. By reclaiming 11,859 station-hours (59.4% of the baseline), it reduces incumbent over-occupancy, lowers the probability of full-capacity saturation days, and removes the scheduler-fairness failure caused by stale departure declarations for the 3,477 sessions it affects.</w:t>
      </w:r>
    </w:p>
    <w:p>
      <w:pPr>
        <w:spacing w:after="80"/>
      </w:pPr>
      <w:r>
        <w:t xml:space="preserve"/>
      </w:r>
    </w:p>
    <w:p>
      <w:r>
        <w:br w:type="page"/>
      </w:r>
    </w:p>
    <w:p>
      <w:pPr>
        <w:pStyle w:val="Heading1"/>
      </w:pPr>
      <w:r>
        <w:t xml:space="preserve">3.  Complete Results Summary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800"/>
        <w:gridCol w:w="2500"/>
        <w:gridCol w:w="900"/>
        <w:gridCol w:w="140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Value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Problem</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Stage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Total sessions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7,299</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Input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OCEL events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36,330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1</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Total OCEL objects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16,052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Event-to-object relations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137,888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1</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OC-DFG perspectives generated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 (full + 6 per-object-type)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Idle-blocking arc (station)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 charging → connect EV  EC=24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2</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Revision self-loop (userinput)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submit → revise  EC=2,502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Bypass arc (session)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 charging → disconnect EV  EC≈5,742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2</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Sessions idle ≥2h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3,478 (47.7%)</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Sessions idle ≥6h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1,309 (17.9%)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Total idle station-hours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19,956h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Peak blocking onset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19:00 — 770 events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Highest station blocking rate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1-1-191-785: 71.8%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CONFORMING (P1)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3,821 (52.3%)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IDLE_BLOCKING_MOD (2–6h)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2,169 (29.7%)</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IDLE_BLOCKING_SEV (≥6h)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1,309 (17.9%)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Shortfall sessions (&gt;2 kWh gap)</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4,659 / 5,899 (79.0%)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undelivered energy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59,322 kWh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Average shortfall per session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12.73 kWh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Revision sessions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1,217 (16.7%)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Post-completion revisions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179 (7.2% of all revisions)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Departure mismatch (&gt;1h)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2,447 (41.5% of claimed)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Mean departure excess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3.4 hours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Maximum departure excess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48.6 hours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CONFORMING_USERINPUT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3,452 (47.3%)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DEPARTURE_MISMATCH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2,447 (33.5%)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Ordering violations (done &gt; disc)</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111 (1.5%)</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Most anomalous station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1-1-179-790: 9 violations, 7.0%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Sessions with 0 problems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3,092 (42.4%)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Sessions with 1 problem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2,378 (32.6%)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Sessions with 2 problems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1,829 (25.1%)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P1+P3 co-occurrence (dominant)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1,822 (25.0%)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Full-capacity saturation days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37 of 175 days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 intervention (2h graduated fee)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11,859h reclaimed / 59.4%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4</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Alert at 1h (upper bound)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15,593h reclaimed / 78.1%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Departure re-confirmation (est.)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~4,200h reclaimed / 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4</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Top habitual blocker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user-483: 77 sessions, 8.13h mean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4</w:t>
            </w:r>
          </w:p>
        </w:tc>
      </w:tr>
    </w:tbl>
    <w:p>
      <w:pPr>
        <w:spacing w:after="80"/>
      </w:pPr>
      <w:r>
        <w:t xml:space="preserve"/>
      </w:r>
    </w:p>
    <w:sectPr>
      <w:headerReference w:type="default" r:id="rId6"/>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666666"/>
        <w:sz w:val="16"/>
        <w:szCs w:val="16"/>
      </w:rPr>
      <w:t xml:space="preserve">Page </w:t>
    </w:r>
    <w:r>
      <w:rPr>
        <w:color w:val="666666"/>
        <w:sz w:val="16"/>
        <w:szCs w:val="16"/>
      </w:rPr>
      <w:fldSimple w:instr="PAGE"/>
    </w:r>
    <w:r>
      <w:rPr>
        <w:color w:val="666666"/>
        <w:sz w:val="16"/>
        <w:szCs w:val="16"/>
      </w:rPr>
      <w:t xml:space="preserve">  ·  Object-Centric Process Mining for EV Charging  ·  JPL ACN-Data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b/>
        <w:bCs/>
        <w:color w:val="1F4E79"/>
        <w:sz w:val="17"/>
        <w:szCs w:val="17"/>
      </w:rPr>
      <w:t xml:space="preserve">OCPM Applied to EV Charging  ·  JPL ACN-Data  ·  Abstract, Methodology &amp; Research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4" w:space="2"/>
      </w:pBd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6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60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d1f2c1df51d88ad5292dadb511c604cbae0ba3c.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2026-04-04T03:35:50.967Z</dcterms:created>
  <dcterms:modified xsi:type="dcterms:W3CDTF">2026-04-04T03:35:50.968Z</dcterms:modified>
</cp:coreProperties>
</file>

<file path=docProps/custom.xml><?xml version="1.0" encoding="utf-8"?>
<Properties xmlns="http://schemas.openxmlformats.org/officeDocument/2006/custom-properties" xmlns:vt="http://schemas.openxmlformats.org/officeDocument/2006/docPropsVTypes"/>
</file>