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noticed that the bid-ask spread often widened beyond 0.5 units, creating potential for mean reversion-based trades. This observation led to a strategy focused on placing passive orders within wide spreads to benefit from natural price corrections.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Logic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mid-price</w:t>
      </w:r>
      <w:r w:rsidDel="00000000" w:rsidR="00000000" w:rsidRPr="00000000">
        <w:rPr>
          <w:rtl w:val="0"/>
        </w:rPr>
        <w:t xml:space="preserve"> as the average of best bid and best ask.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</w:t>
      </w:r>
      <w:r w:rsidDel="00000000" w:rsidR="00000000" w:rsidRPr="00000000">
        <w:rPr>
          <w:b w:val="1"/>
          <w:rtl w:val="0"/>
        </w:rPr>
        <w:t xml:space="preserve">spread</w:t>
      </w:r>
      <w:r w:rsidDel="00000000" w:rsidR="00000000" w:rsidRPr="00000000">
        <w:rPr>
          <w:rtl w:val="0"/>
        </w:rPr>
        <w:t xml:space="preserve"> exceeds a threshold (0.5).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so, place: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 order below mid-price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 order above mid-price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order quantities to stay within position limits and avoid excessive exposure.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83jds6ggl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Experiments &amp; Insights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Tested different spread thresholds; 0.5 offered a balance between execution frequency and profit margin.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Larger thresholds led to fewer trades but higher individual profitability.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that the strategy performs better in volatile or less liquid segments where spreads widen more frequently.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Limiting position size helped manage risk and avoid overtrading in one direction.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