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pBdr>
          <w:bottom w:val="single" w:color="1F6F5C" w:sz="18" w:space="8"/>
        </w:pBdr>
        <w:spacing w:after="200"/>
        <w:jc w:val="left"/>
      </w:pPr>
      <w:r>
        <w:rPr>
          <w:rFonts w:ascii="Calibri" w:cs="Calibri" w:eastAsia="Calibri" w:hAnsi="Calibri"/>
          <w:b/>
          <w:bCs/>
          <w:color w:val="1F6F5C"/>
          <w:sz w:val="60"/>
          <w:szCs w:val="60"/>
        </w:rPr>
        <w:t xml:space="preserve">E-Commerce Customer Analytics &amp; Machine Learning Project</w:t>
      </w:r>
    </w:p>
    <w:p>
      <w:pPr>
        <w:spacing w:after="120" w:before="200"/>
      </w:pPr>
      <w:r>
        <w:rPr>
          <w:rFonts w:ascii="Calibri" w:cs="Calibri" w:eastAsia="Calibri" w:hAnsi="Calibri"/>
          <w:color w:val="2B3A42"/>
          <w:sz w:val="30"/>
          <w:szCs w:val="30"/>
        </w:rPr>
        <w:t xml:space="preserve">A 4-Tier Analytics Ladder study of customer sustainability priority</w:t>
      </w:r>
    </w:p>
    <w:p>
      <w:pPr>
        <w:spacing w:after="80"/>
      </w:pPr>
      <w:r>
        <w:rPr>
          <w:rFonts w:ascii="Calibri" w:cs="Calibri" w:eastAsia="Calibri" w:hAnsi="Calibri"/>
          <w:color w:val="5B6770"/>
          <w:sz w:val="22"/>
          <w:szCs w:val="22"/>
        </w:rPr>
        <w:t xml:space="preserve">Data Hygiene  |  Exploratory Analytics  |  Predictive Analytics  |  Prescriptive Strategy</w:t>
      </w:r>
    </w:p>
    <w:p>
      <w:pPr>
        <w:spacing w:after="60" w:before="1800"/>
      </w:pPr>
      <w:r>
        <w:rPr>
          <w:rFonts w:ascii="Calibri" w:cs="Calibri" w:eastAsia="Calibri" w:hAnsi="Calibri"/>
          <w:b/>
          <w:bCs/>
          <w:sz w:val="22"/>
          <w:szCs w:val="22"/>
        </w:rPr>
        <w:t xml:space="preserve">Prepared by: </w:t>
      </w:r>
      <w:r>
        <w:rPr>
          <w:rFonts w:ascii="Calibri" w:cs="Calibri" w:eastAsia="Calibri" w:hAnsi="Calibri"/>
          <w:sz w:val="22"/>
          <w:szCs w:val="22"/>
        </w:rPr>
        <w:t xml:space="preserve">Anumana</w:t>
      </w:r>
    </w:p>
    <w:p>
      <w:pPr>
        <w:spacing w:after="60"/>
      </w:pPr>
      <w:r>
        <w:rPr>
          <w:rFonts w:ascii="Calibri" w:cs="Calibri" w:eastAsia="Calibri" w:hAnsi="Calibri"/>
          <w:b/>
          <w:bCs/>
          <w:sz w:val="22"/>
          <w:szCs w:val="22"/>
        </w:rPr>
        <w:t xml:space="preserve">Dataset: </w:t>
      </w:r>
      <w:r>
        <w:rPr>
          <w:rFonts w:ascii="Calibri" w:cs="Calibri" w:eastAsia="Calibri" w:hAnsi="Calibri"/>
          <w:sz w:val="22"/>
          <w:szCs w:val="22"/>
        </w:rPr>
        <w:t xml:space="preserve">ecommerce_customers.csv (1,500 customers, 5 columns; user-provided local CSV file)</w:t>
      </w:r>
    </w:p>
    <w:p>
      <w:pPr>
        <w:spacing w:after="60"/>
      </w:pPr>
      <w:r>
        <w:rPr>
          <w:rFonts w:ascii="Calibri" w:cs="Calibri" w:eastAsia="Calibri" w:hAnsi="Calibri"/>
          <w:b/>
          <w:bCs/>
          <w:sz w:val="22"/>
          <w:szCs w:val="22"/>
        </w:rPr>
        <w:t xml:space="preserve">Date: </w:t>
      </w:r>
      <w:r>
        <w:rPr>
          <w:rFonts w:ascii="Calibri" w:cs="Calibri" w:eastAsia="Calibri" w:hAnsi="Calibri"/>
          <w:sz w:val="22"/>
          <w:szCs w:val="22"/>
        </w:rPr>
        <w:t xml:space="preserve">September 2026</w:t>
      </w:r>
    </w:p>
    <w:p>
      <w:r>
        <w:br w:type="page"/>
      </w:r>
    </w:p>
    <w:p>
      <w:pPr>
        <w:pStyle w:val="Heading1"/>
        <w:spacing w:after="160" w:before="360"/>
        <w:outlineLvl w:val="0"/>
      </w:pPr>
      <w:r>
        <w:rPr>
          <w:rFonts w:ascii="Calibri" w:cs="Calibri" w:eastAsia="Calibri" w:hAnsi="Calibri"/>
          <w:b/>
          <w:bCs/>
          <w:color w:val="1F6F5C"/>
          <w:sz w:val="32"/>
          <w:szCs w:val="32"/>
        </w:rPr>
        <w:t xml:space="preserve">1. Executive Summary</w:t>
      </w:r>
    </w:p>
    <w:p>
      <w:pPr>
        <w:spacing w:after="120" w:line="276"/>
      </w:pPr>
      <w:r>
        <w:rPr>
          <w:rFonts w:ascii="Calibri" w:cs="Calibri" w:eastAsia="Calibri" w:hAnsi="Calibri"/>
          <w:sz w:val="22"/>
          <w:szCs w:val="22"/>
        </w:rPr>
        <w:t xml:space="preserve">This project analyses 1,500 customer records to understand how customers are distributed across regions, membership levels and joining years, and whether these attributes help explain or predict a customer's sustainability priority (a score from 1 to 5). All results are computed from the supplied CSV; nothing is simulated or assumed.</w:t>
      </w:r>
    </w:p>
    <w:p>
      <w:pPr>
        <w:pStyle w:val="Heading2"/>
        <w:spacing w:after="100" w:before="240"/>
        <w:outlineLvl w:val="1"/>
      </w:pPr>
      <w:r>
        <w:rPr>
          <w:rFonts w:ascii="Calibri" w:cs="Calibri" w:eastAsia="Calibri" w:hAnsi="Calibri"/>
          <w:b/>
          <w:bCs/>
          <w:color w:val="2B3A42"/>
          <w:sz w:val="26"/>
          <w:szCs w:val="26"/>
        </w:rPr>
        <w:t xml:space="preserve">Key findings</w:t>
      </w:r>
    </w:p>
    <w:p>
      <w:pPr>
        <w:pStyle w:val="ListParagraph"/>
        <w:numPr>
          <w:ilvl w:val="0"/>
          <w:numId w:val="2"/>
        </w:numPr>
        <w:spacing w:after="70" w:line="264"/>
      </w:pPr>
      <w:r>
        <w:rPr>
          <w:rFonts w:ascii="Calibri" w:cs="Calibri" w:eastAsia="Calibri" w:hAnsi="Calibri"/>
          <w:b/>
          <w:bCs/>
          <w:sz w:val="22"/>
          <w:szCs w:val="22"/>
        </w:rPr>
        <w:t xml:space="preserve">Data quality is high. </w:t>
      </w:r>
      <w:r>
        <w:rPr>
          <w:rFonts w:ascii="Calibri" w:cs="Calibri" w:eastAsia="Calibri" w:hAnsi="Calibri"/>
          <w:sz w:val="22"/>
          <w:szCs w:val="22"/>
        </w:rPr>
        <w:t xml:space="preserve">There are no duplicate rows or duplicate customer IDs. The only defect is 50 missing membership levels (3.33%), retained as an explicit "Unknown" category. The data is already at customer level, so no aggregation was required.</w:t>
      </w:r>
    </w:p>
    <w:p>
      <w:pPr>
        <w:pStyle w:val="ListParagraph"/>
        <w:numPr>
          <w:ilvl w:val="0"/>
          <w:numId w:val="2"/>
        </w:numPr>
        <w:spacing w:after="70" w:line="264"/>
      </w:pPr>
      <w:r>
        <w:rPr>
          <w:rFonts w:ascii="Calibri" w:cs="Calibri" w:eastAsia="Calibri" w:hAnsi="Calibri"/>
          <w:b/>
          <w:bCs/>
          <w:sz w:val="22"/>
          <w:szCs w:val="22"/>
        </w:rPr>
        <w:t xml:space="preserve">The customer base is broad and balanced. </w:t>
      </w:r>
      <w:r>
        <w:rPr>
          <w:rFonts w:ascii="Calibri" w:cs="Calibri" w:eastAsia="Calibri" w:hAnsi="Calibri"/>
          <w:sz w:val="22"/>
          <w:szCs w:val="22"/>
        </w:rPr>
        <w:t xml:space="preserve">Customers are spread across five regions (largest: Latin America, 21.5%; smallest: North America, 18.2%). Standard is the largest membership level (46.3%), followed by Silver (31.2%), Gold (14.4%) and Platinum (4.7%). Intake is flat at 372-380 customers per joining year.</w:t>
      </w:r>
    </w:p>
    <w:p>
      <w:pPr>
        <w:pStyle w:val="ListParagraph"/>
        <w:numPr>
          <w:ilvl w:val="0"/>
          <w:numId w:val="2"/>
        </w:numPr>
        <w:spacing w:after="70" w:line="264"/>
      </w:pPr>
      <w:r>
        <w:rPr>
          <w:rFonts w:ascii="Calibri" w:cs="Calibri" w:eastAsia="Calibri" w:hAnsi="Calibri"/>
          <w:b/>
          <w:bCs/>
          <w:sz w:val="22"/>
          <w:szCs w:val="22"/>
        </w:rPr>
        <w:t xml:space="preserve">Sustainability priority is almost evenly spread. </w:t>
      </w:r>
      <w:r>
        <w:rPr>
          <w:rFonts w:ascii="Calibri" w:cs="Calibri" w:eastAsia="Calibri" w:hAnsi="Calibri"/>
          <w:sz w:val="22"/>
          <w:szCs w:val="22"/>
        </w:rPr>
        <w:t xml:space="preserve">The mean score is 3.01; each level holds 18.7%-21.2% of customers. 601 customers (40.1%) are at level 4-5.</w:t>
      </w:r>
    </w:p>
    <w:p>
      <w:pPr>
        <w:pStyle w:val="ListParagraph"/>
        <w:numPr>
          <w:ilvl w:val="0"/>
          <w:numId w:val="2"/>
        </w:numPr>
        <w:spacing w:after="70" w:line="264"/>
      </w:pPr>
      <w:r>
        <w:rPr>
          <w:rFonts w:ascii="Calibri" w:cs="Calibri" w:eastAsia="Calibri" w:hAnsi="Calibri"/>
          <w:b/>
          <w:bCs/>
          <w:sz w:val="22"/>
          <w:szCs w:val="22"/>
        </w:rPr>
        <w:t xml:space="preserve">Region, membership level and joining year show no statistically significant association with sustainability priority. </w:t>
      </w:r>
      <w:r>
        <w:rPr>
          <w:rFonts w:ascii="Calibri" w:cs="Calibri" w:eastAsia="Calibri" w:hAnsi="Calibri"/>
          <w:sz w:val="22"/>
          <w:szCs w:val="22"/>
        </w:rPr>
        <w:t xml:space="preserve">Group means differ by only 0.17-0.21 points, and every test has p &gt; 0.3 (Cramer's V at most 0.055).</w:t>
      </w:r>
    </w:p>
    <w:p>
      <w:pPr>
        <w:pStyle w:val="ListParagraph"/>
        <w:numPr>
          <w:ilvl w:val="0"/>
          <w:numId w:val="2"/>
        </w:numPr>
        <w:spacing w:after="70" w:line="264"/>
      </w:pPr>
      <w:r>
        <w:rPr>
          <w:rFonts w:ascii="Calibri" w:cs="Calibri" w:eastAsia="Calibri" w:hAnsi="Calibri"/>
          <w:b/>
          <w:bCs/>
          <w:sz w:val="22"/>
          <w:szCs w:val="22"/>
        </w:rPr>
        <w:t xml:space="preserve">The predictive model performs at chance level. </w:t>
      </w:r>
      <w:r>
        <w:rPr>
          <w:rFonts w:ascii="Calibri" w:cs="Calibri" w:eastAsia="Calibri" w:hAnsi="Calibri"/>
          <w:sz w:val="22"/>
          <w:szCs w:val="22"/>
        </w:rPr>
        <w:t xml:space="preserve">The selected Random Forest reached 15.3% test accuracy (95% CI 11.3%-19.7%) against 20% chance, macro-F1 0.148 and ROC-AUC 0.464 (0.5 = random). This is a finding about the data, not a modelling shortcoming: the three available attributes carry essentially no information about the target.</w:t>
      </w:r>
    </w:p>
    <w:p>
      <w:pPr>
        <w:pStyle w:val="ListParagraph"/>
        <w:numPr>
          <w:ilvl w:val="0"/>
          <w:numId w:val="2"/>
        </w:numPr>
        <w:spacing w:after="70" w:line="264"/>
      </w:pPr>
      <w:r>
        <w:rPr>
          <w:rFonts w:ascii="Calibri" w:cs="Calibri" w:eastAsia="Calibri" w:hAnsi="Calibri"/>
          <w:b/>
          <w:bCs/>
          <w:sz w:val="22"/>
          <w:szCs w:val="22"/>
        </w:rPr>
        <w:t xml:space="preserve">Prescriptive implication. </w:t>
      </w:r>
      <w:r>
        <w:rPr>
          <w:rFonts w:ascii="Calibri" w:cs="Calibri" w:eastAsia="Calibri" w:hAnsi="Calibri"/>
          <w:sz w:val="22"/>
          <w:szCs w:val="22"/>
        </w:rPr>
        <w:t xml:space="preserve">In the top-20% targeting exercise (300 customers), the model's list contains 37.0% customers who are actually high priority versus 40.1% overall (lift 0.92x, one-sided p = 0.87). The model should therefore not be used for targeting. Because every customer already has a recorded priority score, outreach should be selected directly on that score.</w:t>
      </w:r>
    </w:p>
    <w:p>
      <w:pPr>
        <w:pBdr>
          <w:left w:val="single" w:color="1F6F5C" w:sz="24" w:space="8"/>
        </w:pBdr>
        <w:shd w:fill="EAF3F0" w:val="clear"/>
        <w:spacing w:after="160" w:before="100"/>
        <w:ind w:left="160"/>
      </w:pPr>
      <w:r>
        <w:rPr>
          <w:rFonts w:ascii="Calibri" w:cs="Calibri" w:eastAsia="Calibri" w:hAnsi="Calibri"/>
          <w:sz w:val="21"/>
          <w:szCs w:val="21"/>
        </w:rPr>
        <w:t xml:space="preserve">No revenue, transaction, cost or churn variables exist in the dataset. Consequently no financial impact, ROI or customer lifetime value is claimed anywhere in this report.</w:t>
      </w:r>
    </w:p>
    <w:p>
      <w:r>
        <w:br w:type="page"/>
      </w:r>
    </w:p>
    <w:p>
      <w:pPr>
        <w:pStyle w:val="Heading1"/>
        <w:spacing w:after="160" w:before="360"/>
        <w:outlineLvl w:val="0"/>
      </w:pPr>
      <w:r>
        <w:rPr>
          <w:rFonts w:ascii="Calibri" w:cs="Calibri" w:eastAsia="Calibri" w:hAnsi="Calibri"/>
          <w:b/>
          <w:bCs/>
          <w:color w:val="1F6F5C"/>
          <w:sz w:val="32"/>
          <w:szCs w:val="32"/>
        </w:rPr>
        <w:t xml:space="preserve">2. Business Problem</w:t>
      </w:r>
    </w:p>
    <w:p>
      <w:pPr>
        <w:spacing w:after="120" w:line="276"/>
      </w:pPr>
      <w:r>
        <w:rPr>
          <w:rFonts w:ascii="Calibri" w:cs="Calibri" w:eastAsia="Calibri" w:hAnsi="Calibri"/>
          <w:sz w:val="22"/>
          <w:szCs w:val="22"/>
        </w:rPr>
        <w:t xml:space="preserve">An e-commerce business wants to direct limited sustainability-engagement resources (communications, campaigns, programmes) towards the customers most likely to respond. The data available describes each customer's region, membership level, joining year and a stated sustainability priority score.</w:t>
      </w:r>
    </w:p>
    <w:p>
      <w:pPr>
        <w:spacing w:after="120" w:line="276"/>
      </w:pPr>
      <w:r>
        <w:rPr>
          <w:rFonts w:ascii="Calibri" w:cs="Calibri" w:eastAsia="Calibri" w:hAnsi="Calibri"/>
          <w:sz w:val="22"/>
          <w:szCs w:val="22"/>
        </w:rPr>
        <w:t xml:space="preserve">The analysis addresses four questions, one per tier of the analytics ladder:</w:t>
      </w:r>
    </w:p>
    <w:p>
      <w:pPr>
        <w:pStyle w:val="ListParagraph"/>
        <w:numPr>
          <w:ilvl w:val="0"/>
          <w:numId w:val="2"/>
        </w:numPr>
        <w:spacing w:after="70" w:line="264"/>
      </w:pPr>
      <w:r>
        <w:rPr>
          <w:rFonts w:ascii="Calibri" w:cs="Calibri" w:eastAsia="Calibri" w:hAnsi="Calibri"/>
          <w:b/>
          <w:bCs/>
          <w:sz w:val="22"/>
          <w:szCs w:val="22"/>
        </w:rPr>
        <w:t xml:space="preserve">Tier 1 - Data hygiene: </w:t>
      </w:r>
      <w:r>
        <w:rPr>
          <w:rFonts w:ascii="Calibri" w:cs="Calibri" w:eastAsia="Calibri" w:hAnsi="Calibri"/>
          <w:sz w:val="22"/>
          <w:szCs w:val="22"/>
        </w:rPr>
        <w:t xml:space="preserve">Is the data trustworthy, and at what grain does it exist?</w:t>
      </w:r>
    </w:p>
    <w:p>
      <w:pPr>
        <w:pStyle w:val="ListParagraph"/>
        <w:numPr>
          <w:ilvl w:val="0"/>
          <w:numId w:val="2"/>
        </w:numPr>
        <w:spacing w:after="70" w:line="264"/>
      </w:pPr>
      <w:r>
        <w:rPr>
          <w:rFonts w:ascii="Calibri" w:cs="Calibri" w:eastAsia="Calibri" w:hAnsi="Calibri"/>
          <w:b/>
          <w:bCs/>
          <w:sz w:val="22"/>
          <w:szCs w:val="22"/>
        </w:rPr>
        <w:t xml:space="preserve">Tier 2 - Exploratory and diagnostic: </w:t>
      </w:r>
      <w:r>
        <w:rPr>
          <w:rFonts w:ascii="Calibri" w:cs="Calibri" w:eastAsia="Calibri" w:hAnsi="Calibri"/>
          <w:sz w:val="22"/>
          <w:szCs w:val="22"/>
        </w:rPr>
        <w:t xml:space="preserve">What does the customer base look like, and do regions, membership levels or joining cohorts differ in sustainability priority?</w:t>
      </w:r>
    </w:p>
    <w:p>
      <w:pPr>
        <w:pStyle w:val="ListParagraph"/>
        <w:numPr>
          <w:ilvl w:val="0"/>
          <w:numId w:val="2"/>
        </w:numPr>
        <w:spacing w:after="70" w:line="264"/>
      </w:pPr>
      <w:r>
        <w:rPr>
          <w:rFonts w:ascii="Calibri" w:cs="Calibri" w:eastAsia="Calibri" w:hAnsi="Calibri"/>
          <w:b/>
          <w:bCs/>
          <w:sz w:val="22"/>
          <w:szCs w:val="22"/>
        </w:rPr>
        <w:t xml:space="preserve">Tier 3 - Predictive: </w:t>
      </w:r>
      <w:r>
        <w:rPr>
          <w:rFonts w:ascii="Calibri" w:cs="Calibri" w:eastAsia="Calibri" w:hAnsi="Calibri"/>
          <w:sz w:val="22"/>
          <w:szCs w:val="22"/>
        </w:rPr>
        <w:t xml:space="preserve">Can region, membership level and joining year predict a customer's sustainability priority without target leakage?</w:t>
      </w:r>
    </w:p>
    <w:p>
      <w:pPr>
        <w:pStyle w:val="ListParagraph"/>
        <w:numPr>
          <w:ilvl w:val="0"/>
          <w:numId w:val="2"/>
        </w:numPr>
        <w:spacing w:after="70" w:line="264"/>
      </w:pPr>
      <w:r>
        <w:rPr>
          <w:rFonts w:ascii="Calibri" w:cs="Calibri" w:eastAsia="Calibri" w:hAnsi="Calibri"/>
          <w:b/>
          <w:bCs/>
          <w:sz w:val="22"/>
          <w:szCs w:val="22"/>
        </w:rPr>
        <w:t xml:space="preserve">Tier 4 - Prescriptive: </w:t>
      </w:r>
      <w:r>
        <w:rPr>
          <w:rFonts w:ascii="Calibri" w:cs="Calibri" w:eastAsia="Calibri" w:hAnsi="Calibri"/>
          <w:sz w:val="22"/>
          <w:szCs w:val="22"/>
        </w:rPr>
        <w:t xml:space="preserve">Given capacity to engage only 20% of customers, who should be contacted, and what should the business do?</w:t>
      </w:r>
    </w:p>
    <w:p>
      <w:pPr>
        <w:spacing w:after="120" w:line="276"/>
      </w:pPr>
      <w:r>
        <w:rPr>
          <w:rFonts w:ascii="Calibri" w:cs="Calibri" w:eastAsia="Calibri" w:hAnsi="Calibri"/>
          <w:sz w:val="22"/>
          <w:szCs w:val="22"/>
        </w:rPr>
        <w:t xml:space="preserve">Throughout, observed patterns are treated as associations. The data is observational, so no causal claims are made.</w:t>
      </w:r>
    </w:p>
    <w:p>
      <w:pPr>
        <w:pStyle w:val="Heading1"/>
        <w:spacing w:after="160" w:before="360"/>
        <w:outlineLvl w:val="0"/>
      </w:pPr>
      <w:r>
        <w:rPr>
          <w:rFonts w:ascii="Calibri" w:cs="Calibri" w:eastAsia="Calibri" w:hAnsi="Calibri"/>
          <w:b/>
          <w:bCs/>
          <w:color w:val="1F6F5C"/>
          <w:sz w:val="32"/>
          <w:szCs w:val="32"/>
        </w:rPr>
        <w:t xml:space="preserve">3. Dataset Description</w:t>
      </w:r>
    </w:p>
    <w:p>
      <w:pPr>
        <w:spacing w:after="120" w:line="276"/>
      </w:pPr>
      <w:r>
        <w:rPr>
          <w:rFonts w:ascii="Calibri" w:cs="Calibri" w:eastAsia="Calibri" w:hAnsi="Calibri"/>
          <w:sz w:val="22"/>
          <w:szCs w:val="22"/>
        </w:rPr>
        <w:t xml:space="preserve">The file ecommerce_customers.csv contains 1,500 rows and 5 columns. Each row is one customer.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1700"/>
        <w:gridCol w:w="900"/>
        <w:gridCol w:w="1200"/>
        <w:gridCol w:w="2726"/>
      </w:tblGrid>
      <w:tr>
        <w:trPr>
          <w:tblHeader/>
        </w:trPr>
        <w:tc>
          <w:tcPr>
            <w:tcW w:type="dxa" w:w="25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Column</w:t>
            </w:r>
          </w:p>
        </w:tc>
        <w:tc>
          <w:tcPr>
            <w:tcW w:type="dxa" w:w="17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Data type (raw)</w:t>
            </w:r>
          </w:p>
        </w:tc>
        <w:tc>
          <w:tcPr>
            <w:tcW w:type="dxa" w:w="9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Missing</w:t>
            </w:r>
          </w:p>
        </w:tc>
        <w:tc>
          <w:tcPr>
            <w:tcW w:type="dxa" w:w="12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Unique values</w:t>
            </w:r>
          </w:p>
        </w:tc>
        <w:tc>
          <w:tcPr>
            <w:tcW w:type="dxa" w:w="2726"/>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Range / values</w:t>
            </w:r>
          </w:p>
        </w:tc>
      </w:tr>
      <w:tr>
        <w:tc>
          <w:tcPr>
            <w:tcW w:type="dxa" w:w="2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customer_id</w:t>
            </w:r>
          </w:p>
        </w:tc>
        <w:tc>
          <w:tcPr>
            <w:tcW w:type="dxa" w:w="17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object (string)</w:t>
            </w:r>
          </w:p>
        </w:tc>
        <w:tc>
          <w:tcPr>
            <w:tcW w:type="dxa" w:w="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w:t>
            </w:r>
          </w:p>
        </w:tc>
        <w:tc>
          <w:tcPr>
            <w:tcW w:type="dxa" w:w="1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1500</w:t>
            </w:r>
          </w:p>
        </w:tc>
        <w:tc>
          <w:tcPr>
            <w:tcW w:type="dxa" w:w="27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1500 distinct values</w:t>
            </w:r>
          </w:p>
        </w:tc>
      </w:tr>
      <w:tr>
        <w:tc>
          <w:tcPr>
            <w:tcW w:type="dxa" w:w="2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region</w:t>
            </w:r>
          </w:p>
        </w:tc>
        <w:tc>
          <w:tcPr>
            <w:tcW w:type="dxa" w:w="17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object (string)</w:t>
            </w:r>
          </w:p>
        </w:tc>
        <w:tc>
          <w:tcPr>
            <w:tcW w:type="dxa" w:w="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w:t>
            </w:r>
          </w:p>
        </w:tc>
        <w:tc>
          <w:tcPr>
            <w:tcW w:type="dxa" w:w="1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5</w:t>
            </w:r>
          </w:p>
        </w:tc>
        <w:tc>
          <w:tcPr>
            <w:tcW w:type="dxa" w:w="27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5 distinct values</w:t>
            </w:r>
          </w:p>
        </w:tc>
      </w:tr>
      <w:tr>
        <w:tc>
          <w:tcPr>
            <w:tcW w:type="dxa" w:w="2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membership_level</w:t>
            </w:r>
          </w:p>
        </w:tc>
        <w:tc>
          <w:tcPr>
            <w:tcW w:type="dxa" w:w="17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object (string)</w:t>
            </w:r>
          </w:p>
        </w:tc>
        <w:tc>
          <w:tcPr>
            <w:tcW w:type="dxa" w:w="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50</w:t>
            </w:r>
          </w:p>
        </w:tc>
        <w:tc>
          <w:tcPr>
            <w:tcW w:type="dxa" w:w="1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4</w:t>
            </w:r>
          </w:p>
        </w:tc>
        <w:tc>
          <w:tcPr>
            <w:tcW w:type="dxa" w:w="27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4 distinct values</w:t>
            </w:r>
          </w:p>
        </w:tc>
      </w:tr>
      <w:tr>
        <w:tc>
          <w:tcPr>
            <w:tcW w:type="dxa" w:w="2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customer_sustainability_priority</w:t>
            </w:r>
          </w:p>
        </w:tc>
        <w:tc>
          <w:tcPr>
            <w:tcW w:type="dxa" w:w="17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int64</w:t>
            </w:r>
          </w:p>
        </w:tc>
        <w:tc>
          <w:tcPr>
            <w:tcW w:type="dxa" w:w="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w:t>
            </w:r>
          </w:p>
        </w:tc>
        <w:tc>
          <w:tcPr>
            <w:tcW w:type="dxa" w:w="1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5</w:t>
            </w:r>
          </w:p>
        </w:tc>
        <w:tc>
          <w:tcPr>
            <w:tcW w:type="dxa" w:w="27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 to 5</w:t>
            </w:r>
          </w:p>
        </w:tc>
      </w:tr>
      <w:tr>
        <w:tc>
          <w:tcPr>
            <w:tcW w:type="dxa" w:w="2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joined_year</w:t>
            </w:r>
          </w:p>
        </w:tc>
        <w:tc>
          <w:tcPr>
            <w:tcW w:type="dxa" w:w="17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int64</w:t>
            </w:r>
          </w:p>
        </w:tc>
        <w:tc>
          <w:tcPr>
            <w:tcW w:type="dxa" w:w="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w:t>
            </w:r>
          </w:p>
        </w:tc>
        <w:tc>
          <w:tcPr>
            <w:tcW w:type="dxa" w:w="1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4</w:t>
            </w:r>
          </w:p>
        </w:tc>
        <w:tc>
          <w:tcPr>
            <w:tcW w:type="dxa" w:w="27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2021 to 2024</w:t>
            </w:r>
          </w:p>
        </w:tc>
      </w:tr>
    </w:tbl>
    <w:p>
      <w:pPr>
        <w:spacing w:after="200" w:before="60"/>
        <w:jc w:val="center"/>
      </w:pPr>
      <w:r>
        <w:rPr>
          <w:rFonts w:ascii="Calibri" w:cs="Calibri" w:eastAsia="Calibri" w:hAnsi="Calibri"/>
          <w:i/>
          <w:iCs/>
          <w:color w:val="5B6770"/>
          <w:sz w:val="19"/>
          <w:szCs w:val="19"/>
        </w:rPr>
        <w:t xml:space="preserve">Table 1. Column profile of the raw dataset.</w:t>
      </w:r>
    </w:p>
    <w:p>
      <w:pPr>
        <w:pStyle w:val="Heading2"/>
        <w:spacing w:after="100" w:before="240"/>
        <w:outlineLvl w:val="1"/>
      </w:pPr>
      <w:r>
        <w:rPr>
          <w:rFonts w:ascii="Calibri" w:cs="Calibri" w:eastAsia="Calibri" w:hAnsi="Calibri"/>
          <w:b/>
          <w:bCs/>
          <w:color w:val="2B3A42"/>
          <w:sz w:val="26"/>
          <w:szCs w:val="26"/>
        </w:rPr>
        <w:t xml:space="preserve">Missing-value summary</w:t>
      </w:r>
    </w:p>
    <w:p>
      <w:pPr>
        <w:spacing w:after="120" w:line="276"/>
      </w:pPr>
      <w:r>
        <w:rPr>
          <w:rFonts w:ascii="Calibri" w:cs="Calibri" w:eastAsia="Calibri" w:hAnsi="Calibri"/>
          <w:sz w:val="22"/>
          <w:szCs w:val="22"/>
        </w:rPr>
        <w:t xml:space="preserve">Only membership_level contains missing values: 50 of 1,500 rows (3.33%). The other four columns are fully populated.</w:t>
      </w:r>
    </w:p>
    <w:p>
      <w:pPr>
        <w:pStyle w:val="Heading2"/>
        <w:spacing w:after="100" w:before="240"/>
        <w:outlineLvl w:val="1"/>
      </w:pPr>
      <w:r>
        <w:rPr>
          <w:rFonts w:ascii="Calibri" w:cs="Calibri" w:eastAsia="Calibri" w:hAnsi="Calibri"/>
          <w:b/>
          <w:bCs/>
          <w:color w:val="2B3A42"/>
          <w:sz w:val="26"/>
          <w:szCs w:val="26"/>
        </w:rPr>
        <w:t xml:space="preserve">Data-quality observations</w:t>
      </w:r>
    </w:p>
    <w:p>
      <w:pPr>
        <w:pStyle w:val="ListParagraph"/>
        <w:numPr>
          <w:ilvl w:val="0"/>
          <w:numId w:val="2"/>
        </w:numPr>
        <w:spacing w:after="70" w:line="264"/>
      </w:pPr>
      <w:r>
        <w:rPr>
          <w:rFonts w:ascii="Calibri" w:cs="Calibri" w:eastAsia="Calibri" w:hAnsi="Calibri"/>
          <w:sz w:val="22"/>
          <w:szCs w:val="22"/>
        </w:rPr>
        <w:t xml:space="preserve">No fully duplicated rows and no duplicated customer_id values.</w:t>
      </w:r>
    </w:p>
    <w:p>
      <w:pPr>
        <w:pStyle w:val="ListParagraph"/>
        <w:numPr>
          <w:ilvl w:val="0"/>
          <w:numId w:val="2"/>
        </w:numPr>
        <w:spacing w:after="70" w:line="264"/>
      </w:pPr>
      <w:r>
        <w:rPr>
          <w:rFonts w:ascii="Calibri" w:cs="Calibri" w:eastAsia="Calibri" w:hAnsi="Calibri"/>
          <w:sz w:val="22"/>
          <w:szCs w:val="22"/>
        </w:rPr>
        <w:t xml:space="preserve">customer_id follows the pattern CUST_#### and runs contiguously from CUST_0001 to CUST_1500.</w:t>
      </w:r>
    </w:p>
    <w:p>
      <w:pPr>
        <w:pStyle w:val="ListParagraph"/>
        <w:numPr>
          <w:ilvl w:val="0"/>
          <w:numId w:val="2"/>
        </w:numPr>
        <w:spacing w:after="70" w:line="264"/>
      </w:pPr>
      <w:r>
        <w:rPr>
          <w:rFonts w:ascii="Calibri" w:cs="Calibri" w:eastAsia="Calibri" w:hAnsi="Calibri"/>
          <w:sz w:val="22"/>
          <w:szCs w:val="22"/>
        </w:rPr>
        <w:t xml:space="preserve">region has five clean values with no whitespace or case variants; membership_level has four valid labels plus missing entries.</w:t>
      </w:r>
    </w:p>
    <w:p>
      <w:pPr>
        <w:pStyle w:val="ListParagraph"/>
        <w:numPr>
          <w:ilvl w:val="0"/>
          <w:numId w:val="2"/>
        </w:numPr>
        <w:spacing w:after="70" w:line="264"/>
      </w:pPr>
      <w:r>
        <w:rPr>
          <w:rFonts w:ascii="Calibri" w:cs="Calibri" w:eastAsia="Calibri" w:hAnsi="Calibri"/>
          <w:sz w:val="22"/>
          <w:szCs w:val="22"/>
        </w:rPr>
        <w:t xml:space="preserve">customer_sustainability_priority contains integers 1 to 5 only; joined_year ranges from 2021 to 2024 with no future or impossible years.</w:t>
      </w:r>
    </w:p>
    <w:p>
      <w:pPr>
        <w:pStyle w:val="ListParagraph"/>
        <w:numPr>
          <w:ilvl w:val="0"/>
          <w:numId w:val="2"/>
        </w:numPr>
        <w:spacing w:after="70" w:line="264"/>
      </w:pPr>
      <w:r>
        <w:rPr>
          <w:rFonts w:ascii="Calibri" w:cs="Calibri" w:eastAsia="Calibri" w:hAnsi="Calibri"/>
          <w:sz w:val="22"/>
          <w:szCs w:val="22"/>
        </w:rPr>
        <w:t xml:space="preserve">No negative values exist in any numeric column.</w:t>
      </w:r>
    </w:p>
    <w:p>
      <w:pPr>
        <w:pStyle w:val="Heading1"/>
        <w:spacing w:after="160" w:before="360"/>
        <w:outlineLvl w:val="0"/>
      </w:pPr>
      <w:r>
        <w:rPr>
          <w:rFonts w:ascii="Calibri" w:cs="Calibri" w:eastAsia="Calibri" w:hAnsi="Calibri"/>
          <w:b/>
          <w:bCs/>
          <w:color w:val="1F6F5C"/>
          <w:sz w:val="32"/>
          <w:szCs w:val="32"/>
        </w:rPr>
        <w:t xml:space="preserve">4. Data Cleaning &amp; Preparation</w:t>
      </w:r>
    </w:p>
    <w:p>
      <w:pPr>
        <w:pStyle w:val="Heading2"/>
        <w:spacing w:after="100" w:before="240"/>
        <w:outlineLvl w:val="1"/>
      </w:pPr>
      <w:r>
        <w:rPr>
          <w:rFonts w:ascii="Calibri" w:cs="Calibri" w:eastAsia="Calibri" w:hAnsi="Calibri"/>
          <w:b/>
          <w:bCs/>
          <w:color w:val="2B3A42"/>
          <w:sz w:val="26"/>
          <w:szCs w:val="26"/>
        </w:rPr>
        <w:t xml:space="preserve">Validation checks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0"/>
        <w:gridCol w:w="2026"/>
      </w:tblGrid>
      <w:tr>
        <w:trPr>
          <w:tblHeader/>
        </w:trPr>
        <w:tc>
          <w:tcPr>
            <w:tcW w:type="dxa" w:w="70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Check</w:t>
            </w:r>
          </w:p>
        </w:tc>
        <w:tc>
          <w:tcPr>
            <w:tcW w:type="dxa" w:w="2026"/>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Result</w:t>
            </w:r>
          </w:p>
        </w:tc>
      </w:tr>
      <w:tr>
        <w:tc>
          <w:tcPr>
            <w:tcW w:type="dxa" w:w="7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customer_id matches pattern CUST_####</w:t>
            </w:r>
          </w:p>
        </w:tc>
        <w:tc>
          <w:tcPr>
            <w:tcW w:type="dxa" w:w="20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Passed</w:t>
            </w:r>
          </w:p>
        </w:tc>
      </w:tr>
      <w:tr>
        <w:tc>
          <w:tcPr>
            <w:tcW w:type="dxa" w:w="70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customer_id is unique</w:t>
            </w:r>
          </w:p>
        </w:tc>
        <w:tc>
          <w:tcPr>
            <w:tcW w:type="dxa" w:w="20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Passed</w:t>
            </w:r>
          </w:p>
        </w:tc>
      </w:tr>
      <w:tr>
        <w:tc>
          <w:tcPr>
            <w:tcW w:type="dxa" w:w="7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customer_id has no gaps (contiguous 1..N)</w:t>
            </w:r>
          </w:p>
        </w:tc>
        <w:tc>
          <w:tcPr>
            <w:tcW w:type="dxa" w:w="20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Passed</w:t>
            </w:r>
          </w:p>
        </w:tc>
      </w:tr>
      <w:tr>
        <w:tc>
          <w:tcPr>
            <w:tcW w:type="dxa" w:w="70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region has no stray whitespace</w:t>
            </w:r>
          </w:p>
        </w:tc>
        <w:tc>
          <w:tcPr>
            <w:tcW w:type="dxa" w:w="20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Passed</w:t>
            </w:r>
          </w:p>
        </w:tc>
      </w:tr>
      <w:tr>
        <w:tc>
          <w:tcPr>
            <w:tcW w:type="dxa" w:w="7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region has no case-variant duplicates</w:t>
            </w:r>
          </w:p>
        </w:tc>
        <w:tc>
          <w:tcPr>
            <w:tcW w:type="dxa" w:w="20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Passed</w:t>
            </w:r>
          </w:p>
        </w:tc>
      </w:tr>
      <w:tr>
        <w:tc>
          <w:tcPr>
            <w:tcW w:type="dxa" w:w="70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membership_level (non-null) only uses expected labels</w:t>
            </w:r>
          </w:p>
        </w:tc>
        <w:tc>
          <w:tcPr>
            <w:tcW w:type="dxa" w:w="20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Passed</w:t>
            </w:r>
          </w:p>
        </w:tc>
      </w:tr>
      <w:tr>
        <w:tc>
          <w:tcPr>
            <w:tcW w:type="dxa" w:w="7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target is integer-valued and within 1-5</w:t>
            </w:r>
          </w:p>
        </w:tc>
        <w:tc>
          <w:tcPr>
            <w:tcW w:type="dxa" w:w="20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Passed</w:t>
            </w:r>
          </w:p>
        </w:tc>
      </w:tr>
      <w:tr>
        <w:tc>
          <w:tcPr>
            <w:tcW w:type="dxa" w:w="70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joined_year has no future years (&lt;= 2026)</w:t>
            </w:r>
          </w:p>
        </w:tc>
        <w:tc>
          <w:tcPr>
            <w:tcW w:type="dxa" w:w="20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Passed</w:t>
            </w:r>
          </w:p>
        </w:tc>
      </w:tr>
      <w:tr>
        <w:tc>
          <w:tcPr>
            <w:tcW w:type="dxa" w:w="7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no negative values in numeric columns</w:t>
            </w:r>
          </w:p>
        </w:tc>
        <w:tc>
          <w:tcPr>
            <w:tcW w:type="dxa" w:w="20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Passed</w:t>
            </w:r>
          </w:p>
        </w:tc>
      </w:tr>
    </w:tbl>
    <w:p>
      <w:pPr>
        <w:spacing w:after="200" w:before="60"/>
        <w:jc w:val="center"/>
      </w:pPr>
      <w:r>
        <w:rPr>
          <w:rFonts w:ascii="Calibri" w:cs="Calibri" w:eastAsia="Calibri" w:hAnsi="Calibri"/>
          <w:i/>
          <w:iCs/>
          <w:color w:val="5B6770"/>
          <w:sz w:val="19"/>
          <w:szCs w:val="19"/>
        </w:rPr>
        <w:t xml:space="preserve">Table 2. Validation checks run against the raw data.</w:t>
      </w:r>
    </w:p>
    <w:p>
      <w:pPr>
        <w:pStyle w:val="Heading2"/>
        <w:spacing w:after="100" w:before="240"/>
        <w:outlineLvl w:val="1"/>
      </w:pPr>
      <w:r>
        <w:rPr>
          <w:rFonts w:ascii="Calibri" w:cs="Calibri" w:eastAsia="Calibri" w:hAnsi="Calibri"/>
          <w:b/>
          <w:bCs/>
          <w:color w:val="2B3A42"/>
          <w:sz w:val="26"/>
          <w:szCs w:val="26"/>
        </w:rPr>
        <w:t xml:space="preserve">Treatment of missing membership_level</w:t>
      </w:r>
    </w:p>
    <w:p>
      <w:pPr>
        <w:spacing w:after="120" w:line="276"/>
      </w:pPr>
      <w:r>
        <w:rPr>
          <w:rFonts w:ascii="Calibri" w:cs="Calibri" w:eastAsia="Calibri" w:hAnsi="Calibri"/>
          <w:sz w:val="22"/>
          <w:szCs w:val="22"/>
        </w:rPr>
        <w:t xml:space="preserve">Before choosing a treatment, missingness was tested. Missing membership status was not related to region (chi-square p = 0.722), joining year (p = 0.734) or sustainability priority (Mann-Whitney p = 0.571); mean priority was 3.12 for customers with missing membership versus 3.00 for others.</w:t>
      </w:r>
    </w:p>
    <w:p>
      <w:pPr>
        <w:spacing w:after="120" w:line="276"/>
      </w:pPr>
      <w:r>
        <w:rPr>
          <w:rFonts w:ascii="Calibri" w:cs="Calibri" w:eastAsia="Calibri" w:hAnsi="Calibri"/>
          <w:b/>
          <w:bCs/>
          <w:sz w:val="22"/>
          <w:szCs w:val="22"/>
        </w:rPr>
        <w:t xml:space="preserve">Decision: keep an explicit "Unknown" category. </w:t>
      </w:r>
      <w:r>
        <w:rPr>
          <w:rFonts w:ascii="Calibri" w:cs="Calibri" w:eastAsia="Calibri" w:hAnsi="Calibri"/>
          <w:sz w:val="22"/>
          <w:szCs w:val="22"/>
        </w:rPr>
        <w:t xml:space="preserve">The variable is categorical, so mean or median imputation does not apply. Filling with the most common level (Standard) would assign a tier to 50 customers whose tier is genuinely unknown, and dropping the rows would discard 3.3% of customers with no benefit. Because the tests show no detectable pattern in the missingness, an Unknown bucket does not hide a systematic issue, while keeping the uncertainty visible. Results for this group are reported with their sample size and interpreted cautiously.</w:t>
      </w:r>
    </w:p>
    <w:p>
      <w:pPr>
        <w:pStyle w:val="Heading2"/>
        <w:spacing w:after="100" w:before="240"/>
        <w:outlineLvl w:val="1"/>
      </w:pPr>
      <w:r>
        <w:rPr>
          <w:rFonts w:ascii="Calibri" w:cs="Calibri" w:eastAsia="Calibri" w:hAnsi="Calibri"/>
          <w:b/>
          <w:bCs/>
          <w:color w:val="2B3A42"/>
          <w:sz w:val="26"/>
          <w:szCs w:val="26"/>
        </w:rPr>
        <w:t xml:space="preserve">Type corrections and entity-level architecture</w:t>
      </w:r>
    </w:p>
    <w:p>
      <w:pPr>
        <w:pStyle w:val="ListParagraph"/>
        <w:numPr>
          <w:ilvl w:val="0"/>
          <w:numId w:val="2"/>
        </w:numPr>
        <w:spacing w:after="70" w:line="264"/>
      </w:pPr>
      <w:r>
        <w:rPr>
          <w:rFonts w:ascii="Calibri" w:cs="Calibri" w:eastAsia="Calibri" w:hAnsi="Calibri"/>
          <w:sz w:val="22"/>
          <w:szCs w:val="22"/>
        </w:rPr>
        <w:t xml:space="preserve">customer_id was stored as a string identifier; region and membership_level were converted to categorical types (membership_level as ordered: Standard, Silver, Gold, Platinum, Unknown); the target and joined_year were confirmed as integers.</w:t>
      </w:r>
    </w:p>
    <w:p>
      <w:pPr>
        <w:pStyle w:val="ListParagraph"/>
        <w:numPr>
          <w:ilvl w:val="0"/>
          <w:numId w:val="2"/>
        </w:numPr>
        <w:spacing w:after="70" w:line="264"/>
      </w:pPr>
      <w:r>
        <w:rPr>
          <w:rFonts w:ascii="Calibri" w:cs="Calibri" w:eastAsia="Calibri" w:hAnsi="Calibri"/>
          <w:sz w:val="22"/>
          <w:szCs w:val="22"/>
        </w:rPr>
        <w:t xml:space="preserve">customer_id is unique (1,500 IDs for 1,500 rows). The dataset is therefore already aggregated at the customer (entity) level and no further aggregation or transformation was performed.</w:t>
      </w:r>
    </w:p>
    <w:p>
      <w:pPr>
        <w:pStyle w:val="ListParagraph"/>
        <w:numPr>
          <w:ilvl w:val="0"/>
          <w:numId w:val="2"/>
        </w:numPr>
        <w:spacing w:after="70" w:line="264"/>
      </w:pPr>
      <w:r>
        <w:rPr>
          <w:rFonts w:ascii="Calibri" w:cs="Calibri" w:eastAsia="Calibri" w:hAnsi="Calibri"/>
          <w:sz w:val="22"/>
          <w:szCs w:val="22"/>
        </w:rPr>
        <w:t xml:space="preserve">After cleaning: 0 missing values and 0 duplicates.</w:t>
      </w:r>
    </w:p>
    <w:p>
      <w:pPr>
        <w:pStyle w:val="Heading1"/>
        <w:spacing w:after="160" w:before="360"/>
        <w:outlineLvl w:val="0"/>
      </w:pPr>
      <w:r>
        <w:rPr>
          <w:rFonts w:ascii="Calibri" w:cs="Calibri" w:eastAsia="Calibri" w:hAnsi="Calibri"/>
          <w:b/>
          <w:bCs/>
          <w:color w:val="1F6F5C"/>
          <w:sz w:val="32"/>
          <w:szCs w:val="32"/>
        </w:rPr>
        <w:t xml:space="preserve">5. Exploratory Data Analysis</w:t>
      </w:r>
    </w:p>
    <w:p>
      <w:pPr>
        <w:spacing w:after="120" w:line="276"/>
      </w:pPr>
      <w:r>
        <w:rPr>
          <w:rFonts w:ascii="Calibri" w:cs="Calibri" w:eastAsia="Calibri" w:hAnsi="Calibri"/>
          <w:sz w:val="22"/>
          <w:szCs w:val="22"/>
        </w:rPr>
        <w:t xml:space="preserve">Five core visualizations describe the customer base and its sustainability priority. Observations quote values computed from the data; they describe associations, not causes.</w:t>
      </w:r>
    </w:p>
    <w:p>
      <w:pPr>
        <w:pStyle w:val="Heading2"/>
        <w:spacing w:after="100" w:before="240"/>
        <w:outlineLvl w:val="1"/>
      </w:pPr>
      <w:r>
        <w:rPr>
          <w:rFonts w:ascii="Calibri" w:cs="Calibri" w:eastAsia="Calibri" w:hAnsi="Calibri"/>
          <w:b/>
          <w:bCs/>
          <w:color w:val="2B3A42"/>
          <w:sz w:val="26"/>
          <w:szCs w:val="26"/>
        </w:rPr>
        <w:t xml:space="preserve">5.1 Customer distribution by region</w:t>
      </w:r>
    </w:p>
    <w:p>
      <w:pPr>
        <w:keepNext/>
        <w:spacing w:after="40" w:before="120"/>
        <w:jc w:val="center"/>
      </w:pPr>
      <w:r>
        <w:drawing>
          <wp:inline distT="0" distB="0" distL="0" distR="0">
            <wp:extent cx="5715000" cy="2867025"/>
            <wp:effectExtent t="0" r="0" b="0" l="0"/>
            <wp:docPr id="1" name="viz1_region" descr="Customer base by region: number and share of customers" title="Customer base by region: number and share of custom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67025"/>
                    </a:xfrm>
                    <a:prstGeom prst="rect">
                      <a:avLst/>
                    </a:prstGeom>
                  </pic:spPr>
                </pic:pic>
              </a:graphicData>
            </a:graphic>
          </wp:inline>
        </w:drawing>
      </w:r>
    </w:p>
    <w:p>
      <w:pPr>
        <w:spacing w:after="200" w:before="60"/>
        <w:jc w:val="center"/>
      </w:pPr>
      <w:r>
        <w:rPr>
          <w:rFonts w:ascii="Calibri" w:cs="Calibri" w:eastAsia="Calibri" w:hAnsi="Calibri"/>
          <w:i/>
          <w:iCs/>
          <w:color w:val="5B6770"/>
          <w:sz w:val="19"/>
          <w:szCs w:val="19"/>
        </w:rPr>
        <w:t xml:space="preserve">Figure 1. Customer base by region: number and share of customers</w:t>
      </w:r>
    </w:p>
    <w:p>
      <w:pPr>
        <w:pStyle w:val="ListParagraph"/>
        <w:numPr>
          <w:ilvl w:val="0"/>
          <w:numId w:val="2"/>
        </w:numPr>
        <w:spacing w:after="70" w:line="264"/>
      </w:pPr>
      <w:r>
        <w:rPr>
          <w:rFonts w:ascii="Calibri" w:cs="Calibri" w:eastAsia="Calibri" w:hAnsi="Calibri"/>
          <w:sz w:val="22"/>
          <w:szCs w:val="22"/>
        </w:rPr>
        <w:t xml:space="preserve">Latin America is the most represented region with 323 customers (21.5%); North America is the smallest with 273 (18.2%).</w:t>
      </w:r>
    </w:p>
    <w:p>
      <w:pPr>
        <w:pStyle w:val="ListParagraph"/>
        <w:numPr>
          <w:ilvl w:val="0"/>
          <w:numId w:val="2"/>
        </w:numPr>
        <w:spacing w:after="70" w:line="264"/>
      </w:pPr>
      <w:r>
        <w:rPr>
          <w:rFonts w:ascii="Calibri" w:cs="Calibri" w:eastAsia="Calibri" w:hAnsi="Calibri"/>
          <w:sz w:val="22"/>
          <w:szCs w:val="22"/>
        </w:rPr>
        <w:t xml:space="preserve">The gap between the largest and smallest region is 50 customers; an even split would be 300 per region, so the base is fairly evenly spread.</w:t>
      </w:r>
    </w:p>
    <w:p>
      <w:pPr>
        <w:pStyle w:val="Heading2"/>
        <w:spacing w:after="100" w:before="240"/>
        <w:outlineLvl w:val="1"/>
      </w:pPr>
      <w:r>
        <w:rPr>
          <w:rFonts w:ascii="Calibri" w:cs="Calibri" w:eastAsia="Calibri" w:hAnsi="Calibri"/>
          <w:b/>
          <w:bCs/>
          <w:color w:val="2B3A42"/>
          <w:sz w:val="26"/>
          <w:szCs w:val="26"/>
        </w:rPr>
        <w:t xml:space="preserve">5.2 Membership-level distribution</w:t>
      </w:r>
    </w:p>
    <w:p>
      <w:pPr>
        <w:keepNext/>
        <w:spacing w:after="40" w:before="120"/>
        <w:jc w:val="center"/>
      </w:pPr>
      <w:r>
        <w:drawing>
          <wp:inline distT="0" distB="0" distL="0" distR="0">
            <wp:extent cx="5715000" cy="2867025"/>
            <wp:effectExtent t="0" r="0" b="0" l="0"/>
            <wp:docPr id="1" name="viz2_membership" descr="Membership-level mix of the customer base (grey = level not recorded)" title="Membership-level mix of the customer base (grey = level not recor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867025"/>
                    </a:xfrm>
                    <a:prstGeom prst="rect">
                      <a:avLst/>
                    </a:prstGeom>
                  </pic:spPr>
                </pic:pic>
              </a:graphicData>
            </a:graphic>
          </wp:inline>
        </w:drawing>
      </w:r>
    </w:p>
    <w:p>
      <w:pPr>
        <w:spacing w:after="200" w:before="60"/>
        <w:jc w:val="center"/>
      </w:pPr>
      <w:r>
        <w:rPr>
          <w:rFonts w:ascii="Calibri" w:cs="Calibri" w:eastAsia="Calibri" w:hAnsi="Calibri"/>
          <w:i/>
          <w:iCs/>
          <w:color w:val="5B6770"/>
          <w:sz w:val="19"/>
          <w:szCs w:val="19"/>
        </w:rPr>
        <w:t xml:space="preserve">Figure 2. Membership-level mix of the customer base (grey = level not recorded)</w:t>
      </w:r>
    </w:p>
    <w:p>
      <w:pPr>
        <w:pStyle w:val="ListParagraph"/>
        <w:numPr>
          <w:ilvl w:val="0"/>
          <w:numId w:val="2"/>
        </w:numPr>
        <w:spacing w:after="70" w:line="264"/>
      </w:pPr>
      <w:r>
        <w:rPr>
          <w:rFonts w:ascii="Calibri" w:cs="Calibri" w:eastAsia="Calibri" w:hAnsi="Calibri"/>
          <w:sz w:val="22"/>
          <w:szCs w:val="22"/>
        </w:rPr>
        <w:t xml:space="preserve">Standard is the most common level: 695 customers (46.3%). Silver holds 468 (31.2%), Gold 216 (14.4%) and Platinum 71 (4.7%).</w:t>
      </w:r>
    </w:p>
    <w:p>
      <w:pPr>
        <w:pStyle w:val="ListParagraph"/>
        <w:numPr>
          <w:ilvl w:val="0"/>
          <w:numId w:val="2"/>
        </w:numPr>
        <w:spacing w:after="70" w:line="264"/>
      </w:pPr>
      <w:r>
        <w:rPr>
          <w:rFonts w:ascii="Calibri" w:cs="Calibri" w:eastAsia="Calibri" w:hAnsi="Calibri"/>
          <w:sz w:val="22"/>
          <w:szCs w:val="22"/>
        </w:rPr>
        <w:t xml:space="preserve">Platinum is the smallest recorded tier, so any Platinum-specific result rests on only 71 customers. 50 customers (3.3%) have no recorded level.</w:t>
      </w:r>
    </w:p>
    <w:p>
      <w:pPr>
        <w:pStyle w:val="Heading2"/>
        <w:spacing w:after="100" w:before="240"/>
        <w:outlineLvl w:val="1"/>
      </w:pPr>
      <w:r>
        <w:rPr>
          <w:rFonts w:ascii="Calibri" w:cs="Calibri" w:eastAsia="Calibri" w:hAnsi="Calibri"/>
          <w:b/>
          <w:bCs/>
          <w:color w:val="2B3A42"/>
          <w:sz w:val="26"/>
          <w:szCs w:val="26"/>
        </w:rPr>
        <w:t xml:space="preserve">5.3 Sustainability priority distribution</w:t>
      </w:r>
    </w:p>
    <w:p>
      <w:pPr>
        <w:keepNext/>
        <w:spacing w:after="40" w:before="120"/>
        <w:jc w:val="center"/>
      </w:pPr>
      <w:r>
        <w:drawing>
          <wp:inline distT="0" distB="0" distL="0" distR="0">
            <wp:extent cx="5715000" cy="2962275"/>
            <wp:effectExtent t="0" r="0" b="0" l="0"/>
            <wp:docPr id="1" name="viz3_priority" descr="Distribution of customer sustainability priority (1 = lowest, 5 = highest)" title="Distribution of customer sustainability priority (1 = lowest, 5 = high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962275"/>
                    </a:xfrm>
                    <a:prstGeom prst="rect">
                      <a:avLst/>
                    </a:prstGeom>
                  </pic:spPr>
                </pic:pic>
              </a:graphicData>
            </a:graphic>
          </wp:inline>
        </w:drawing>
      </w:r>
    </w:p>
    <w:p>
      <w:pPr>
        <w:spacing w:after="200" w:before="60"/>
        <w:jc w:val="center"/>
      </w:pPr>
      <w:r>
        <w:rPr>
          <w:rFonts w:ascii="Calibri" w:cs="Calibri" w:eastAsia="Calibri" w:hAnsi="Calibri"/>
          <w:i/>
          <w:iCs/>
          <w:color w:val="5B6770"/>
          <w:sz w:val="19"/>
          <w:szCs w:val="19"/>
        </w:rPr>
        <w:t xml:space="preserve">Figure 3. Distribution of customer sustainability priority (1 = lowest, 5 = highest)</w:t>
      </w:r>
    </w:p>
    <w:p>
      <w:pPr>
        <w:pStyle w:val="ListParagraph"/>
        <w:numPr>
          <w:ilvl w:val="0"/>
          <w:numId w:val="2"/>
        </w:numPr>
        <w:spacing w:after="70" w:line="264"/>
      </w:pPr>
      <w:r>
        <w:rPr>
          <w:rFonts w:ascii="Calibri" w:cs="Calibri" w:eastAsia="Calibri" w:hAnsi="Calibri"/>
          <w:sz w:val="22"/>
          <w:szCs w:val="22"/>
        </w:rPr>
        <w:t xml:space="preserve">The average priority is 3.01 (median 3, standard deviation 1.44).</w:t>
      </w:r>
    </w:p>
    <w:p>
      <w:pPr>
        <w:pStyle w:val="ListParagraph"/>
        <w:numPr>
          <w:ilvl w:val="0"/>
          <w:numId w:val="2"/>
        </w:numPr>
        <w:spacing w:after="70" w:line="264"/>
      </w:pPr>
      <w:r>
        <w:rPr>
          <w:rFonts w:ascii="Calibri" w:cs="Calibri" w:eastAsia="Calibri" w:hAnsi="Calibri"/>
          <w:sz w:val="22"/>
          <w:szCs w:val="22"/>
        </w:rPr>
        <w:t xml:space="preserve">Level 5 is most common (318 customers, 21.2%) and level 2 least common (280, 18.7%). The five levels are close to evenly populated; there is no dominant class.</w:t>
      </w:r>
    </w:p>
    <w:p>
      <w:pPr>
        <w:pStyle w:val="ListParagraph"/>
        <w:numPr>
          <w:ilvl w:val="0"/>
          <w:numId w:val="2"/>
        </w:numPr>
        <w:spacing w:after="70" w:line="264"/>
      </w:pPr>
      <w:r>
        <w:rPr>
          <w:rFonts w:ascii="Calibri" w:cs="Calibri" w:eastAsia="Calibri" w:hAnsi="Calibri"/>
          <w:sz w:val="22"/>
          <w:szCs w:val="22"/>
        </w:rPr>
        <w:t xml:space="preserve">High priority (4-5): 601 customers (40.1%). Low priority (1-2): 595 customers (39.7%).</w:t>
      </w:r>
    </w:p>
    <w:p>
      <w:pPr>
        <w:pStyle w:val="Heading2"/>
        <w:spacing w:after="100" w:before="240"/>
        <w:outlineLvl w:val="1"/>
      </w:pPr>
      <w:r>
        <w:rPr>
          <w:rFonts w:ascii="Calibri" w:cs="Calibri" w:eastAsia="Calibri" w:hAnsi="Calibri"/>
          <w:b/>
          <w:bCs/>
          <w:color w:val="2B3A42"/>
          <w:sz w:val="26"/>
          <w:szCs w:val="26"/>
        </w:rPr>
        <w:t xml:space="preserve">5.4 Joining-year trend</w:t>
      </w:r>
    </w:p>
    <w:p>
      <w:pPr>
        <w:keepNext/>
        <w:spacing w:after="40" w:before="120"/>
        <w:jc w:val="center"/>
      </w:pPr>
      <w:r>
        <w:drawing>
          <wp:inline distT="0" distB="0" distL="0" distR="0">
            <wp:extent cx="5715000" cy="2066925"/>
            <wp:effectExtent t="0" r="0" b="0" l="0"/>
            <wp:docPr id="1" name="viz4_joined_year" descr="Customers acquired per joining year and membership mix within each cohort" title="Customers acquired per joining year and membership mix within each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066925"/>
                    </a:xfrm>
                    <a:prstGeom prst="rect">
                      <a:avLst/>
                    </a:prstGeom>
                  </pic:spPr>
                </pic:pic>
              </a:graphicData>
            </a:graphic>
          </wp:inline>
        </w:drawing>
      </w:r>
    </w:p>
    <w:p>
      <w:pPr>
        <w:spacing w:after="200" w:before="60"/>
        <w:jc w:val="center"/>
      </w:pPr>
      <w:r>
        <w:rPr>
          <w:rFonts w:ascii="Calibri" w:cs="Calibri" w:eastAsia="Calibri" w:hAnsi="Calibri"/>
          <w:i/>
          <w:iCs/>
          <w:color w:val="5B6770"/>
          <w:sz w:val="19"/>
          <w:szCs w:val="19"/>
        </w:rPr>
        <w:t xml:space="preserve">Figure 4. Customers acquired per joining year and membership mix within each cohort</w:t>
      </w:r>
    </w:p>
    <w:p>
      <w:pPr>
        <w:pStyle w:val="ListParagraph"/>
        <w:numPr>
          <w:ilvl w:val="0"/>
          <w:numId w:val="2"/>
        </w:numPr>
        <w:spacing w:after="70" w:line="264"/>
      </w:pPr>
      <w:r>
        <w:rPr>
          <w:rFonts w:ascii="Calibri" w:cs="Calibri" w:eastAsia="Calibri" w:hAnsi="Calibri"/>
          <w:sz w:val="22"/>
          <w:szCs w:val="22"/>
        </w:rPr>
        <w:t xml:space="preserve">Yearly intake: 2021: 373, 2022: 375, 2023: 372, 2024: 380. The largest year is only 2.2% above the smallest, so acquisition is essentially flat.</w:t>
      </w:r>
    </w:p>
    <w:p>
      <w:pPr>
        <w:pStyle w:val="ListParagraph"/>
        <w:numPr>
          <w:ilvl w:val="0"/>
          <w:numId w:val="2"/>
        </w:numPr>
        <w:spacing w:after="70" w:line="264"/>
      </w:pPr>
      <w:r>
        <w:rPr>
          <w:rFonts w:ascii="Calibri" w:cs="Calibri" w:eastAsia="Calibri" w:hAnsi="Calibri"/>
          <w:sz w:val="22"/>
          <w:szCs w:val="22"/>
        </w:rPr>
        <w:t xml:space="preserve">The membership mix is broadly stable across cohorts. Cohort size is not retention: the dataset contains no churn or activity information.</w:t>
      </w:r>
    </w:p>
    <w:p>
      <w:pPr>
        <w:pStyle w:val="Heading2"/>
        <w:spacing w:after="100" w:before="240"/>
        <w:outlineLvl w:val="1"/>
      </w:pPr>
      <w:r>
        <w:rPr>
          <w:rFonts w:ascii="Calibri" w:cs="Calibri" w:eastAsia="Calibri" w:hAnsi="Calibri"/>
          <w:b/>
          <w:bCs/>
          <w:color w:val="2B3A42"/>
          <w:sz w:val="26"/>
          <w:szCs w:val="26"/>
        </w:rPr>
        <w:t xml:space="preserve">5.5 Sustainability priority by business segment</w:t>
      </w:r>
    </w:p>
    <w:p>
      <w:pPr>
        <w:spacing w:after="120" w:line="276"/>
      </w:pPr>
      <w:r>
        <w:rPr>
          <w:rFonts w:ascii="Calibri" w:cs="Calibri" w:eastAsia="Calibri" w:hAnsi="Calibri"/>
          <w:sz w:val="22"/>
          <w:szCs w:val="22"/>
        </w:rPr>
        <w:t xml:space="preserve">Because the target has only five discrete values, box plots collapse onto integers and reveal little. Each panel instead shows the mean priority with a 95% confidence interval against the overall mean. Where an interval overlaps the reference line, the data do not show that the segment differs from the customer base as a whole.</w:t>
      </w:r>
    </w:p>
    <w:p>
      <w:pPr>
        <w:keepNext/>
        <w:spacing w:after="40" w:before="120"/>
        <w:jc w:val="center"/>
      </w:pPr>
      <w:r>
        <w:drawing>
          <wp:inline distT="0" distB="0" distL="0" distR="0">
            <wp:extent cx="5810250" cy="1924050"/>
            <wp:effectExtent t="0" r="0" b="0" l="0"/>
            <wp:docPr id="1" name="viz5a_priority_by_segment" descr="Average sustainability priority by region, membership level and joining year" title="Average sustainability priority by region, membership level and joining ye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10250" cy="1924050"/>
                    </a:xfrm>
                    <a:prstGeom prst="rect">
                      <a:avLst/>
                    </a:prstGeom>
                  </pic:spPr>
                </pic:pic>
              </a:graphicData>
            </a:graphic>
          </wp:inline>
        </w:drawing>
      </w:r>
    </w:p>
    <w:p>
      <w:pPr>
        <w:spacing w:after="200" w:before="60"/>
        <w:jc w:val="center"/>
      </w:pPr>
      <w:r>
        <w:rPr>
          <w:rFonts w:ascii="Calibri" w:cs="Calibri" w:eastAsia="Calibri" w:hAnsi="Calibri"/>
          <w:i/>
          <w:iCs/>
          <w:color w:val="5B6770"/>
          <w:sz w:val="19"/>
          <w:szCs w:val="19"/>
        </w:rPr>
        <w:t xml:space="preserve">Figure 5. Average sustainability priority by region, membership level and joining year</w:t>
      </w:r>
    </w:p>
    <w:p>
      <w:pPr>
        <w:keepNext/>
        <w:spacing w:after="40" w:before="120"/>
        <w:jc w:val="center"/>
      </w:pPr>
      <w:r>
        <w:drawing>
          <wp:inline distT="0" distB="0" distL="0" distR="0">
            <wp:extent cx="4953000" cy="2628900"/>
            <wp:effectExtent t="0" r="0" b="0" l="0"/>
            <wp:docPr id="1" name="viz5b_heatmap" descr="Mean sustainability priority by region and membership level (cell n in brackets)" title="Mean sustainability priority by region and membership level (cell n in brack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2628900"/>
                    </a:xfrm>
                    <a:prstGeom prst="rect">
                      <a:avLst/>
                    </a:prstGeom>
                  </pic:spPr>
                </pic:pic>
              </a:graphicData>
            </a:graphic>
          </wp:inline>
        </w:drawing>
      </w:r>
    </w:p>
    <w:p>
      <w:pPr>
        <w:spacing w:after="200" w:before="60"/>
        <w:jc w:val="center"/>
      </w:pPr>
      <w:r>
        <w:rPr>
          <w:rFonts w:ascii="Calibri" w:cs="Calibri" w:eastAsia="Calibri" w:hAnsi="Calibri"/>
          <w:i/>
          <w:iCs/>
          <w:color w:val="5B6770"/>
          <w:sz w:val="19"/>
          <w:szCs w:val="19"/>
        </w:rPr>
        <w:t xml:space="preserve">Figure 6. Mean sustainability priority by region and membership level (cell n in brackets)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gridCol w:w="800"/>
        <w:gridCol w:w="1240"/>
        <w:gridCol w:w="1100"/>
        <w:gridCol w:w="1386"/>
      </w:tblGrid>
      <w:tr>
        <w:trPr>
          <w:tblHeader/>
        </w:trPr>
        <w:tc>
          <w:tcPr>
            <w:tcW w:type="dxa" w:w="15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Segment variable</w:t>
            </w:r>
          </w:p>
        </w:tc>
        <w:tc>
          <w:tcPr>
            <w:tcW w:type="dxa" w:w="15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Highest-mean group</w:t>
            </w:r>
          </w:p>
        </w:tc>
        <w:tc>
          <w:tcPr>
            <w:tcW w:type="dxa" w:w="15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Lowest-mean group</w:t>
            </w:r>
          </w:p>
        </w:tc>
        <w:tc>
          <w:tcPr>
            <w:tcW w:type="dxa" w:w="8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Spread</w:t>
            </w:r>
          </w:p>
        </w:tc>
        <w:tc>
          <w:tcPr>
            <w:tcW w:type="dxa" w:w="124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Chi-square p</w:t>
            </w:r>
          </w:p>
        </w:tc>
        <w:tc>
          <w:tcPr>
            <w:tcW w:type="dxa" w:w="11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Cramer's V</w:t>
            </w:r>
          </w:p>
        </w:tc>
        <w:tc>
          <w:tcPr>
            <w:tcW w:type="dxa" w:w="1386"/>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Kruskal-Wallis p</w:t>
            </w:r>
          </w:p>
        </w:tc>
      </w:tr>
      <w:tr>
        <w:tc>
          <w:tcPr>
            <w:tcW w:type="dxa" w:w="1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Region</w:t>
            </w:r>
          </w:p>
        </w:tc>
        <w:tc>
          <w:tcPr>
            <w:tcW w:type="dxa" w:w="1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Middle East (3.11)</w:t>
            </w:r>
          </w:p>
        </w:tc>
        <w:tc>
          <w:tcPr>
            <w:tcW w:type="dxa" w:w="1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Europe (2.90)</w:t>
            </w:r>
          </w:p>
        </w:tc>
        <w:tc>
          <w:tcPr>
            <w:tcW w:type="dxa" w:w="8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0.21</w:t>
            </w:r>
          </w:p>
        </w:tc>
        <w:tc>
          <w:tcPr>
            <w:tcW w:type="dxa" w:w="124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0.990</w:t>
            </w:r>
          </w:p>
        </w:tc>
        <w:tc>
          <w:tcPr>
            <w:tcW w:type="dxa" w:w="11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0.031</w:t>
            </w:r>
          </w:p>
        </w:tc>
        <w:tc>
          <w:tcPr>
            <w:tcW w:type="dxa" w:w="138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0.505</w:t>
            </w:r>
          </w:p>
        </w:tc>
      </w:tr>
      <w:tr>
        <w:tc>
          <w:tcPr>
            <w:tcW w:type="dxa" w:w="1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Membership level</w:t>
            </w:r>
          </w:p>
        </w:tc>
        <w:tc>
          <w:tcPr>
            <w:tcW w:type="dxa" w:w="1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Unknown (3.12)</w:t>
            </w:r>
          </w:p>
        </w:tc>
        <w:tc>
          <w:tcPr>
            <w:tcW w:type="dxa" w:w="1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Gold (2.91)</w:t>
            </w:r>
          </w:p>
        </w:tc>
        <w:tc>
          <w:tcPr>
            <w:tcW w:type="dxa" w:w="8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0.21</w:t>
            </w:r>
          </w:p>
        </w:tc>
        <w:tc>
          <w:tcPr>
            <w:tcW w:type="dxa" w:w="124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0.326</w:t>
            </w:r>
          </w:p>
        </w:tc>
        <w:tc>
          <w:tcPr>
            <w:tcW w:type="dxa" w:w="11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0.055</w:t>
            </w:r>
          </w:p>
        </w:tc>
        <w:tc>
          <w:tcPr>
            <w:tcW w:type="dxa" w:w="138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0.463</w:t>
            </w:r>
          </w:p>
        </w:tc>
      </w:tr>
      <w:tr>
        <w:tc>
          <w:tcPr>
            <w:tcW w:type="dxa" w:w="1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Joined year</w:t>
            </w:r>
          </w:p>
        </w:tc>
        <w:tc>
          <w:tcPr>
            <w:tcW w:type="dxa" w:w="1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2021 (3.08)</w:t>
            </w:r>
          </w:p>
        </w:tc>
        <w:tc>
          <w:tcPr>
            <w:tcW w:type="dxa" w:w="1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2024 (2.91)</w:t>
            </w:r>
          </w:p>
        </w:tc>
        <w:tc>
          <w:tcPr>
            <w:tcW w:type="dxa" w:w="8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0.17</w:t>
            </w:r>
          </w:p>
        </w:tc>
        <w:tc>
          <w:tcPr>
            <w:tcW w:type="dxa" w:w="124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0.553</w:t>
            </w:r>
          </w:p>
        </w:tc>
        <w:tc>
          <w:tcPr>
            <w:tcW w:type="dxa" w:w="11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0.049</w:t>
            </w:r>
          </w:p>
        </w:tc>
        <w:tc>
          <w:tcPr>
            <w:tcW w:type="dxa" w:w="138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0.412</w:t>
            </w:r>
          </w:p>
        </w:tc>
      </w:tr>
    </w:tbl>
    <w:p>
      <w:pPr>
        <w:spacing w:after="200" w:before="60"/>
        <w:jc w:val="center"/>
      </w:pPr>
      <w:r>
        <w:rPr>
          <w:rFonts w:ascii="Calibri" w:cs="Calibri" w:eastAsia="Calibri" w:hAnsi="Calibri"/>
          <w:i/>
          <w:iCs/>
          <w:color w:val="5B6770"/>
          <w:sz w:val="19"/>
          <w:szCs w:val="19"/>
        </w:rPr>
        <w:t xml:space="preserve">Table 3. Association between each segment variable and sustainability priority.</w:t>
      </w:r>
    </w:p>
    <w:p>
      <w:pPr>
        <w:pStyle w:val="ListParagraph"/>
        <w:numPr>
          <w:ilvl w:val="0"/>
          <w:numId w:val="2"/>
        </w:numPr>
        <w:spacing w:after="70" w:line="264"/>
      </w:pPr>
      <w:r>
        <w:rPr>
          <w:rFonts w:ascii="Calibri" w:cs="Calibri" w:eastAsia="Calibri" w:hAnsi="Calibri"/>
          <w:sz w:val="22"/>
          <w:szCs w:val="22"/>
        </w:rPr>
        <w:t xml:space="preserve">Region: Middle East (3.11) is highest and Europe (2.90) lowest, but the association is not statistically detectable (chi-square p = 0.990).</w:t>
      </w:r>
    </w:p>
    <w:p>
      <w:pPr>
        <w:pStyle w:val="ListParagraph"/>
        <w:numPr>
          <w:ilvl w:val="0"/>
          <w:numId w:val="2"/>
        </w:numPr>
        <w:spacing w:after="70" w:line="264"/>
      </w:pPr>
      <w:r>
        <w:rPr>
          <w:rFonts w:ascii="Calibri" w:cs="Calibri" w:eastAsia="Calibri" w:hAnsi="Calibri"/>
          <w:sz w:val="22"/>
          <w:szCs w:val="22"/>
        </w:rPr>
        <w:t xml:space="preserve">Membership level: Unknown (3.12) is highest and Gold (2.91) lowest; not statistically detectable (p = 0.326). The Unknown group has only 50 customers, so its wide interval is expected.</w:t>
      </w:r>
    </w:p>
    <w:p>
      <w:pPr>
        <w:pStyle w:val="ListParagraph"/>
        <w:numPr>
          <w:ilvl w:val="0"/>
          <w:numId w:val="2"/>
        </w:numPr>
        <w:spacing w:after="70" w:line="264"/>
      </w:pPr>
      <w:r>
        <w:rPr>
          <w:rFonts w:ascii="Calibri" w:cs="Calibri" w:eastAsia="Calibri" w:hAnsi="Calibri"/>
          <w:sz w:val="22"/>
          <w:szCs w:val="22"/>
        </w:rPr>
        <w:t xml:space="preserve">Joining year: 2021 (3.08) is highest and 2024 (2.91) lowest; not statistically detectable (p = 0.553).</w:t>
      </w:r>
    </w:p>
    <w:p>
      <w:pPr>
        <w:pStyle w:val="ListParagraph"/>
        <w:numPr>
          <w:ilvl w:val="0"/>
          <w:numId w:val="2"/>
        </w:numPr>
        <w:spacing w:after="70" w:line="264"/>
      </w:pPr>
      <w:r>
        <w:rPr>
          <w:rFonts w:ascii="Calibri" w:cs="Calibri" w:eastAsia="Calibri" w:hAnsi="Calibri"/>
          <w:sz w:val="22"/>
          <w:szCs w:val="22"/>
        </w:rPr>
        <w:t xml:space="preserve">In the region x membership heatmap, the most extreme cells (e.g. North America / Platinum at 2.30, n = 10) are also the smallest; cells with at least 90 customers stay within 2.80-3.15 around the overall mean of 3.01.</w:t>
      </w:r>
    </w:p>
    <w:p>
      <w:pPr>
        <w:pBdr>
          <w:left w:val="single" w:color="1F6F5C" w:sz="24" w:space="8"/>
        </w:pBdr>
        <w:shd w:fill="EAF3F0" w:val="clear"/>
        <w:spacing w:after="160" w:before="100"/>
        <w:ind w:left="160"/>
      </w:pPr>
      <w:r>
        <w:rPr>
          <w:rFonts w:ascii="Calibri" w:cs="Calibri" w:eastAsia="Calibri" w:hAnsi="Calibri"/>
          <w:sz w:val="21"/>
          <w:szCs w:val="21"/>
        </w:rPr>
        <w:t xml:space="preserve">Association is not causation - and here even the association is not distinguishable from random variation. Differences of about 0.2 points between groups are the size expected by chance with these group sizes.</w:t>
      </w:r>
    </w:p>
    <w:p>
      <w:pPr>
        <w:pStyle w:val="Heading1"/>
        <w:spacing w:after="160" w:before="360"/>
        <w:outlineLvl w:val="0"/>
      </w:pPr>
      <w:r>
        <w:rPr>
          <w:rFonts w:ascii="Calibri" w:cs="Calibri" w:eastAsia="Calibri" w:hAnsi="Calibri"/>
          <w:b/>
          <w:bCs/>
          <w:color w:val="1F6F5C"/>
          <w:sz w:val="32"/>
          <w:szCs w:val="32"/>
        </w:rPr>
        <w:t xml:space="preserve">6. Machine Learning Methodology</w:t>
      </w:r>
    </w:p>
    <w:p>
      <w:pPr>
        <w:pStyle w:val="Heading2"/>
        <w:spacing w:after="100" w:before="240"/>
        <w:outlineLvl w:val="1"/>
      </w:pPr>
      <w:r>
        <w:rPr>
          <w:rFonts w:ascii="Calibri" w:cs="Calibri" w:eastAsia="Calibri" w:hAnsi="Calibri"/>
          <w:b/>
          <w:bCs/>
          <w:color w:val="2B3A42"/>
          <w:sz w:val="26"/>
          <w:szCs w:val="26"/>
        </w:rPr>
        <w:t xml:space="preserve">Target and predictors</w:t>
      </w:r>
    </w:p>
    <w:p>
      <w:pPr>
        <w:spacing w:after="120" w:line="276"/>
      </w:pPr>
      <w:r>
        <w:rPr>
          <w:rFonts w:ascii="Calibri" w:cs="Calibri" w:eastAsia="Calibri" w:hAnsi="Calibri"/>
          <w:b/>
          <w:bCs/>
          <w:sz w:val="22"/>
          <w:szCs w:val="22"/>
        </w:rPr>
        <w:t xml:space="preserve">Target: </w:t>
      </w:r>
      <w:r>
        <w:rPr>
          <w:rFonts w:ascii="Calibri" w:cs="Calibri" w:eastAsia="Calibri" w:hAnsi="Calibri"/>
          <w:sz w:val="22"/>
          <w:szCs w:val="22"/>
        </w:rPr>
        <w:t xml:space="preserve">customer_sustainability_priority, an ordered five-level variable with near-balanced classes, modelled as multiclass classification.</w:t>
      </w:r>
    </w:p>
    <w:p>
      <w:pPr>
        <w:spacing w:after="120" w:line="276"/>
      </w:pPr>
      <w:r>
        <w:rPr>
          <w:rFonts w:ascii="Calibri" w:cs="Calibri" w:eastAsia="Calibri" w:hAnsi="Calibri"/>
          <w:b/>
          <w:bCs/>
          <w:sz w:val="22"/>
          <w:szCs w:val="22"/>
        </w:rPr>
        <w:t xml:space="preserve">Predictors: </w:t>
      </w:r>
      <w:r>
        <w:rPr>
          <w:rFonts w:ascii="Calibri" w:cs="Calibri" w:eastAsia="Calibri" w:hAnsi="Calibri"/>
          <w:sz w:val="22"/>
          <w:szCs w:val="22"/>
        </w:rPr>
        <w:t xml:space="preserve">region, membership_level (missing values carried as "Unknown") and joined_year. joined_year has only four values, so it is treated as categorical, which avoids assuming a linear trend.</w:t>
      </w:r>
    </w:p>
    <w:p>
      <w:pPr>
        <w:pStyle w:val="Heading2"/>
        <w:spacing w:after="100" w:before="240"/>
        <w:outlineLvl w:val="1"/>
      </w:pPr>
      <w:r>
        <w:rPr>
          <w:rFonts w:ascii="Calibri" w:cs="Calibri" w:eastAsia="Calibri" w:hAnsi="Calibri"/>
          <w:b/>
          <w:bCs/>
          <w:color w:val="2B3A42"/>
          <w:sz w:val="26"/>
          <w:szCs w:val="26"/>
        </w:rPr>
        <w:t xml:space="preserve">Preprocessing and feature engineering</w:t>
      </w:r>
    </w:p>
    <w:p>
      <w:pPr>
        <w:spacing w:after="120" w:line="276"/>
      </w:pPr>
      <w:r>
        <w:rPr>
          <w:rFonts w:ascii="Calibri" w:cs="Calibri" w:eastAsia="Calibri" w:hAnsi="Calibri"/>
          <w:sz w:val="22"/>
          <w:szCs w:val="22"/>
        </w:rPr>
        <w:t xml:space="preserve">All predictors are one-hot encoded inside a scikit-learn Pipeline (handle_unknown = ignore). Because the encoder sits inside the pipeline, it is fitted only on training data, in the final fit and in every cross-validation fold. No additional features were engineered: with three low-cardinality predictors, extra derived features would add complexity without new information.</w:t>
      </w:r>
    </w:p>
    <w:p>
      <w:pPr>
        <w:pStyle w:val="Heading2"/>
        <w:spacing w:after="100" w:before="240"/>
        <w:outlineLvl w:val="1"/>
      </w:pPr>
      <w:r>
        <w:rPr>
          <w:rFonts w:ascii="Calibri" w:cs="Calibri" w:eastAsia="Calibri" w:hAnsi="Calibri"/>
          <w:b/>
          <w:bCs/>
          <w:color w:val="2B3A42"/>
          <w:sz w:val="26"/>
          <w:szCs w:val="26"/>
        </w:rPr>
        <w:t xml:space="preserve">Train/test methodology</w:t>
      </w:r>
    </w:p>
    <w:p>
      <w:pPr>
        <w:spacing w:after="120" w:line="276"/>
      </w:pPr>
      <w:r>
        <w:rPr>
          <w:rFonts w:ascii="Calibri" w:cs="Calibri" w:eastAsia="Calibri" w:hAnsi="Calibri"/>
          <w:sz w:val="22"/>
          <w:szCs w:val="22"/>
        </w:rPr>
        <w:t xml:space="preserve">An 80/20 stratified split with random_state = 42 gives 1,200 training and 300 test customers, preserving the class balance. Model selection used 5-fold stratified cross-validation on the training set only; the test set was used once for final evaluation.</w:t>
      </w:r>
    </w:p>
    <w:p>
      <w:pPr>
        <w:pStyle w:val="Heading2"/>
        <w:spacing w:after="100" w:before="240"/>
        <w:outlineLvl w:val="1"/>
      </w:pPr>
      <w:r>
        <w:rPr>
          <w:rFonts w:ascii="Calibri" w:cs="Calibri" w:eastAsia="Calibri" w:hAnsi="Calibri"/>
          <w:b/>
          <w:bCs/>
          <w:color w:val="2B3A42"/>
          <w:sz w:val="26"/>
          <w:szCs w:val="26"/>
        </w:rPr>
        <w:t xml:space="preserve">Leakage prevention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200"/>
        <w:gridCol w:w="4526"/>
      </w:tblGrid>
      <w:tr>
        <w:trPr>
          <w:tblHeader/>
        </w:trPr>
        <w:tc>
          <w:tcPr>
            <w:tcW w:type="dxa" w:w="23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Item</w:t>
            </w:r>
          </w:p>
        </w:tc>
        <w:tc>
          <w:tcPr>
            <w:tcW w:type="dxa" w:w="22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Handling</w:t>
            </w:r>
          </w:p>
        </w:tc>
        <w:tc>
          <w:tcPr>
            <w:tcW w:type="dxa" w:w="4526"/>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Reason</w:t>
            </w:r>
          </w:p>
        </w:tc>
      </w:tr>
      <w:tr>
        <w:tc>
          <w:tcPr>
            <w:tcW w:type="dxa" w:w="23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customer_id</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Excluded</w:t>
            </w:r>
          </w:p>
        </w:tc>
        <w:tc>
          <w:tcPr>
            <w:tcW w:type="dxa" w:w="45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Unique identifier with no business meaning; would allow a flexible model to memorise rows.</w:t>
            </w:r>
          </w:p>
        </w:tc>
      </w:tr>
      <w:tr>
        <w:tc>
          <w:tcPr>
            <w:tcW w:type="dxa" w:w="23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customer_sustainability_priority</w:t>
            </w:r>
          </w:p>
        </w:tc>
        <w:tc>
          <w:tcPr>
            <w:tcW w:type="dxa" w:w="22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Excluded from predictors</w:t>
            </w:r>
          </w:p>
        </w:tc>
        <w:tc>
          <w:tcPr>
            <w:tcW w:type="dxa" w:w="45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It is the target; using it or any transform of it (e.g. a high-priority flag) is direct leakage.</w:t>
            </w:r>
          </w:p>
        </w:tc>
      </w:tr>
      <w:tr>
        <w:tc>
          <w:tcPr>
            <w:tcW w:type="dxa" w:w="23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Encoder fitting</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Inside the Pipeline</w:t>
            </w:r>
          </w:p>
        </w:tc>
        <w:tc>
          <w:tcPr>
            <w:tcW w:type="dxa" w:w="45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Prevents test-set information influencing preprocessing.</w:t>
            </w:r>
          </w:p>
        </w:tc>
      </w:tr>
      <w:tr>
        <w:tc>
          <w:tcPr>
            <w:tcW w:type="dxa" w:w="23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Model selection</w:t>
            </w:r>
          </w:p>
        </w:tc>
        <w:tc>
          <w:tcPr>
            <w:tcW w:type="dxa" w:w="22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CV on training data only</w:t>
            </w:r>
          </w:p>
        </w:tc>
        <w:tc>
          <w:tcPr>
            <w:tcW w:type="dxa" w:w="45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The test set never influences model choice.</w:t>
            </w:r>
          </w:p>
        </w:tc>
      </w:tr>
      <w:tr>
        <w:tc>
          <w:tcPr>
            <w:tcW w:type="dxa" w:w="23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Customer-level scores (Tier 4)</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Out-of-fold predictions</w:t>
            </w:r>
          </w:p>
        </w:tc>
        <w:tc>
          <w:tcPr>
            <w:tcW w:type="dxa" w:w="45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Each customer is scored by a model that never saw that customer.</w:t>
            </w:r>
          </w:p>
        </w:tc>
      </w:tr>
      <w:tr>
        <w:tc>
          <w:tcPr>
            <w:tcW w:type="dxa" w:w="23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Temporal leakage</w:t>
            </w:r>
          </w:p>
        </w:tc>
        <w:tc>
          <w:tcPr>
            <w:tcW w:type="dxa" w:w="22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Not applicable</w:t>
            </w:r>
          </w:p>
        </w:tc>
        <w:tc>
          <w:tcPr>
            <w:tcW w:type="dxa" w:w="45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No time-ordered outcome exists; joined_year is a customer attribute.</w:t>
            </w:r>
          </w:p>
        </w:tc>
      </w:tr>
    </w:tbl>
    <w:p>
      <w:pPr>
        <w:spacing w:after="200" w:before="60"/>
        <w:jc w:val="center"/>
      </w:pPr>
      <w:r>
        <w:rPr>
          <w:rFonts w:ascii="Calibri" w:cs="Calibri" w:eastAsia="Calibri" w:hAnsi="Calibri"/>
          <w:i/>
          <w:iCs/>
          <w:color w:val="5B6770"/>
          <w:sz w:val="19"/>
          <w:szCs w:val="19"/>
        </w:rPr>
        <w:t xml:space="preserve">Table 4. Leakage risks identified and how each was handled.</w:t>
      </w:r>
    </w:p>
    <w:p>
      <w:pPr>
        <w:pStyle w:val="Heading2"/>
        <w:spacing w:after="100" w:before="240"/>
        <w:outlineLvl w:val="1"/>
      </w:pPr>
      <w:r>
        <w:rPr>
          <w:rFonts w:ascii="Calibri" w:cs="Calibri" w:eastAsia="Calibri" w:hAnsi="Calibri"/>
          <w:b/>
          <w:bCs/>
          <w:color w:val="2B3A42"/>
          <w:sz w:val="26"/>
          <w:szCs w:val="26"/>
        </w:rPr>
        <w:t xml:space="preserve">Algorithms and selection rule</w:t>
      </w:r>
    </w:p>
    <w:p>
      <w:pPr>
        <w:spacing w:after="120" w:line="276"/>
      </w:pPr>
      <w:r>
        <w:rPr>
          <w:rFonts w:ascii="Calibri" w:cs="Calibri" w:eastAsia="Calibri" w:hAnsi="Calibri"/>
          <w:sz w:val="22"/>
          <w:szCs w:val="22"/>
        </w:rPr>
        <w:t xml:space="preserve">Three approaches were compared: a majority-class baseline, multinomial Logistic Regression (interpretable coefficients) and a Random Forest (captures interactions; regularised with min_samples_leaf = 15 because only 100 distinct feature combinations exist). The rule was fixed in advance: choose the model with the highest mean cross-validated macro-F1, since macro-F1 penalises models that ignore classes.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400"/>
        <w:gridCol w:w="1500"/>
        <w:gridCol w:w="1726"/>
        <w:gridCol w:w="1400"/>
      </w:tblGrid>
      <w:tr>
        <w:trPr>
          <w:tblHeader/>
        </w:trPr>
        <w:tc>
          <w:tcPr>
            <w:tcW w:type="dxa" w:w="30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Model</w:t>
            </w:r>
          </w:p>
        </w:tc>
        <w:tc>
          <w:tcPr>
            <w:tcW w:type="dxa" w:w="14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CV accuracy</w:t>
            </w:r>
          </w:p>
        </w:tc>
        <w:tc>
          <w:tcPr>
            <w:tcW w:type="dxa" w:w="15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CV macro-F1</w:t>
            </w:r>
          </w:p>
        </w:tc>
        <w:tc>
          <w:tcPr>
            <w:tcW w:type="dxa" w:w="1726"/>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CV ROC-AUC (OvR)</w:t>
            </w:r>
          </w:p>
        </w:tc>
        <w:tc>
          <w:tcPr>
            <w:tcW w:type="dxa" w:w="14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CV MAE (levels)</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Baseline (majority class)</w:t>
            </w:r>
          </w:p>
        </w:tc>
        <w:tc>
          <w:tcPr>
            <w:tcW w:type="dxa" w:w="1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21.3%</w:t>
            </w:r>
          </w:p>
        </w:tc>
        <w:tc>
          <w:tcPr>
            <w:tcW w:type="dxa" w:w="1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0.070</w:t>
            </w:r>
          </w:p>
        </w:tc>
        <w:tc>
          <w:tcPr>
            <w:tcW w:type="dxa" w:w="17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0.500</w:t>
            </w:r>
          </w:p>
        </w:tc>
        <w:tc>
          <w:tcPr>
            <w:tcW w:type="dxa" w:w="1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1.99</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Logistic Regression</w:t>
            </w:r>
          </w:p>
        </w:tc>
        <w:tc>
          <w:tcPr>
            <w:tcW w:type="dxa" w:w="1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22.2%</w:t>
            </w:r>
          </w:p>
        </w:tc>
        <w:tc>
          <w:tcPr>
            <w:tcW w:type="dxa" w:w="1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0.208</w:t>
            </w:r>
          </w:p>
        </w:tc>
        <w:tc>
          <w:tcPr>
            <w:tcW w:type="dxa" w:w="17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0.500</w:t>
            </w:r>
          </w:p>
        </w:tc>
        <w:tc>
          <w:tcPr>
            <w:tcW w:type="dxa" w:w="1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1.68</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Random Forest</w:t>
            </w:r>
          </w:p>
        </w:tc>
        <w:tc>
          <w:tcPr>
            <w:tcW w:type="dxa" w:w="1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22.4%</w:t>
            </w:r>
          </w:p>
        </w:tc>
        <w:tc>
          <w:tcPr>
            <w:tcW w:type="dxa" w:w="15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0.215</w:t>
            </w:r>
          </w:p>
        </w:tc>
        <w:tc>
          <w:tcPr>
            <w:tcW w:type="dxa" w:w="17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0.489</w:t>
            </w:r>
          </w:p>
        </w:tc>
        <w:tc>
          <w:tcPr>
            <w:tcW w:type="dxa" w:w="1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1.65</w:t>
            </w:r>
          </w:p>
        </w:tc>
      </w:tr>
    </w:tbl>
    <w:p>
      <w:pPr>
        <w:spacing w:after="200" w:before="60"/>
        <w:jc w:val="center"/>
      </w:pPr>
      <w:r>
        <w:rPr>
          <w:rFonts w:ascii="Calibri" w:cs="Calibri" w:eastAsia="Calibri" w:hAnsi="Calibri"/>
          <w:i/>
          <w:iCs/>
          <w:color w:val="5B6770"/>
          <w:sz w:val="19"/>
          <w:szCs w:val="19"/>
        </w:rPr>
        <w:t xml:space="preserve">Table 5. Five-fold cross-validation results on the training set.</w:t>
      </w:r>
    </w:p>
    <w:p>
      <w:pPr>
        <w:spacing w:after="120" w:line="276"/>
      </w:pPr>
      <w:r>
        <w:rPr>
          <w:rFonts w:ascii="Calibri" w:cs="Calibri" w:eastAsia="Calibri" w:hAnsi="Calibri"/>
          <w:sz w:val="22"/>
          <w:szCs w:val="22"/>
        </w:rPr>
        <w:t xml:space="preserve">Random Forest was selected (highest CV macro-F1). Its cross-validated accuracy is close to the 20% chance level, and the gap between the two real models is small relative to fold-to-fold variation, so the choice between them carries little weight.</w:t>
      </w:r>
    </w:p>
    <w:p>
      <w:pPr>
        <w:pStyle w:val="Heading1"/>
        <w:spacing w:after="160" w:before="360"/>
        <w:outlineLvl w:val="0"/>
      </w:pPr>
      <w:r>
        <w:rPr>
          <w:rFonts w:ascii="Calibri" w:cs="Calibri" w:eastAsia="Calibri" w:hAnsi="Calibri"/>
          <w:b/>
          <w:bCs/>
          <w:color w:val="1F6F5C"/>
          <w:sz w:val="32"/>
          <w:szCs w:val="32"/>
        </w:rPr>
        <w:t xml:space="preserve">7. Model Evaluation</w:t>
      </w:r>
    </w:p>
    <w:p>
      <w:pPr>
        <w:spacing w:after="120" w:line="276"/>
      </w:pPr>
      <w:r>
        <w:rPr>
          <w:rFonts w:ascii="Calibri" w:cs="Calibri" w:eastAsia="Calibri" w:hAnsi="Calibri"/>
          <w:sz w:val="22"/>
          <w:szCs w:val="22"/>
        </w:rPr>
        <w:t xml:space="preserve">The selected Random Forest was evaluated once on the 300-customer hold-out test set.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600"/>
        <w:gridCol w:w="3426"/>
      </w:tblGrid>
      <w:tr>
        <w:trPr>
          <w:tblHeader/>
        </w:trPr>
        <w:tc>
          <w:tcPr>
            <w:tcW w:type="dxa" w:w="56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Metric</w:t>
            </w:r>
          </w:p>
        </w:tc>
        <w:tc>
          <w:tcPr>
            <w:tcW w:type="dxa" w:w="3426"/>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Value</w:t>
            </w:r>
          </w:p>
        </w:tc>
      </w:tr>
      <w:tr>
        <w:tc>
          <w:tcPr>
            <w:tcW w:type="dxa" w:w="5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Accuracy</w:t>
            </w:r>
          </w:p>
        </w:tc>
        <w:tc>
          <w:tcPr>
            <w:tcW w:type="dxa" w:w="34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15.3%</w:t>
            </w:r>
          </w:p>
        </w:tc>
      </w:tr>
      <w:tr>
        <w:tc>
          <w:tcPr>
            <w:tcW w:type="dxa" w:w="56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Accuracy 95% bootstrap CI</w:t>
            </w:r>
          </w:p>
        </w:tc>
        <w:tc>
          <w:tcPr>
            <w:tcW w:type="dxa" w:w="34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11.3% - 19.7%</w:t>
            </w:r>
          </w:p>
        </w:tc>
      </w:tr>
      <w:tr>
        <w:tc>
          <w:tcPr>
            <w:tcW w:type="dxa" w:w="5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Precision (macro / weighted)</w:t>
            </w:r>
          </w:p>
        </w:tc>
        <w:tc>
          <w:tcPr>
            <w:tcW w:type="dxa" w:w="34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0.153 / 0.152</w:t>
            </w:r>
          </w:p>
        </w:tc>
      </w:tr>
      <w:tr>
        <w:tc>
          <w:tcPr>
            <w:tcW w:type="dxa" w:w="56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Recall (macro / weighted)</w:t>
            </w:r>
          </w:p>
        </w:tc>
        <w:tc>
          <w:tcPr>
            <w:tcW w:type="dxa" w:w="34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0.151 / 0.153</w:t>
            </w:r>
          </w:p>
        </w:tc>
      </w:tr>
      <w:tr>
        <w:tc>
          <w:tcPr>
            <w:tcW w:type="dxa" w:w="5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F1-score (macro / weighted)</w:t>
            </w:r>
          </w:p>
        </w:tc>
        <w:tc>
          <w:tcPr>
            <w:tcW w:type="dxa" w:w="34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0.148 / 0.149</w:t>
            </w:r>
          </w:p>
        </w:tc>
      </w:tr>
      <w:tr>
        <w:tc>
          <w:tcPr>
            <w:tcW w:type="dxa" w:w="56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ROC-AUC (one-vs-rest, macro average)</w:t>
            </w:r>
          </w:p>
        </w:tc>
        <w:tc>
          <w:tcPr>
            <w:tcW w:type="dxa" w:w="34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0.464</w:t>
            </w:r>
          </w:p>
        </w:tc>
      </w:tr>
      <w:tr>
        <w:tc>
          <w:tcPr>
            <w:tcW w:type="dxa" w:w="5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Mean absolute error (priority levels)</w:t>
            </w:r>
          </w:p>
        </w:tc>
        <w:tc>
          <w:tcPr>
            <w:tcW w:type="dxa" w:w="34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1.81</w:t>
            </w:r>
          </w:p>
        </w:tc>
      </w:tr>
      <w:tr>
        <w:tc>
          <w:tcPr>
            <w:tcW w:type="dxa" w:w="56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Reference: chance accuracy (5 balanced classes)</w:t>
            </w:r>
          </w:p>
        </w:tc>
        <w:tc>
          <w:tcPr>
            <w:tcW w:type="dxa" w:w="34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20.0%</w:t>
            </w:r>
          </w:p>
        </w:tc>
      </w:tr>
      <w:tr>
        <w:tc>
          <w:tcPr>
            <w:tcW w:type="dxa" w:w="5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Reference: majority-class baseline accuracy</w:t>
            </w:r>
          </w:p>
        </w:tc>
        <w:tc>
          <w:tcPr>
            <w:tcW w:type="dxa" w:w="34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21.0%</w:t>
            </w:r>
          </w:p>
        </w:tc>
      </w:tr>
    </w:tbl>
    <w:p>
      <w:pPr>
        <w:spacing w:after="200" w:before="60"/>
        <w:jc w:val="center"/>
      </w:pPr>
      <w:r>
        <w:rPr>
          <w:rFonts w:ascii="Calibri" w:cs="Calibri" w:eastAsia="Calibri" w:hAnsi="Calibri"/>
          <w:i/>
          <w:iCs/>
          <w:color w:val="5B6770"/>
          <w:sz w:val="19"/>
          <w:szCs w:val="19"/>
        </w:rPr>
        <w:t xml:space="preserve">Table 6. Hold-out test performance. ROC-AUC uses a one-vs-rest macro average, appropriate for a five-class target.</w:t>
      </w:r>
    </w:p>
    <w:p>
      <w:pPr>
        <w:pStyle w:val="Heading2"/>
        <w:spacing w:after="100" w:before="240"/>
        <w:outlineLvl w:val="1"/>
      </w:pPr>
      <w:r>
        <w:rPr>
          <w:rFonts w:ascii="Calibri" w:cs="Calibri" w:eastAsia="Calibri" w:hAnsi="Calibri"/>
          <w:b/>
          <w:bCs/>
          <w:color w:val="2B3A42"/>
          <w:sz w:val="26"/>
          <w:szCs w:val="26"/>
        </w:rPr>
        <w:t xml:space="preserve">Classification report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1600"/>
        <w:gridCol w:w="1600"/>
        <w:gridCol w:w="1826"/>
      </w:tblGrid>
      <w:tr>
        <w:trPr>
          <w:tblHeader/>
        </w:trPr>
        <w:tc>
          <w:tcPr>
            <w:tcW w:type="dxa" w:w="24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Class</w:t>
            </w:r>
          </w:p>
        </w:tc>
        <w:tc>
          <w:tcPr>
            <w:tcW w:type="dxa" w:w="16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Precision</w:t>
            </w:r>
          </w:p>
        </w:tc>
        <w:tc>
          <w:tcPr>
            <w:tcW w:type="dxa" w:w="16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Recall</w:t>
            </w:r>
          </w:p>
        </w:tc>
        <w:tc>
          <w:tcPr>
            <w:tcW w:type="dxa" w:w="16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F1-score</w:t>
            </w:r>
          </w:p>
        </w:tc>
        <w:tc>
          <w:tcPr>
            <w:tcW w:type="dxa" w:w="1826"/>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Support</w:t>
            </w:r>
          </w:p>
        </w:tc>
      </w:tr>
      <w:tr>
        <w:tc>
          <w:tcPr>
            <w:tcW w:type="dxa" w:w="2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Priority 1</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0.19</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0.27</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0.22</w:t>
            </w:r>
          </w:p>
        </w:tc>
        <w:tc>
          <w:tcPr>
            <w:tcW w:type="dxa" w:w="18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63</w:t>
            </w:r>
          </w:p>
        </w:tc>
      </w:tr>
      <w:tr>
        <w:tc>
          <w:tcPr>
            <w:tcW w:type="dxa" w:w="2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Priority 2</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0.23</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0.14</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0.18</w:t>
            </w:r>
          </w:p>
        </w:tc>
        <w:tc>
          <w:tcPr>
            <w:tcW w:type="dxa" w:w="18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56</w:t>
            </w:r>
          </w:p>
        </w:tc>
      </w:tr>
      <w:tr>
        <w:tc>
          <w:tcPr>
            <w:tcW w:type="dxa" w:w="2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Priority 3</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0.15</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0.15</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0.15</w:t>
            </w:r>
          </w:p>
        </w:tc>
        <w:tc>
          <w:tcPr>
            <w:tcW w:type="dxa" w:w="18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61</w:t>
            </w:r>
          </w:p>
        </w:tc>
      </w:tr>
      <w:tr>
        <w:tc>
          <w:tcPr>
            <w:tcW w:type="dxa" w:w="2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Priority 4</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0.07</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0.05</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0.06</w:t>
            </w:r>
          </w:p>
        </w:tc>
        <w:tc>
          <w:tcPr>
            <w:tcW w:type="dxa" w:w="18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57</w:t>
            </w:r>
          </w:p>
        </w:tc>
      </w:tr>
      <w:tr>
        <w:tc>
          <w:tcPr>
            <w:tcW w:type="dxa" w:w="2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Priority 5</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0.12</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0.14</w:t>
            </w:r>
          </w:p>
        </w:tc>
        <w:tc>
          <w:tcPr>
            <w:tcW w:type="dxa" w:w="16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0.13</w:t>
            </w:r>
          </w:p>
        </w:tc>
        <w:tc>
          <w:tcPr>
            <w:tcW w:type="dxa" w:w="18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63</w:t>
            </w:r>
          </w:p>
        </w:tc>
      </w:tr>
    </w:tbl>
    <w:p>
      <w:pPr>
        <w:spacing w:after="200" w:before="60"/>
        <w:jc w:val="center"/>
      </w:pPr>
      <w:r>
        <w:rPr>
          <w:rFonts w:ascii="Calibri" w:cs="Calibri" w:eastAsia="Calibri" w:hAnsi="Calibri"/>
          <w:i/>
          <w:iCs/>
          <w:color w:val="5B6770"/>
          <w:sz w:val="19"/>
          <w:szCs w:val="19"/>
        </w:rPr>
        <w:t xml:space="preserve">Table 7. Per-class test performance.</w:t>
      </w:r>
    </w:p>
    <w:p>
      <w:pPr>
        <w:pStyle w:val="Heading2"/>
        <w:spacing w:after="100" w:before="240"/>
        <w:outlineLvl w:val="1"/>
      </w:pPr>
      <w:r>
        <w:rPr>
          <w:rFonts w:ascii="Calibri" w:cs="Calibri" w:eastAsia="Calibri" w:hAnsi="Calibri"/>
          <w:b/>
          <w:bCs/>
          <w:color w:val="2B3A42"/>
          <w:sz w:val="26"/>
          <w:szCs w:val="26"/>
        </w:rPr>
        <w:t xml:space="preserve">Confusion matrix</w:t>
      </w:r>
    </w:p>
    <w:p>
      <w:pPr>
        <w:keepNext/>
        <w:spacing w:after="40" w:before="120"/>
        <w:jc w:val="center"/>
      </w:pPr>
      <w:r>
        <w:drawing>
          <wp:inline distT="0" distB="0" distL="0" distR="0">
            <wp:extent cx="5810250" cy="2352675"/>
            <wp:effectExtent t="0" r="0" b="0" l="0"/>
            <wp:docPr id="1" name="viz6_confusion" descr="Confusion matrix on the hold-out test set (n = 300); left: counts, right: share of each actual class" title="Confusion matrix on the hold-out test set (n = 300); left: counts, right: share of each actual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10250" cy="2352675"/>
                    </a:xfrm>
                    <a:prstGeom prst="rect">
                      <a:avLst/>
                    </a:prstGeom>
                  </pic:spPr>
                </pic:pic>
              </a:graphicData>
            </a:graphic>
          </wp:inline>
        </w:drawing>
      </w:r>
    </w:p>
    <w:p>
      <w:pPr>
        <w:spacing w:after="200" w:before="60"/>
        <w:jc w:val="center"/>
      </w:pPr>
      <w:r>
        <w:rPr>
          <w:rFonts w:ascii="Calibri" w:cs="Calibri" w:eastAsia="Calibri" w:hAnsi="Calibri"/>
          <w:i/>
          <w:iCs/>
          <w:color w:val="5B6770"/>
          <w:sz w:val="19"/>
          <w:szCs w:val="19"/>
        </w:rPr>
        <w:t xml:space="preserve">Figure 7. Confusion matrix on the hold-out test set (n = 300); left: counts, right: share of each actual class</w:t>
      </w:r>
    </w:p>
    <w:p>
      <w:pPr>
        <w:pStyle w:val="Heading2"/>
        <w:spacing w:after="100" w:before="240"/>
        <w:outlineLvl w:val="1"/>
      </w:pPr>
      <w:r>
        <w:rPr>
          <w:rFonts w:ascii="Calibri" w:cs="Calibri" w:eastAsia="Calibri" w:hAnsi="Calibri"/>
          <w:b/>
          <w:bCs/>
          <w:color w:val="2B3A42"/>
          <w:sz w:val="26"/>
          <w:szCs w:val="26"/>
        </w:rPr>
        <w:t xml:space="preserve">Interpretation</w:t>
      </w:r>
    </w:p>
    <w:p>
      <w:pPr>
        <w:pStyle w:val="ListParagraph"/>
        <w:numPr>
          <w:ilvl w:val="0"/>
          <w:numId w:val="2"/>
        </w:numPr>
        <w:spacing w:after="70" w:line="264"/>
      </w:pPr>
      <w:r>
        <w:rPr>
          <w:rFonts w:ascii="Calibri" w:cs="Calibri" w:eastAsia="Calibri" w:hAnsi="Calibri"/>
          <w:sz w:val="22"/>
          <w:szCs w:val="22"/>
        </w:rPr>
        <w:t xml:space="preserve">Accuracy of 15.3% sits at or below the 20% chance level (the 95% interval 11.3%-19.7% does not exceed it) and below the majority-class baseline of 21.0%. ROC-AUC of 0.464 is below 0.5, i.e. no better than random ranking.</w:t>
      </w:r>
    </w:p>
    <w:p>
      <w:pPr>
        <w:pStyle w:val="ListParagraph"/>
        <w:numPr>
          <w:ilvl w:val="0"/>
          <w:numId w:val="2"/>
        </w:numPr>
        <w:spacing w:after="70" w:line="264"/>
      </w:pPr>
      <w:r>
        <w:rPr>
          <w:rFonts w:ascii="Calibri" w:cs="Calibri" w:eastAsia="Calibri" w:hAnsi="Calibri"/>
          <w:sz w:val="22"/>
          <w:szCs w:val="22"/>
        </w:rPr>
        <w:t xml:space="preserve">No class is predicted reliably. The best F1 is for priority 1 (0.22) and the weakest for priority 4 (0.06); recall per class ranges from 5.3% to 27.0%.</w:t>
      </w:r>
    </w:p>
    <w:p>
      <w:pPr>
        <w:pStyle w:val="ListParagraph"/>
        <w:numPr>
          <w:ilvl w:val="0"/>
          <w:numId w:val="2"/>
        </w:numPr>
        <w:spacing w:after="70" w:line="264"/>
      </w:pPr>
      <w:r>
        <w:rPr>
          <w:rFonts w:ascii="Calibri" w:cs="Calibri" w:eastAsia="Calibri" w:hAnsi="Calibri"/>
          <w:sz w:val="22"/>
          <w:szCs w:val="22"/>
        </w:rPr>
        <w:t xml:space="preserve">Three independent accuracy estimates all cluster around chance: 22.4% in cross-validation, 15.3% on the test set and 19.3% out-of-fold across all 1,500 customers. Differences between them reflect sampling noise, not skill.</w:t>
      </w:r>
    </w:p>
    <w:p>
      <w:pPr>
        <w:pStyle w:val="ListParagraph"/>
        <w:numPr>
          <w:ilvl w:val="0"/>
          <w:numId w:val="2"/>
        </w:numPr>
        <w:spacing w:after="70" w:line="264"/>
      </w:pPr>
      <w:r>
        <w:rPr>
          <w:rFonts w:ascii="Calibri" w:cs="Calibri" w:eastAsia="Calibri" w:hAnsi="Calibri"/>
          <w:sz w:val="22"/>
          <w:szCs w:val="22"/>
        </w:rPr>
        <w:t xml:space="preserve">The comparison model, Logistic Regression, behaves the same way on the test set, so the result is not caused by the choice of algorithm.</w:t>
      </w:r>
    </w:p>
    <w:p>
      <w:pPr>
        <w:pBdr>
          <w:left w:val="single" w:color="1F6F5C" w:sz="24" w:space="8"/>
        </w:pBdr>
        <w:shd w:fill="EAF3F0" w:val="clear"/>
        <w:spacing w:after="160" w:before="100"/>
        <w:ind w:left="160"/>
      </w:pPr>
      <w:r>
        <w:rPr>
          <w:rFonts w:ascii="Calibri" w:cs="Calibri" w:eastAsia="Calibri" w:hAnsi="Calibri"/>
          <w:sz w:val="21"/>
          <w:szCs w:val="21"/>
        </w:rPr>
        <w:t xml:space="preserve">Model performance is reported exactly as measured. It is not inflated: no leakage was used, and hyper-parameter tuning was deliberately not pursued because there is no signal for it to find.</w:t>
      </w:r>
    </w:p>
    <w:p>
      <w:pPr>
        <w:pStyle w:val="Heading1"/>
        <w:spacing w:after="160" w:before="360"/>
        <w:outlineLvl w:val="0"/>
      </w:pPr>
      <w:r>
        <w:rPr>
          <w:rFonts w:ascii="Calibri" w:cs="Calibri" w:eastAsia="Calibri" w:hAnsi="Calibri"/>
          <w:b/>
          <w:bCs/>
          <w:color w:val="1F6F5C"/>
          <w:sz w:val="32"/>
          <w:szCs w:val="32"/>
        </w:rPr>
        <w:t xml:space="preserve">8. Feature Importance</w:t>
      </w:r>
    </w:p>
    <w:p>
      <w:pPr>
        <w:keepNext/>
        <w:spacing w:after="40" w:before="120"/>
        <w:jc w:val="center"/>
      </w:pPr>
      <w:r>
        <w:drawing>
          <wp:inline distT="0" distB="0" distL="0" distR="0">
            <wp:extent cx="5810250" cy="2114550"/>
            <wp:effectExtent t="0" r="0" b="0" l="0"/>
            <wp:docPr id="1" name="viz7_importance" descr="Left: permutation importance per predictor on the test set. Right: top 10 encoded features by model-internal importance" title="Left: permutation importance per predictor on the test set. Right: top 10 encoded features by model-internal impor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810250" cy="2114550"/>
                    </a:xfrm>
                    <a:prstGeom prst="rect">
                      <a:avLst/>
                    </a:prstGeom>
                  </pic:spPr>
                </pic:pic>
              </a:graphicData>
            </a:graphic>
          </wp:inline>
        </w:drawing>
      </w:r>
    </w:p>
    <w:p>
      <w:pPr>
        <w:spacing w:after="200" w:before="60"/>
        <w:jc w:val="center"/>
      </w:pPr>
      <w:r>
        <w:rPr>
          <w:rFonts w:ascii="Calibri" w:cs="Calibri" w:eastAsia="Calibri" w:hAnsi="Calibri"/>
          <w:i/>
          <w:iCs/>
          <w:color w:val="5B6770"/>
          <w:sz w:val="19"/>
          <w:szCs w:val="19"/>
        </w:rPr>
        <w:t xml:space="preserve">Figure 8. Left: permutation importance per predictor on the test set. Right: top 10 encoded features by model-internal importance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26"/>
      </w:tblGrid>
      <w:tr>
        <w:trPr>
          <w:tblHeader/>
        </w:trPr>
        <w:tc>
          <w:tcPr>
            <w:tcW w:type="dxa" w:w="24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Predictor</w:t>
            </w:r>
          </w:p>
        </w:tc>
        <w:tc>
          <w:tcPr>
            <w:tcW w:type="dxa" w:w="42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Change in accuracy when shuffled (percentage points)</w:t>
            </w:r>
          </w:p>
        </w:tc>
        <w:tc>
          <w:tcPr>
            <w:tcW w:type="dxa" w:w="2426"/>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Std. dev. (30 repeats)</w:t>
            </w:r>
          </w:p>
        </w:tc>
      </w:tr>
      <w:tr>
        <w:tc>
          <w:tcPr>
            <w:tcW w:type="dxa" w:w="2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region</w:t>
            </w:r>
          </w:p>
        </w:tc>
        <w:tc>
          <w:tcPr>
            <w:tcW w:type="dxa" w:w="4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-5.32</w:t>
            </w:r>
          </w:p>
        </w:tc>
        <w:tc>
          <w:tcPr>
            <w:tcW w:type="dxa" w:w="24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1.43</w:t>
            </w:r>
          </w:p>
        </w:tc>
      </w:tr>
      <w:tr>
        <w:tc>
          <w:tcPr>
            <w:tcW w:type="dxa" w:w="2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membership_level</w:t>
            </w:r>
          </w:p>
        </w:tc>
        <w:tc>
          <w:tcPr>
            <w:tcW w:type="dxa" w:w="4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-0.41</w:t>
            </w:r>
          </w:p>
        </w:tc>
        <w:tc>
          <w:tcPr>
            <w:tcW w:type="dxa" w:w="24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1.59</w:t>
            </w:r>
          </w:p>
        </w:tc>
      </w:tr>
      <w:tr>
        <w:tc>
          <w:tcPr>
            <w:tcW w:type="dxa" w:w="24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joined_year</w:t>
            </w:r>
          </w:p>
        </w:tc>
        <w:tc>
          <w:tcPr>
            <w:tcW w:type="dxa" w:w="4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-4.43</w:t>
            </w:r>
          </w:p>
        </w:tc>
        <w:tc>
          <w:tcPr>
            <w:tcW w:type="dxa" w:w="24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1.84</w:t>
            </w:r>
          </w:p>
        </w:tc>
      </w:tr>
    </w:tbl>
    <w:p>
      <w:pPr>
        <w:spacing w:after="200" w:before="60"/>
        <w:jc w:val="center"/>
      </w:pPr>
      <w:r>
        <w:rPr>
          <w:rFonts w:ascii="Calibri" w:cs="Calibri" w:eastAsia="Calibri" w:hAnsi="Calibri"/>
          <w:i/>
          <w:iCs/>
          <w:color w:val="5B6770"/>
          <w:sz w:val="19"/>
          <w:szCs w:val="19"/>
        </w:rPr>
        <w:t xml:space="preserve">Table 8. Permutation importance on the hold-out set (negative = shuffling improved accuracy).</w:t>
      </w:r>
    </w:p>
    <w:p>
      <w:pPr>
        <w:pStyle w:val="ListParagraph"/>
        <w:numPr>
          <w:ilvl w:val="0"/>
          <w:numId w:val="2"/>
        </w:numPr>
        <w:spacing w:after="70" w:line="264"/>
      </w:pPr>
      <w:r>
        <w:rPr>
          <w:rFonts w:ascii="Calibri" w:cs="Calibri" w:eastAsia="Calibri" w:hAnsi="Calibri"/>
          <w:sz w:val="22"/>
          <w:szCs w:val="22"/>
        </w:rPr>
        <w:t xml:space="preserve">No predictor shows a reliably positive permutation importance. All three are zero or negative (region -5.32, joined_year -4.43, membership_level -0.41 points). A negative value means shuffling the predictor slightly improved test accuracy: the model had fitted noise from that predictor that does not carry over to unseen customers.</w:t>
      </w:r>
    </w:p>
    <w:p>
      <w:pPr>
        <w:pStyle w:val="ListParagraph"/>
        <w:numPr>
          <w:ilvl w:val="0"/>
          <w:numId w:val="2"/>
        </w:numPr>
        <w:spacing w:after="70" w:line="264"/>
      </w:pPr>
      <w:r>
        <w:rPr>
          <w:rFonts w:ascii="Calibri" w:cs="Calibri" w:eastAsia="Calibri" w:hAnsi="Calibri"/>
          <w:sz w:val="22"/>
          <w:szCs w:val="22"/>
        </w:rPr>
        <w:t xml:space="preserve">Model-internal (impurity) importance ranks region_Middle East, joined_year_2021, joined_year_2023 highest, but the values are nearly identical (0.090 down to 0.074 for the top ten), which is what an uninformative model looks like. That the model used these features does not mean they carry information.</w:t>
      </w:r>
    </w:p>
    <w:p>
      <w:pPr>
        <w:pStyle w:val="ListParagraph"/>
        <w:numPr>
          <w:ilvl w:val="0"/>
          <w:numId w:val="2"/>
        </w:numPr>
        <w:spacing w:after="70" w:line="264"/>
      </w:pPr>
      <w:r>
        <w:rPr>
          <w:rFonts w:ascii="Calibri" w:cs="Calibri" w:eastAsia="Calibri" w:hAnsi="Calibri"/>
          <w:sz w:val="22"/>
          <w:szCs w:val="22"/>
        </w:rPr>
        <w:t xml:space="preserve">Business reading: region, membership level and joining year are associated with only small, statistically unsupported differences in predicted sustainability priority. This is an association statement; it does not imply that any of these attributes cause a customer's priority.</w:t>
      </w:r>
    </w:p>
    <w:p>
      <w:pPr>
        <w:pStyle w:val="Heading1"/>
        <w:spacing w:after="160" w:before="360"/>
        <w:outlineLvl w:val="0"/>
      </w:pPr>
      <w:r>
        <w:rPr>
          <w:rFonts w:ascii="Calibri" w:cs="Calibri" w:eastAsia="Calibri" w:hAnsi="Calibri"/>
          <w:b/>
          <w:bCs/>
          <w:color w:val="1F6F5C"/>
          <w:sz w:val="32"/>
          <w:szCs w:val="32"/>
        </w:rPr>
        <w:t xml:space="preserve">9. Prescriptive Analytics</w:t>
      </w:r>
    </w:p>
    <w:p>
      <w:pPr>
        <w:pStyle w:val="Heading2"/>
        <w:spacing w:after="100" w:before="240"/>
        <w:outlineLvl w:val="1"/>
      </w:pPr>
      <w:r>
        <w:rPr>
          <w:rFonts w:ascii="Calibri" w:cs="Calibri" w:eastAsia="Calibri" w:hAnsi="Calibri"/>
          <w:b/>
          <w:bCs/>
          <w:color w:val="2B3A42"/>
          <w:sz w:val="26"/>
          <w:szCs w:val="26"/>
        </w:rPr>
        <w:t xml:space="preserve">Resource-constrained rule: engage the top 20%</w:t>
      </w:r>
    </w:p>
    <w:p>
      <w:pPr>
        <w:spacing w:after="120" w:line="276"/>
      </w:pPr>
      <w:r>
        <w:rPr>
          <w:rFonts w:ascii="Calibri" w:cs="Calibri" w:eastAsia="Calibri" w:hAnsi="Calibri"/>
          <w:sz w:val="22"/>
          <w:szCs w:val="22"/>
        </w:rPr>
        <w:t xml:space="preserve">Assumption: the business can proactively engage only 20% of customers. The target class is high sustainability priority (levels 4-5), scored as P(4) + P(5) from out-of-fold predicted probabilities. Customers are ranked by this score, ties are broken by customer_id so the selection is deterministic, and the top 300 of 1,500 customers are selected.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00"/>
        <w:gridCol w:w="4226"/>
      </w:tblGrid>
      <w:tr>
        <w:trPr>
          <w:tblHeader/>
        </w:trPr>
        <w:tc>
          <w:tcPr>
            <w:tcW w:type="dxa" w:w="48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Result</w:t>
            </w:r>
          </w:p>
        </w:tc>
        <w:tc>
          <w:tcPr>
            <w:tcW w:type="dxa" w:w="4226"/>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Value</w:t>
            </w:r>
          </w:p>
        </w:tc>
      </w:tr>
      <w:tr>
        <w:tc>
          <w:tcPr>
            <w:tcW w:type="dxa" w:w="48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Customers selected (top 20%)</w:t>
            </w:r>
          </w:p>
        </w:tc>
        <w:tc>
          <w:tcPr>
            <w:tcW w:type="dxa" w:w="42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300</w:t>
            </w:r>
          </w:p>
        </w:tc>
      </w:tr>
      <w:tr>
        <w:tc>
          <w:tcPr>
            <w:tcW w:type="dxa" w:w="48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Score cut-off P(priority 4-5)</w:t>
            </w:r>
          </w:p>
        </w:tc>
        <w:tc>
          <w:tcPr>
            <w:tcW w:type="dxa" w:w="42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0.440 (selected range 0.440 - 0.554)</w:t>
            </w:r>
          </w:p>
        </w:tc>
      </w:tr>
      <w:tr>
        <w:tc>
          <w:tcPr>
            <w:tcW w:type="dxa" w:w="48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Actual high-priority share among selected</w:t>
            </w:r>
          </w:p>
        </w:tc>
        <w:tc>
          <w:tcPr>
            <w:tcW w:type="dxa" w:w="42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37.0% (111 of 300)</w:t>
            </w:r>
          </w:p>
        </w:tc>
      </w:tr>
      <w:tr>
        <w:tc>
          <w:tcPr>
            <w:tcW w:type="dxa" w:w="48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Actual high-priority share among all customers</w:t>
            </w:r>
          </w:p>
        </w:tc>
        <w:tc>
          <w:tcPr>
            <w:tcW w:type="dxa" w:w="42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40.1%</w:t>
            </w:r>
          </w:p>
        </w:tc>
      </w:tr>
      <w:tr>
        <w:tc>
          <w:tcPr>
            <w:tcW w:type="dxa" w:w="48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Lift over random selection</w:t>
            </w:r>
          </w:p>
        </w:tc>
        <w:tc>
          <w:tcPr>
            <w:tcW w:type="dxa" w:w="42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0.92x</w:t>
            </w:r>
          </w:p>
        </w:tc>
      </w:tr>
      <w:tr>
        <w:tc>
          <w:tcPr>
            <w:tcW w:type="dxa" w:w="48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One-sided binomial p-value</w:t>
            </w:r>
          </w:p>
        </w:tc>
        <w:tc>
          <w:tcPr>
            <w:tcW w:type="dxa" w:w="42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0.874</w:t>
            </w:r>
          </w:p>
        </w:tc>
      </w:tr>
      <w:tr>
        <w:tc>
          <w:tcPr>
            <w:tcW w:type="dxa" w:w="48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Percentile among 2,000 random 300-customer draws</w:t>
            </w:r>
          </w:p>
        </w:tc>
        <w:tc>
          <w:tcPr>
            <w:tcW w:type="dxa" w:w="42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11th</w:t>
            </w:r>
          </w:p>
        </w:tc>
      </w:tr>
      <w:tr>
        <w:tc>
          <w:tcPr>
            <w:tcW w:type="dxa" w:w="4800"/>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Share of all high-priority customers reached</w:t>
            </w:r>
          </w:p>
        </w:tc>
        <w:tc>
          <w:tcPr>
            <w:tcW w:type="dxa" w:w="4226"/>
            <w:tcBorders>
              <w:top w:val="single" w:color="C9D2D8" w:sz="4"/>
              <w:left w:val="single" w:color="C9D2D8" w:sz="4"/>
              <w:bottom w:val="single" w:color="C9D2D8" w:sz="4"/>
              <w:right w:val="single" w:color="C9D2D8" w:sz="4"/>
            </w:tcBorders>
            <w:shd w:fill="F6F9F8" w:val="clear"/>
            <w:tcMar>
              <w:top w:type="dxa" w:w="60"/>
              <w:left w:type="dxa" w:w="100"/>
              <w:bottom w:type="dxa" w:w="60"/>
              <w:right w:type="dxa" w:w="100"/>
            </w:tcMar>
          </w:tcPr>
          <w:p>
            <w:pPr>
              <w:jc w:val="left"/>
            </w:pPr>
            <w:r>
              <w:rPr>
                <w:rFonts w:ascii="Calibri" w:cs="Calibri" w:eastAsia="Calibri" w:hAnsi="Calibri"/>
                <w:b w:val="false"/>
                <w:bCs w:val="false"/>
                <w:color w:val="1F2A30"/>
                <w:sz w:val="19"/>
                <w:szCs w:val="19"/>
              </w:rPr>
              <w:t xml:space="preserve">18.5%</w:t>
            </w:r>
          </w:p>
        </w:tc>
      </w:tr>
    </w:tbl>
    <w:p>
      <w:pPr>
        <w:spacing w:after="200" w:before="60"/>
        <w:jc w:val="center"/>
      </w:pPr>
      <w:r>
        <w:rPr>
          <w:rFonts w:ascii="Calibri" w:cs="Calibri" w:eastAsia="Calibri" w:hAnsi="Calibri"/>
          <w:i/>
          <w:iCs/>
          <w:color w:val="5B6770"/>
          <w:sz w:val="19"/>
          <w:szCs w:val="19"/>
        </w:rPr>
        <w:t xml:space="preserve">Table 9. Outcome of the top-20% targeting rule (out-of-fold predictions).</w:t>
      </w:r>
    </w:p>
    <w:p>
      <w:pPr>
        <w:keepNext/>
        <w:spacing w:after="40" w:before="120"/>
        <w:jc w:val="center"/>
      </w:pPr>
      <w:r>
        <w:drawing>
          <wp:inline distT="0" distB="0" distL="0" distR="0">
            <wp:extent cx="4476750" cy="2543175"/>
            <wp:effectExtent t="0" r="0" b="0" l="0"/>
            <wp:docPr id="1" name="viz8_gains" descr="Cumulative gains: the model ranking versus random targeting" title="Cumulative gains: the model ranking versus random targ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476750" cy="2543175"/>
                    </a:xfrm>
                    <a:prstGeom prst="rect">
                      <a:avLst/>
                    </a:prstGeom>
                  </pic:spPr>
                </pic:pic>
              </a:graphicData>
            </a:graphic>
          </wp:inline>
        </w:drawing>
      </w:r>
    </w:p>
    <w:p>
      <w:pPr>
        <w:spacing w:after="200" w:before="60"/>
        <w:jc w:val="center"/>
      </w:pPr>
      <w:r>
        <w:rPr>
          <w:rFonts w:ascii="Calibri" w:cs="Calibri" w:eastAsia="Calibri" w:hAnsi="Calibri"/>
          <w:i/>
          <w:iCs/>
          <w:color w:val="5B6770"/>
          <w:sz w:val="19"/>
          <w:szCs w:val="19"/>
        </w:rPr>
        <w:t xml:space="preserve">Figure 9. Cumulative gains: the model ranking versus random targeting</w:t>
      </w:r>
    </w:p>
    <w:p>
      <w:pPr>
        <w:pStyle w:val="Heading2"/>
        <w:spacing w:after="100" w:before="240"/>
        <w:outlineLvl w:val="1"/>
      </w:pPr>
      <w:r>
        <w:rPr>
          <w:rFonts w:ascii="Calibri" w:cs="Calibri" w:eastAsia="Calibri" w:hAnsi="Calibri"/>
          <w:b/>
          <w:bCs/>
          <w:color w:val="2B3A42"/>
          <w:sz w:val="26"/>
          <w:szCs w:val="26"/>
        </w:rPr>
        <w:t xml:space="preserve">Characteristics of the selected customers</w:t>
      </w:r>
    </w:p>
    <w:p>
      <w:pPr>
        <w:spacing w:after="120" w:line="276"/>
      </w:pPr>
      <w:r>
        <w:rPr>
          <w:rFonts w:ascii="Calibri" w:cs="Calibri" w:eastAsia="Calibri" w:hAnsi="Calibri"/>
          <w:sz w:val="22"/>
          <w:szCs w:val="22"/>
        </w:rPr>
        <w:t xml:space="preserve">The index compares each group's share of the selected list with its share of all customers (1.00 = proportional).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2200"/>
        <w:gridCol w:w="1926"/>
      </w:tblGrid>
      <w:tr>
        <w:trPr>
          <w:tblHeader/>
        </w:trPr>
        <w:tc>
          <w:tcPr>
            <w:tcW w:type="dxa" w:w="30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Region</w:t>
            </w:r>
          </w:p>
        </w:tc>
        <w:tc>
          <w:tcPr>
            <w:tcW w:type="dxa" w:w="19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Selected %</w:t>
            </w:r>
          </w:p>
        </w:tc>
        <w:tc>
          <w:tcPr>
            <w:tcW w:type="dxa" w:w="22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All customers %</w:t>
            </w:r>
          </w:p>
        </w:tc>
        <w:tc>
          <w:tcPr>
            <w:tcW w:type="dxa" w:w="1926"/>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Index</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Asia-Pacific</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20.0</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19.6</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1.00</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Europe</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8.3</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19.5</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0.40</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Latin America</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19.0</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21.5</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0.90</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Middle East</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36.7</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21.1</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1.70</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North America</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16.0</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18.2</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0.90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2200"/>
        <w:gridCol w:w="1926"/>
      </w:tblGrid>
      <w:tr>
        <w:trPr>
          <w:tblHeader/>
        </w:trPr>
        <w:tc>
          <w:tcPr>
            <w:tcW w:type="dxa" w:w="30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Membership level</w:t>
            </w:r>
          </w:p>
        </w:tc>
        <w:tc>
          <w:tcPr>
            <w:tcW w:type="dxa" w:w="19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Selected %</w:t>
            </w:r>
          </w:p>
        </w:tc>
        <w:tc>
          <w:tcPr>
            <w:tcW w:type="dxa" w:w="22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All customers %</w:t>
            </w:r>
          </w:p>
        </w:tc>
        <w:tc>
          <w:tcPr>
            <w:tcW w:type="dxa" w:w="1926"/>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Index</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Standard</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62.7</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46.3</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1.40</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Silver</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32.0</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31.2</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1.00</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Gold</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0.3</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14.4</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0.00</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Platinum</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1.7</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4.7</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0.40</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Unknown</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3.3</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3.3</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1.00</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1900"/>
        <w:gridCol w:w="2200"/>
        <w:gridCol w:w="1926"/>
      </w:tblGrid>
      <w:tr>
        <w:trPr>
          <w:tblHeader/>
        </w:trPr>
        <w:tc>
          <w:tcPr>
            <w:tcW w:type="dxa" w:w="30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Joined year</w:t>
            </w:r>
          </w:p>
        </w:tc>
        <w:tc>
          <w:tcPr>
            <w:tcW w:type="dxa" w:w="19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Selected %</w:t>
            </w:r>
          </w:p>
        </w:tc>
        <w:tc>
          <w:tcPr>
            <w:tcW w:type="dxa" w:w="2200"/>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All customers %</w:t>
            </w:r>
          </w:p>
        </w:tc>
        <w:tc>
          <w:tcPr>
            <w:tcW w:type="dxa" w:w="1926"/>
            <w:tcBorders>
              <w:top w:val="single" w:color="C9D2D8" w:sz="4"/>
              <w:left w:val="single" w:color="C9D2D8" w:sz="4"/>
              <w:bottom w:val="single" w:color="C9D2D8" w:sz="4"/>
              <w:right w:val="single" w:color="C9D2D8" w:sz="4"/>
            </w:tcBorders>
            <w:shd w:fill="1F6F5C" w:val="clear"/>
            <w:tcMar>
              <w:top w:type="dxa" w:w="60"/>
              <w:left w:type="dxa" w:w="100"/>
              <w:bottom w:type="dxa" w:w="60"/>
              <w:right w:type="dxa" w:w="100"/>
            </w:tcMar>
          </w:tcPr>
          <w:p>
            <w:pPr>
              <w:jc w:val="left"/>
            </w:pPr>
            <w:r>
              <w:rPr>
                <w:rFonts w:ascii="Calibri" w:cs="Calibri" w:eastAsia="Calibri" w:hAnsi="Calibri"/>
                <w:b/>
                <w:bCs/>
                <w:color w:val="FFFFFF"/>
                <w:sz w:val="19"/>
                <w:szCs w:val="19"/>
              </w:rPr>
              <w:t xml:space="preserve">Index</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2021</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54.7</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24.9</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2.20</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2022</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28.3</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25.0</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1.10</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2023</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15.7</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24.8</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0.60</w:t>
            </w:r>
          </w:p>
        </w:tc>
      </w:tr>
      <w:tr>
        <w:tc>
          <w:tcPr>
            <w:tcW w:type="dxa" w:w="30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2024</w:t>
            </w:r>
          </w:p>
        </w:tc>
        <w:tc>
          <w:tcPr>
            <w:tcW w:type="dxa" w:w="19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1.3</w:t>
            </w:r>
          </w:p>
        </w:tc>
        <w:tc>
          <w:tcPr>
            <w:tcW w:type="dxa" w:w="2200"/>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25.3</w:t>
            </w:r>
          </w:p>
        </w:tc>
        <w:tc>
          <w:tcPr>
            <w:tcW w:type="dxa" w:w="1926"/>
            <w:tcBorders>
              <w:top w:val="single" w:color="C9D2D8" w:sz="4"/>
              <w:left w:val="single" w:color="C9D2D8" w:sz="4"/>
              <w:bottom w:val="single" w:color="C9D2D8" w:sz="4"/>
              <w:right w:val="single" w:color="C9D2D8" w:sz="4"/>
            </w:tcBorders>
            <w:tcMar>
              <w:top w:type="dxa" w:w="60"/>
              <w:left w:type="dxa" w:w="100"/>
              <w:bottom w:type="dxa" w:w="60"/>
              <w:right w:type="dxa" w:w="100"/>
            </w:tcMar>
          </w:tcPr>
          <w:p>
            <w:pPr>
              <w:jc w:val="right"/>
            </w:pPr>
            <w:r>
              <w:rPr>
                <w:rFonts w:ascii="Calibri" w:cs="Calibri" w:eastAsia="Calibri" w:hAnsi="Calibri"/>
                <w:b w:val="false"/>
                <w:bCs w:val="false"/>
                <w:color w:val="1F2A30"/>
                <w:sz w:val="19"/>
                <w:szCs w:val="19"/>
              </w:rPr>
              <w:t xml:space="preserve">0.00</w:t>
            </w:r>
          </w:p>
        </w:tc>
      </w:tr>
    </w:tbl>
    <w:p>
      <w:pPr>
        <w:spacing w:after="120"/>
      </w:pPr>
    </w:p>
    <w:p>
      <w:pPr>
        <w:pStyle w:val="ListParagraph"/>
        <w:numPr>
          <w:ilvl w:val="0"/>
          <w:numId w:val="2"/>
        </w:numPr>
        <w:spacing w:after="70" w:line="264"/>
      </w:pPr>
      <w:r>
        <w:rPr>
          <w:rFonts w:ascii="Calibri" w:cs="Calibri" w:eastAsia="Calibri" w:hAnsi="Calibri"/>
          <w:sz w:val="22"/>
          <w:szCs w:val="22"/>
        </w:rPr>
        <w:t xml:space="preserve">The list is concentrated in Middle East (36.7% of the list versus 21.1% of customers), Standard members (62.7% versus 46.3%) and 2021 joiners (54.7% versus 24.9%).</w:t>
      </w:r>
    </w:p>
    <w:p>
      <w:pPr>
        <w:pStyle w:val="ListParagraph"/>
        <w:numPr>
          <w:ilvl w:val="0"/>
          <w:numId w:val="2"/>
        </w:numPr>
        <w:spacing w:after="70" w:line="264"/>
      </w:pPr>
      <w:r>
        <w:rPr>
          <w:rFonts w:ascii="Calibri" w:cs="Calibri" w:eastAsia="Calibri" w:hAnsi="Calibri"/>
          <w:sz w:val="22"/>
          <w:szCs w:val="22"/>
        </w:rPr>
        <w:t xml:space="preserve">These skews are artefacts of a model fitted to noise, not evidence that these segments are more sustainability-minded: the selected customers are actually high priority less often (37.0%) than customers overall (40.1%).</w:t>
      </w:r>
    </w:p>
    <w:p>
      <w:pPr>
        <w:pStyle w:val="ListParagraph"/>
        <w:numPr>
          <w:ilvl w:val="0"/>
          <w:numId w:val="2"/>
        </w:numPr>
        <w:spacing w:after="70" w:line="264"/>
      </w:pPr>
      <w:r>
        <w:rPr>
          <w:rFonts w:ascii="Calibri" w:cs="Calibri" w:eastAsia="Calibri" w:hAnsi="Calibri"/>
          <w:sz w:val="22"/>
          <w:szCs w:val="22"/>
        </w:rPr>
        <w:t xml:space="preserve">Only 336 distinct probability values exist across all customers, and they span a narrow range, so the ranking is weakly differentiated.</w:t>
      </w:r>
    </w:p>
    <w:p>
      <w:pPr>
        <w:pBdr>
          <w:left w:val="single" w:color="1F6F5C" w:sz="24" w:space="8"/>
        </w:pBdr>
        <w:shd w:fill="EAF3F0" w:val="clear"/>
        <w:spacing w:after="160" w:before="100"/>
        <w:ind w:left="160"/>
      </w:pPr>
      <w:r>
        <w:rPr>
          <w:rFonts w:ascii="Calibri" w:cs="Calibri" w:eastAsia="Calibri" w:hAnsi="Calibri"/>
          <w:sz w:val="21"/>
          <w:szCs w:val="21"/>
        </w:rPr>
        <w:t xml:space="preserve">Conclusion: the model-ranked top-20% list does not beat random selection and is not recommended as a targeting rule. It is retained in the dashboard only to demonstrate the operational mechanics of a capacity-constrained rule.</w:t>
      </w:r>
    </w:p>
    <w:p>
      <w:pPr>
        <w:spacing w:after="120" w:line="276"/>
      </w:pPr>
      <w:r>
        <w:rPr>
          <w:rFonts w:ascii="Calibri" w:cs="Calibri" w:eastAsia="Calibri" w:hAnsi="Calibri"/>
          <w:sz w:val="22"/>
          <w:szCs w:val="22"/>
        </w:rPr>
        <w:t xml:space="preserve">Financial limitation: the dataset holds no cost, revenue, conversion or campaign-response data. No campaign cost, uplift or ROI has been estimated.</w:t>
      </w:r>
    </w:p>
    <w:p>
      <w:pPr>
        <w:pStyle w:val="Heading1"/>
        <w:spacing w:after="160" w:before="360"/>
        <w:outlineLvl w:val="0"/>
      </w:pPr>
      <w:r>
        <w:rPr>
          <w:rFonts w:ascii="Calibri" w:cs="Calibri" w:eastAsia="Calibri" w:hAnsi="Calibri"/>
          <w:b/>
          <w:bCs/>
          <w:color w:val="1F6F5C"/>
          <w:sz w:val="32"/>
          <w:szCs w:val="32"/>
        </w:rPr>
        <w:t xml:space="preserve">10. Business Recommendations</w:t>
      </w:r>
    </w:p>
    <w:p>
      <w:pPr>
        <w:pStyle w:val="Heading2"/>
        <w:spacing w:after="100" w:before="240"/>
        <w:outlineLvl w:val="1"/>
      </w:pPr>
      <w:r>
        <w:rPr>
          <w:rFonts w:ascii="Calibri" w:cs="Calibri" w:eastAsia="Calibri" w:hAnsi="Calibri"/>
          <w:b/>
          <w:bCs/>
          <w:color w:val="2B3A42"/>
          <w:sz w:val="26"/>
          <w:szCs w:val="26"/>
        </w:rPr>
        <w:t xml:space="preserve">1. Customer prioritisation: target on the recorded score, not on the model</w:t>
      </w:r>
    </w:p>
    <w:p>
      <w:pPr>
        <w:pStyle w:val="ListParagraph"/>
        <w:numPr>
          <w:ilvl w:val="0"/>
          <w:numId w:val="2"/>
        </w:numPr>
        <w:spacing w:after="70" w:line="264"/>
      </w:pPr>
      <w:r>
        <w:rPr>
          <w:rFonts w:ascii="Calibri" w:cs="Calibri" w:eastAsia="Calibri" w:hAnsi="Calibri"/>
          <w:sz w:val="22"/>
          <w:szCs w:val="22"/>
        </w:rPr>
        <w:t xml:space="preserve">Every customer already has a recorded priority. 601 customers (40.1%) are at level 4-5 and 318 (21.2%) at level 5.</w:t>
      </w:r>
    </w:p>
    <w:p>
      <w:pPr>
        <w:pStyle w:val="ListParagraph"/>
        <w:numPr>
          <w:ilvl w:val="0"/>
          <w:numId w:val="2"/>
        </w:numPr>
        <w:spacing w:after="70" w:line="264"/>
      </w:pPr>
      <w:r>
        <w:rPr>
          <w:rFonts w:ascii="Calibri" w:cs="Calibri" w:eastAsia="Calibri" w:hAnsi="Calibri"/>
          <w:sz w:val="22"/>
          <w:szCs w:val="22"/>
        </w:rPr>
        <w:t xml:space="preserve">For a 300-customer outreach budget, select directly from the level-5 group (318 customers, trimmed to 300), or from level 4-5 if capacity allows. This is more accurate than the model, which is at chance level.</w:t>
      </w:r>
    </w:p>
    <w:p>
      <w:pPr>
        <w:pStyle w:val="ListParagraph"/>
        <w:numPr>
          <w:ilvl w:val="0"/>
          <w:numId w:val="2"/>
        </w:numPr>
        <w:spacing w:after="70" w:line="264"/>
      </w:pPr>
      <w:r>
        <w:rPr>
          <w:rFonts w:ascii="Calibri" w:cs="Calibri" w:eastAsia="Calibri" w:hAnsi="Calibri"/>
          <w:sz w:val="22"/>
          <w:szCs w:val="22"/>
        </w:rPr>
        <w:t xml:space="preserve">Use the model only when a customer's score is unknown (for example new customers not yet surveyed), and only after richer predictors are added.</w:t>
      </w:r>
    </w:p>
    <w:p>
      <w:pPr>
        <w:pStyle w:val="Heading2"/>
        <w:spacing w:after="100" w:before="240"/>
        <w:outlineLvl w:val="1"/>
      </w:pPr>
      <w:r>
        <w:rPr>
          <w:rFonts w:ascii="Calibri" w:cs="Calibri" w:eastAsia="Calibri" w:hAnsi="Calibri"/>
          <w:b/>
          <w:bCs/>
          <w:color w:val="2B3A42"/>
          <w:sz w:val="26"/>
          <w:szCs w:val="26"/>
        </w:rPr>
        <w:t xml:space="preserve">2. Membership strategy</w:t>
      </w:r>
    </w:p>
    <w:p>
      <w:pPr>
        <w:pStyle w:val="ListParagraph"/>
        <w:numPr>
          <w:ilvl w:val="0"/>
          <w:numId w:val="2"/>
        </w:numPr>
        <w:spacing w:after="70" w:line="264"/>
      </w:pPr>
      <w:r>
        <w:rPr>
          <w:rFonts w:ascii="Calibri" w:cs="Calibri" w:eastAsia="Calibri" w:hAnsi="Calibri"/>
          <w:sz w:val="22"/>
          <w:szCs w:val="22"/>
        </w:rPr>
        <w:t xml:space="preserve">Standard is the largest group (46.3% of customers). Mean priority varies only from 2.91 to 3.07 across recorded tiers (p = 0.36 for the high-priority share).</w:t>
      </w:r>
    </w:p>
    <w:p>
      <w:pPr>
        <w:pStyle w:val="ListParagraph"/>
        <w:numPr>
          <w:ilvl w:val="0"/>
          <w:numId w:val="2"/>
        </w:numPr>
        <w:spacing w:after="70" w:line="264"/>
      </w:pPr>
      <w:r>
        <w:rPr>
          <w:rFonts w:ascii="Calibri" w:cs="Calibri" w:eastAsia="Calibri" w:hAnsi="Calibri"/>
          <w:sz w:val="22"/>
          <w:szCs w:val="22"/>
        </w:rPr>
        <w:t xml:space="preserve">There is no evidence for tier-specific sustainability messaging. Run one common programme across tiers and A/B test tier-specific variants before investing in them.</w:t>
      </w:r>
    </w:p>
    <w:p>
      <w:pPr>
        <w:pStyle w:val="ListParagraph"/>
        <w:numPr>
          <w:ilvl w:val="0"/>
          <w:numId w:val="2"/>
        </w:numPr>
        <w:spacing w:after="70" w:line="264"/>
      </w:pPr>
      <w:r>
        <w:rPr>
          <w:rFonts w:ascii="Calibri" w:cs="Calibri" w:eastAsia="Calibri" w:hAnsi="Calibri"/>
          <w:sz w:val="22"/>
          <w:szCs w:val="22"/>
        </w:rPr>
        <w:t xml:space="preserve">Platinum (71) and Unknown (50) are too small for reliable conclusions. Recover the missing membership levels.</w:t>
      </w:r>
    </w:p>
    <w:p>
      <w:pPr>
        <w:pStyle w:val="Heading2"/>
        <w:spacing w:after="100" w:before="240"/>
        <w:outlineLvl w:val="1"/>
      </w:pPr>
      <w:r>
        <w:rPr>
          <w:rFonts w:ascii="Calibri" w:cs="Calibri" w:eastAsia="Calibri" w:hAnsi="Calibri"/>
          <w:b/>
          <w:bCs/>
          <w:color w:val="2B3A42"/>
          <w:sz w:val="26"/>
          <w:szCs w:val="26"/>
        </w:rPr>
        <w:t xml:space="preserve">3. Regional strategy</w:t>
      </w:r>
    </w:p>
    <w:p>
      <w:pPr>
        <w:pStyle w:val="ListParagraph"/>
        <w:numPr>
          <w:ilvl w:val="0"/>
          <w:numId w:val="2"/>
        </w:numPr>
        <w:spacing w:after="70" w:line="264"/>
      </w:pPr>
      <w:r>
        <w:rPr>
          <w:rFonts w:ascii="Calibri" w:cs="Calibri" w:eastAsia="Calibri" w:hAnsi="Calibri"/>
          <w:sz w:val="22"/>
          <w:szCs w:val="22"/>
        </w:rPr>
        <w:t xml:space="preserve">Middle East has the highest mean priority (3.11) and Europe the lowest (2.9), a gap of 0.21 points (p = 0.67). This is not distinguishable from chance, so regional differentiation is not justified by this data.</w:t>
      </w:r>
    </w:p>
    <w:p>
      <w:pPr>
        <w:pStyle w:val="ListParagraph"/>
        <w:numPr>
          <w:ilvl w:val="0"/>
          <w:numId w:val="2"/>
        </w:numPr>
        <w:spacing w:after="70" w:line="264"/>
      </w:pPr>
      <w:r>
        <w:rPr>
          <w:rFonts w:ascii="Calibri" w:cs="Calibri" w:eastAsia="Calibri" w:hAnsi="Calibri"/>
          <w:sz w:val="22"/>
          <w:szCs w:val="22"/>
        </w:rPr>
        <w:t xml:space="preserve">If regional campaigns are trialled, use randomised comparisons so that response differences can be attributed properly.</w:t>
      </w:r>
    </w:p>
    <w:p>
      <w:pPr>
        <w:pStyle w:val="Heading2"/>
        <w:spacing w:after="100" w:before="240"/>
        <w:outlineLvl w:val="1"/>
      </w:pPr>
      <w:r>
        <w:rPr>
          <w:rFonts w:ascii="Calibri" w:cs="Calibri" w:eastAsia="Calibri" w:hAnsi="Calibri"/>
          <w:b/>
          <w:bCs/>
          <w:color w:val="2B3A42"/>
          <w:sz w:val="26"/>
          <w:szCs w:val="26"/>
        </w:rPr>
        <w:t xml:space="preserve">4. Customer lifecycle strategy</w:t>
      </w:r>
    </w:p>
    <w:p>
      <w:pPr>
        <w:pStyle w:val="ListParagraph"/>
        <w:numPr>
          <w:ilvl w:val="0"/>
          <w:numId w:val="2"/>
        </w:numPr>
        <w:spacing w:after="70" w:line="264"/>
      </w:pPr>
      <w:r>
        <w:rPr>
          <w:rFonts w:ascii="Calibri" w:cs="Calibri" w:eastAsia="Calibri" w:hAnsi="Calibri"/>
          <w:sz w:val="22"/>
          <w:szCs w:val="22"/>
        </w:rPr>
        <w:t xml:space="preserve">Mean priority by joining cohort: 2021: 3.08, 2022: 3, 2023: 3.04, 2024: 2.91 (p = 0.49). The apparent decline in newer cohorts is not statistically supported; monitor it as new cohorts arrive rather than acting on it now.</w:t>
      </w:r>
    </w:p>
    <w:p>
      <w:pPr>
        <w:pStyle w:val="Heading2"/>
        <w:spacing w:after="100" w:before="240"/>
        <w:outlineLvl w:val="1"/>
      </w:pPr>
      <w:r>
        <w:rPr>
          <w:rFonts w:ascii="Calibri" w:cs="Calibri" w:eastAsia="Calibri" w:hAnsi="Calibri"/>
          <w:b/>
          <w:bCs/>
          <w:color w:val="2B3A42"/>
          <w:sz w:val="26"/>
          <w:szCs w:val="26"/>
        </w:rPr>
        <w:t xml:space="preserve">5. Data and measurement</w:t>
      </w:r>
    </w:p>
    <w:p>
      <w:pPr>
        <w:pStyle w:val="ListParagraph"/>
        <w:numPr>
          <w:ilvl w:val="0"/>
          <w:numId w:val="2"/>
        </w:numPr>
        <w:spacing w:after="70" w:line="264"/>
      </w:pPr>
      <w:r>
        <w:rPr>
          <w:rFonts w:ascii="Calibri" w:cs="Calibri" w:eastAsia="Calibri" w:hAnsi="Calibri"/>
          <w:sz w:val="22"/>
          <w:szCs w:val="22"/>
        </w:rPr>
        <w:t xml:space="preserve">Collect behavioural, transactional and campaign-response data (purchases, product categories, engagement, churn, campaign responses). The three current attributes cannot explain sustainability priority, so richer data is the highest-value next step.</w:t>
      </w:r>
    </w:p>
    <w:p>
      <w:pPr>
        <w:pStyle w:val="Heading1"/>
        <w:spacing w:after="160" w:before="360"/>
        <w:outlineLvl w:val="0"/>
      </w:pPr>
      <w:r>
        <w:rPr>
          <w:rFonts w:ascii="Calibri" w:cs="Calibri" w:eastAsia="Calibri" w:hAnsi="Calibri"/>
          <w:b/>
          <w:bCs/>
          <w:color w:val="1F6F5C"/>
          <w:sz w:val="32"/>
          <w:szCs w:val="32"/>
        </w:rPr>
        <w:t xml:space="preserve">11. Limitations</w:t>
      </w:r>
    </w:p>
    <w:p>
      <w:pPr>
        <w:pStyle w:val="ListParagraph"/>
        <w:numPr>
          <w:ilvl w:val="0"/>
          <w:numId w:val="2"/>
        </w:numPr>
        <w:spacing w:after="70" w:line="264"/>
      </w:pPr>
      <w:r>
        <w:rPr>
          <w:rFonts w:ascii="Calibri" w:cs="Calibri" w:eastAsia="Calibri" w:hAnsi="Calibri"/>
          <w:b/>
          <w:bCs/>
          <w:sz w:val="22"/>
          <w:szCs w:val="22"/>
        </w:rPr>
        <w:t xml:space="preserve">Dataset size. </w:t>
      </w:r>
      <w:r>
        <w:rPr>
          <w:rFonts w:ascii="Calibri" w:cs="Calibri" w:eastAsia="Calibri" w:hAnsi="Calibri"/>
          <w:sz w:val="22"/>
          <w:szCs w:val="22"/>
        </w:rPr>
        <w:t xml:space="preserve">1,500 customers is modest; subgroups such as Platinum (71) and Unknown (50) are too small for reliable inference, and region x membership cells contain as few as 8 customers.</w:t>
      </w:r>
    </w:p>
    <w:p>
      <w:pPr>
        <w:pStyle w:val="ListParagraph"/>
        <w:numPr>
          <w:ilvl w:val="0"/>
          <w:numId w:val="2"/>
        </w:numPr>
        <w:spacing w:after="70" w:line="264"/>
      </w:pPr>
      <w:r>
        <w:rPr>
          <w:rFonts w:ascii="Calibri" w:cs="Calibri" w:eastAsia="Calibri" w:hAnsi="Calibri"/>
          <w:b/>
          <w:bCs/>
          <w:sz w:val="22"/>
          <w:szCs w:val="22"/>
        </w:rPr>
        <w:t xml:space="preserve">Available features. </w:t>
      </w:r>
      <w:r>
        <w:rPr>
          <w:rFonts w:ascii="Calibri" w:cs="Calibri" w:eastAsia="Calibri" w:hAnsi="Calibri"/>
          <w:sz w:val="22"/>
          <w:szCs w:val="22"/>
        </w:rPr>
        <w:t xml:space="preserve">Only three predictors exist, all low-cardinality categorical attributes (100 possible combinations). This severely limits what any model can learn.</w:t>
      </w:r>
    </w:p>
    <w:p>
      <w:pPr>
        <w:pStyle w:val="ListParagraph"/>
        <w:numPr>
          <w:ilvl w:val="0"/>
          <w:numId w:val="2"/>
        </w:numPr>
        <w:spacing w:after="70" w:line="264"/>
      </w:pPr>
      <w:r>
        <w:rPr>
          <w:rFonts w:ascii="Calibri" w:cs="Calibri" w:eastAsia="Calibri" w:hAnsi="Calibri"/>
          <w:b/>
          <w:bCs/>
          <w:sz w:val="22"/>
          <w:szCs w:val="22"/>
        </w:rPr>
        <w:t xml:space="preserve">No revenue, transaction or churn information. </w:t>
      </w:r>
      <w:r>
        <w:rPr>
          <w:rFonts w:ascii="Calibri" w:cs="Calibri" w:eastAsia="Calibri" w:hAnsi="Calibri"/>
          <w:sz w:val="22"/>
          <w:szCs w:val="22"/>
        </w:rPr>
        <w:t xml:space="preserve">Customer value, purchase behaviour, retention and campaign response cannot be analysed, so no financial benefit, ROI or lifetime value is estimated.</w:t>
      </w:r>
    </w:p>
    <w:p>
      <w:pPr>
        <w:pStyle w:val="ListParagraph"/>
        <w:numPr>
          <w:ilvl w:val="0"/>
          <w:numId w:val="2"/>
        </w:numPr>
        <w:spacing w:after="70" w:line="264"/>
      </w:pPr>
      <w:r>
        <w:rPr>
          <w:rFonts w:ascii="Calibri" w:cs="Calibri" w:eastAsia="Calibri" w:hAnsi="Calibri"/>
          <w:b/>
          <w:bCs/>
          <w:sz w:val="22"/>
          <w:szCs w:val="22"/>
        </w:rPr>
        <w:t xml:space="preserve">Observational data. </w:t>
      </w:r>
      <w:r>
        <w:rPr>
          <w:rFonts w:ascii="Calibri" w:cs="Calibri" w:eastAsia="Calibri" w:hAnsi="Calibri"/>
          <w:sz w:val="22"/>
          <w:szCs w:val="22"/>
        </w:rPr>
        <w:t xml:space="preserve">All findings are associations; no causal conclusions can be drawn about what drives sustainability priority.</w:t>
      </w:r>
    </w:p>
    <w:p>
      <w:pPr>
        <w:pStyle w:val="ListParagraph"/>
        <w:numPr>
          <w:ilvl w:val="0"/>
          <w:numId w:val="2"/>
        </w:numPr>
        <w:spacing w:after="70" w:line="264"/>
      </w:pPr>
      <w:r>
        <w:rPr>
          <w:rFonts w:ascii="Calibri" w:cs="Calibri" w:eastAsia="Calibri" w:hAnsi="Calibri"/>
          <w:b/>
          <w:bCs/>
          <w:sz w:val="22"/>
          <w:szCs w:val="22"/>
        </w:rPr>
        <w:t xml:space="preserve">Predictive-modelling limits. </w:t>
      </w:r>
      <w:r>
        <w:rPr>
          <w:rFonts w:ascii="Calibri" w:cs="Calibri" w:eastAsia="Calibri" w:hAnsi="Calibri"/>
          <w:sz w:val="22"/>
          <w:szCs w:val="22"/>
        </w:rPr>
        <w:t xml:space="preserve">The models perform at chance level. Metrics come from a single 300-customer test set (wide confidence interval); the top-20% exercise is illustrative and uses out-of-fold predictions from the same 1,500 customers.</w:t>
      </w:r>
    </w:p>
    <w:p>
      <w:pPr>
        <w:pStyle w:val="ListParagraph"/>
        <w:numPr>
          <w:ilvl w:val="0"/>
          <w:numId w:val="2"/>
        </w:numPr>
        <w:spacing w:after="70" w:line="264"/>
      </w:pPr>
      <w:r>
        <w:rPr>
          <w:rFonts w:ascii="Calibri" w:cs="Calibri" w:eastAsia="Calibri" w:hAnsi="Calibri"/>
          <w:b/>
          <w:bCs/>
          <w:sz w:val="22"/>
          <w:szCs w:val="22"/>
        </w:rPr>
        <w:t xml:space="preserve">Missing values. </w:t>
      </w:r>
      <w:r>
        <w:rPr>
          <w:rFonts w:ascii="Calibri" w:cs="Calibri" w:eastAsia="Calibri" w:hAnsi="Calibri"/>
          <w:sz w:val="22"/>
          <w:szCs w:val="22"/>
        </w:rPr>
        <w:t xml:space="preserve">50 membership levels are missing and were kept as "Unknown". This is transparent, but any true effect within that group cannot be separated out.</w:t>
      </w:r>
    </w:p>
    <w:p>
      <w:pPr>
        <w:pStyle w:val="ListParagraph"/>
        <w:numPr>
          <w:ilvl w:val="0"/>
          <w:numId w:val="2"/>
        </w:numPr>
        <w:spacing w:after="70" w:line="264"/>
      </w:pPr>
      <w:r>
        <w:rPr>
          <w:rFonts w:ascii="Calibri" w:cs="Calibri" w:eastAsia="Calibri" w:hAnsi="Calibri"/>
          <w:b/>
          <w:bCs/>
          <w:sz w:val="22"/>
          <w:szCs w:val="22"/>
        </w:rPr>
        <w:t xml:space="preserve">Nature of the target. </w:t>
      </w:r>
      <w:r>
        <w:rPr>
          <w:rFonts w:ascii="Calibri" w:cs="Calibri" w:eastAsia="Calibri" w:hAnsi="Calibri"/>
          <w:sz w:val="22"/>
          <w:szCs w:val="22"/>
        </w:rPr>
        <w:t xml:space="preserve">The sustainability priority score is a stated or recorded attribute; the data does not say how it was collected, so measurement quality is unknown.</w:t>
      </w:r>
    </w:p>
    <w:p>
      <w:pPr>
        <w:pStyle w:val="Heading1"/>
        <w:spacing w:after="160" w:before="360"/>
        <w:outlineLvl w:val="0"/>
      </w:pPr>
      <w:r>
        <w:rPr>
          <w:rFonts w:ascii="Calibri" w:cs="Calibri" w:eastAsia="Calibri" w:hAnsi="Calibri"/>
          <w:b/>
          <w:bCs/>
          <w:color w:val="1F6F5C"/>
          <w:sz w:val="32"/>
          <w:szCs w:val="32"/>
        </w:rPr>
        <w:t xml:space="preserve">12. Conclusion</w:t>
      </w:r>
    </w:p>
    <w:p>
      <w:pPr>
        <w:spacing w:after="120" w:line="276"/>
      </w:pPr>
      <w:r>
        <w:rPr>
          <w:rFonts w:ascii="Calibri" w:cs="Calibri" w:eastAsia="Calibri" w:hAnsi="Calibri"/>
          <w:sz w:val="22"/>
          <w:szCs w:val="22"/>
        </w:rPr>
        <w:t xml:space="preserve">The customer table is clean, at customer level, and needed only one treatment (50 missing membership levels kept as "Unknown"). The customer base is broad: five regions of similar size, a Standard-heavy membership mix and steady annual intake. Sustainability priority is spread almost evenly across the five levels, with a mean of 3.01.</w:t>
      </w:r>
    </w:p>
    <w:p>
      <w:pPr>
        <w:spacing w:after="120" w:line="276"/>
      </w:pPr>
      <w:r>
        <w:rPr>
          <w:rFonts w:ascii="Calibri" w:cs="Calibri" w:eastAsia="Calibri" w:hAnsi="Calibri"/>
          <w:sz w:val="22"/>
          <w:szCs w:val="22"/>
        </w:rPr>
        <w:t xml:space="preserve">The central analytical result is negative but important: region, membership level and joining year show no statistically significant association with sustainability priority, and neither Logistic Regression nor Random Forest predicts it better than chance (selected model: 15.3% accuracy, ROC-AUC 0.464). A top-20% targeting rule built on the model does not outperform random selection.</w:t>
      </w:r>
    </w:p>
    <w:p>
      <w:pPr>
        <w:spacing w:after="120" w:line="276"/>
      </w:pPr>
      <w:r>
        <w:rPr>
          <w:rFonts w:ascii="Calibri" w:cs="Calibri" w:eastAsia="Calibri" w:hAnsi="Calibri"/>
          <w:sz w:val="22"/>
          <w:szCs w:val="22"/>
        </w:rPr>
        <w:t xml:space="preserve">The evidence-based course of action is therefore to (1) target outreach directly on the recorded sustainability score, (2) avoid tier- or region-specific sustainability messaging until controlled tests show a difference, and (3) invest in collecting behavioural and transactional data, which is the prerequisite for any useful predictive or financial analysis.</w:t>
      </w:r>
    </w:p>
    <w:sectPr>
      <w:headerReference w:type="default" r:id="rId7"/>
      <w:headerReference w:type="first" r:id="rId8"/>
      <w:footerReference w:type="default" r:id="rId9"/>
      <w:footerReference w:type="first" r:id="rId10"/>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770"/>
        <w:sz w:val="18"/>
        <w:szCs w:val="18"/>
      </w:rPr>
      <w:t xml:space="preserve">Anumana  |  Page </w:t>
    </w:r>
    <w:r>
      <w:rPr>
        <w:rFonts w:ascii="Calibri" w:cs="Calibri" w:eastAsia="Calibri" w:hAnsi="Calibri"/>
        <w:color w:val="5B677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2D8" w:sz="4" w:space="4"/>
      </w:pBdr>
      <w:jc w:val="right"/>
    </w:pPr>
    <w:r>
      <w:rPr>
        <w:rFonts w:ascii="Calibri" w:cs="Calibri" w:eastAsia="Calibri" w:hAnsi="Calibri"/>
        <w:color w:val="5B6770"/>
        <w:sz w:val="18"/>
        <w:szCs w:val="18"/>
      </w:rPr>
      <w:t xml:space="preserve">E-Commerce Customer Analytics &amp; Machine Learning Project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ebc83d898d5ac5502f05f95518e24eedf5ae6c5.png"/><Relationship Id="rId12" Type="http://schemas.openxmlformats.org/officeDocument/2006/relationships/image" Target="media/d7c131cdef7c5cf981059b7bc9a707b9dab7c153.png"/><Relationship Id="rId13" Type="http://schemas.openxmlformats.org/officeDocument/2006/relationships/image" Target="media/612fa72f095b7bdd7fcf5ba8394381e624a7b950.png"/><Relationship Id="rId14" Type="http://schemas.openxmlformats.org/officeDocument/2006/relationships/image" Target="media/11aaa409c1e70fcb69cc3b96c167b13b4c739fc8.png"/><Relationship Id="rId15" Type="http://schemas.openxmlformats.org/officeDocument/2006/relationships/image" Target="media/eee33373cca07821c1b6a452b3def21ba5cf244f.png"/><Relationship Id="rId16" Type="http://schemas.openxmlformats.org/officeDocument/2006/relationships/image" Target="media/abfed748a5fb148df5bc0d3eb871654405dc882f.png"/><Relationship Id="rId17" Type="http://schemas.openxmlformats.org/officeDocument/2006/relationships/image" Target="media/f9b3fcdc04fa90b8290404ed08200e020ec90f7a.png"/><Relationship Id="rId18" Type="http://schemas.openxmlformats.org/officeDocument/2006/relationships/image" Target="media/c6bec2d1eabe19f1af7bc169d2cecdd0a53d8b99.png"/><Relationship Id="rId19" Type="http://schemas.openxmlformats.org/officeDocument/2006/relationships/image" Target="media/18f5348468e6674ce1a8cbc4e2ce3f93e2aa2823.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E-Commerce Customer Analytics &amp; Machine Learning Project</dc:title>
  <dc:creator>Anumana</dc:creator>
  <cp:lastModifiedBy>Un-named</cp:lastModifiedBy>
  <cp:revision>1</cp:revision>
  <dcterms:created xsi:type="dcterms:W3CDTF">2026-09-23T22:14:25.239Z</dcterms:created>
  <dcterms:modified xsi:type="dcterms:W3CDTF">2026-09-23T22:14:25.239Z</dcterms:modified>
</cp:coreProperties>
</file>

<file path=docProps/custom.xml><?xml version="1.0" encoding="utf-8"?>
<Properties xmlns="http://schemas.openxmlformats.org/officeDocument/2006/custom-properties" xmlns:vt="http://schemas.openxmlformats.org/officeDocument/2006/docPropsVTypes"/>
</file>